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B8360C" w14:textId="77777777" w:rsidR="00BD7CBC" w:rsidRDefault="00BD7CBC" w:rsidP="00BD7CBC">
      <w:pPr>
        <w:spacing w:before="240" w:after="240"/>
      </w:pPr>
      <w:bookmarkStart w:id="0" w:name="_Hlk156649830"/>
      <w:r>
        <w:rPr>
          <w:b/>
        </w:rPr>
        <w:t xml:space="preserve">Name: </w:t>
      </w:r>
      <w:r>
        <w:t>Helen Sanson</w:t>
      </w:r>
    </w:p>
    <w:p w14:paraId="10FE1F90" w14:textId="77777777" w:rsidR="00BD7CBC" w:rsidRDefault="00BD7CBC" w:rsidP="00BD7CBC">
      <w:pPr>
        <w:spacing w:before="240" w:after="240"/>
        <w:rPr>
          <w:color w:val="222222"/>
          <w:highlight w:val="white"/>
        </w:rPr>
      </w:pPr>
      <w:r>
        <w:rPr>
          <w:b/>
        </w:rPr>
        <w:t xml:space="preserve">Student Number: </w:t>
      </w:r>
      <w:r>
        <w:rPr>
          <w:color w:val="222222"/>
          <w:highlight w:val="white"/>
        </w:rPr>
        <w:t>2236588</w:t>
      </w:r>
    </w:p>
    <w:p w14:paraId="000D8972" w14:textId="12DBFEC3" w:rsidR="00BD7CBC" w:rsidRDefault="00BD7CBC" w:rsidP="00BD7CBC">
      <w:pPr>
        <w:spacing w:before="240" w:after="240"/>
      </w:pPr>
      <w:r>
        <w:rPr>
          <w:b/>
        </w:rPr>
        <w:t>Module Number:</w:t>
      </w:r>
      <w:r>
        <w:t xml:space="preserve"> BMPF710</w:t>
      </w:r>
      <w:r w:rsidR="008163F3">
        <w:t>2</w:t>
      </w:r>
    </w:p>
    <w:p w14:paraId="1DB03572" w14:textId="7A1A3ACE" w:rsidR="00BD7CBC" w:rsidRDefault="00BD7CBC" w:rsidP="00BD7CBC">
      <w:pPr>
        <w:rPr>
          <w:b/>
        </w:rPr>
      </w:pPr>
      <w:r>
        <w:rPr>
          <w:b/>
        </w:rPr>
        <w:t xml:space="preserve">Title of Submission: </w:t>
      </w:r>
      <w:r w:rsidR="008163F3" w:rsidRPr="008163F3">
        <w:rPr>
          <w:bCs/>
        </w:rPr>
        <w:t>“What effect do the use of numbers and statistics have on the ability of political narratives to create conditions for future reforms?”</w:t>
      </w:r>
    </w:p>
    <w:p w14:paraId="0988EB52" w14:textId="20BD952A" w:rsidR="00BD7CBC" w:rsidRDefault="00BD7CBC" w:rsidP="00BD7CBC">
      <w:pPr>
        <w:rPr>
          <w:b/>
          <w:bCs/>
        </w:rPr>
      </w:pPr>
      <w:r>
        <w:rPr>
          <w:b/>
        </w:rPr>
        <w:t xml:space="preserve">Module: </w:t>
      </w:r>
      <w:bookmarkEnd w:id="0"/>
      <w:r w:rsidR="008163F3" w:rsidRPr="008163F3">
        <w:t>Quantitative Research Methods</w:t>
      </w:r>
    </w:p>
    <w:p w14:paraId="0E45B60E" w14:textId="77777777" w:rsidR="00BD7CBC" w:rsidRDefault="00BD7CBC">
      <w:pPr>
        <w:rPr>
          <w:b/>
          <w:bCs/>
        </w:rPr>
      </w:pPr>
      <w:r>
        <w:rPr>
          <w:b/>
          <w:bCs/>
        </w:rPr>
        <w:br w:type="page"/>
      </w:r>
    </w:p>
    <w:p w14:paraId="32E82265" w14:textId="64B85299" w:rsidR="008B444B" w:rsidRPr="00E6247B" w:rsidRDefault="008B444B" w:rsidP="00756469">
      <w:pPr>
        <w:rPr>
          <w:b/>
          <w:bCs/>
        </w:rPr>
      </w:pPr>
      <w:r w:rsidRPr="00E6247B">
        <w:rPr>
          <w:b/>
          <w:bCs/>
        </w:rPr>
        <w:lastRenderedPageBreak/>
        <w:t>Introduction</w:t>
      </w:r>
    </w:p>
    <w:p w14:paraId="3E2C3E0C" w14:textId="57E62361" w:rsidR="00756469" w:rsidRDefault="00A46230" w:rsidP="00756469">
      <w:r>
        <w:t>On February 8, 1975, Margaret Thatcher, who became the Prime Minister of Great Britain and Northern Ireland in 1979, spoke at the Young Conservatives Conference and said, “I believe the person who is prepared to work hardest should get the greatest rewards and keep them after tax. That we should back the workers and not the shirkers.</w:t>
      </w:r>
      <w:r w:rsidR="00756469" w:rsidRPr="00756469">
        <w:t xml:space="preserve"> Those who prosper themselves have a duty and responsibility to care for others, and I believe individual responsibility does not stop at home but extends to the community of which we are all a part.</w:t>
      </w:r>
      <w:r>
        <w:t xml:space="preserve">” </w:t>
      </w:r>
    </w:p>
    <w:p w14:paraId="517BFD93" w14:textId="347DC206" w:rsidR="00756469" w:rsidRDefault="00A46230" w:rsidP="00287757">
      <w:r>
        <w:t>Then</w:t>
      </w:r>
      <w:r w:rsidR="00756469">
        <w:t>,</w:t>
      </w:r>
      <w:r>
        <w:t xml:space="preserve"> twenty-</w:t>
      </w:r>
      <w:r w:rsidR="00287757">
        <w:t>six</w:t>
      </w:r>
      <w:r>
        <w:t xml:space="preserve"> years later, her successor, John Major, on the 1</w:t>
      </w:r>
      <w:r w:rsidR="00287757">
        <w:t>1</w:t>
      </w:r>
      <w:r>
        <w:t xml:space="preserve">th of </w:t>
      </w:r>
      <w:r w:rsidR="00995FE2">
        <w:t>October</w:t>
      </w:r>
      <w:r>
        <w:t xml:space="preserve"> 199</w:t>
      </w:r>
      <w:r w:rsidR="00287757">
        <w:t>6</w:t>
      </w:r>
      <w:r>
        <w:t>, said at the Conservative Party Conference, “</w:t>
      </w:r>
      <w:r w:rsidR="00287757">
        <w:t>Our task is to build a welfare system for the 21st century. A system for a self-help society – not a help-yourself society. And one way of building independence is to get more people back to work.</w:t>
      </w:r>
      <w:r>
        <w:t xml:space="preserve"> </w:t>
      </w:r>
      <w:r w:rsidR="00287757">
        <w:t>We don’t want to pay people to stay on the dole. We do want to help them get back into work. So first we’re going to help those who’ve been out of work the longest. They’re the people for whom the barriers to opportunity are highest. First, we give them help to find a job and if that doesn’t succeed, they’ll be offered work on a community project. For many it’s just the motivation they need. But it also shows up those who don’t want to work. I think that’s right.”</w:t>
      </w:r>
    </w:p>
    <w:p w14:paraId="5274A47F" w14:textId="5D41FE8B" w:rsidR="00A46230" w:rsidRDefault="00756469" w:rsidP="00756469">
      <w:r>
        <w:t>In 1997, New Labour won the general election</w:t>
      </w:r>
      <w:r w:rsidR="00995FE2">
        <w:t>,</w:t>
      </w:r>
      <w:r>
        <w:t xml:space="preserve"> and Tony Blair became the Prime Minister of Great Britain and Northern Ireland. In 2002</w:t>
      </w:r>
      <w:r w:rsidR="00287757">
        <w:t>, in</w:t>
      </w:r>
      <w:r w:rsidRPr="00756469">
        <w:t xml:space="preserve"> London</w:t>
      </w:r>
      <w:r w:rsidR="00287757">
        <w:t xml:space="preserve">, </w:t>
      </w:r>
      <w:r w:rsidR="00995FE2">
        <w:t>he said at the opening of a Job Centre Plus</w:t>
      </w:r>
      <w:r w:rsidR="00287757">
        <w:t>,</w:t>
      </w:r>
      <w:r>
        <w:t xml:space="preserve"> “We believe passionately in giving people the chance to get off benefit and into work. We have done it for 1¼ million. But there are hundreds of thousands more who could work, given the chance. It's right for them, for the country, for society. But with the chance, comes a responsibility on the individual - to take the chance, to make something of their lives and use their ability and potential to the full. </w:t>
      </w:r>
      <w:r w:rsidR="005E6E9D">
        <w:t>…</w:t>
      </w:r>
      <w:r w:rsidR="005E6E9D" w:rsidRPr="005E6E9D">
        <w:t>But many people with a health problem or disability could and do want to work - yet don't. It is a scandal that 2.7m people on incapacity and disability benefits are written off, left to drift into long-term incapacity and unemployment. Five months into their claim for incapacity benefit, over 90% of people expect to return to work. But in practice, 44% will still be on IB six months later; and of those fewer than one in five will be working five years after that. Something is wrong - the current system is working against people's expectations.</w:t>
      </w:r>
    </w:p>
    <w:p w14:paraId="2F577E15" w14:textId="76C1FC14" w:rsidR="00A46230" w:rsidRDefault="00287757" w:rsidP="00394E57">
      <w:r>
        <w:t xml:space="preserve">On the 19th of April, 2024, twenty-two years later, and having been in government for fourteen years, Rishi Sunak, the Conservative Prime Minister of Great Britain and Northern Ireland, addressed the nation </w:t>
      </w:r>
      <w:r w:rsidR="008B444B">
        <w:t>stating that “…</w:t>
      </w:r>
      <w:r w:rsidR="008B444B" w:rsidRPr="008B444B">
        <w:t>the</w:t>
      </w:r>
      <w:r w:rsidR="008B444B" w:rsidRPr="008B444B">
        <w:rPr>
          <w:rFonts w:ascii="Arial" w:hAnsi="Arial" w:cs="Arial"/>
        </w:rPr>
        <w:t> </w:t>
      </w:r>
      <w:r w:rsidR="008B444B" w:rsidRPr="008B444B">
        <w:t>moral mission of reforming welfare to give everyone who can, the best possible chance of returning to work</w:t>
      </w:r>
      <w:r w:rsidR="008B444B">
        <w:t>. The role of the welfare state should never be merely to provide financial support… as important as that will always be…but to help people overcome whatever barriers</w:t>
      </w:r>
      <w:r w:rsidR="008B444B">
        <w:rPr>
          <w:rFonts w:ascii="Arial" w:hAnsi="Arial" w:cs="Arial"/>
        </w:rPr>
        <w:t> </w:t>
      </w:r>
      <w:r w:rsidR="008B444B">
        <w:t>they might face to living an independent, fulfilling life. Everyone with the potential should be supported…And not just to earn, but to contribute and belong. And we must never tolerate barriers that</w:t>
      </w:r>
      <w:r w:rsidR="008B444B">
        <w:rPr>
          <w:rFonts w:ascii="Arial" w:hAnsi="Arial" w:cs="Arial"/>
        </w:rPr>
        <w:t> </w:t>
      </w:r>
      <w:r w:rsidR="008B444B">
        <w:t>hold people</w:t>
      </w:r>
      <w:r w:rsidR="008B444B">
        <w:rPr>
          <w:rFonts w:ascii="Arial" w:hAnsi="Arial" w:cs="Arial"/>
        </w:rPr>
        <w:t> </w:t>
      </w:r>
      <w:r w:rsidR="008B444B">
        <w:t>back</w:t>
      </w:r>
      <w:r w:rsidR="008B444B">
        <w:rPr>
          <w:rFonts w:ascii="Arial" w:hAnsi="Arial" w:cs="Arial"/>
        </w:rPr>
        <w:t> </w:t>
      </w:r>
      <w:r w:rsidR="008B444B">
        <w:t>from making their contribution</w:t>
      </w:r>
      <w:r w:rsidR="008B444B">
        <w:rPr>
          <w:rFonts w:ascii="Aptos" w:hAnsi="Aptos" w:cs="Aptos"/>
        </w:rPr>
        <w:t>…</w:t>
      </w:r>
      <w:r w:rsidR="008B444B">
        <w:t xml:space="preserve"> and from sharing in that sense of self-worth that comes from feeling part of being something bigger than ourselves. </w:t>
      </w:r>
      <w:r w:rsidR="00394E57">
        <w:t>The whole point of replacing the Sick Note with the Fit Note was to stop so many people just being signed off as sick. Instead of being told you’re not fit for work…the Fit Note provided the option to say that you may be fit for work…with advice about what you could do; and what adaptions or support would enable you to stay in, or return to work, quickly.  11 million of these Fit Notes were issued last year alone.</w:t>
      </w:r>
      <w:r w:rsidR="00394E57">
        <w:rPr>
          <w:rFonts w:ascii="Arial" w:hAnsi="Arial" w:cs="Arial"/>
        </w:rPr>
        <w:t> </w:t>
      </w:r>
      <w:r w:rsidR="00394E57">
        <w:t xml:space="preserve"> But what proportion were signed “maybe fit for work”? 6 per cent.</w:t>
      </w:r>
      <w:r w:rsidR="00394E57">
        <w:rPr>
          <w:rFonts w:ascii="Arial" w:hAnsi="Arial" w:cs="Arial"/>
        </w:rPr>
        <w:t> </w:t>
      </w:r>
      <w:r w:rsidR="00394E57">
        <w:t>That’s right – a staggering 94 per cent of those signed off sick… were simply written off as “not fit for work. Well, this is not right.</w:t>
      </w:r>
      <w:r w:rsidR="00394E57">
        <w:rPr>
          <w:rFonts w:ascii="Arial" w:hAnsi="Arial" w:cs="Arial"/>
        </w:rPr>
        <w:t> </w:t>
      </w:r>
      <w:r w:rsidR="00394E57">
        <w:t xml:space="preserve">And it was never the intention. </w:t>
      </w:r>
      <w:r w:rsidR="008B444B">
        <w:t>We don’t just need to change the sick note- we need to change the sick note culture… so that the default becomes what work you can do, not what you can’t.</w:t>
      </w:r>
    </w:p>
    <w:p w14:paraId="2110794C" w14:textId="18EF7AA8" w:rsidR="008B444B" w:rsidRDefault="00BB4EA9" w:rsidP="008B444B">
      <w:r>
        <w:t>These</w:t>
      </w:r>
      <w:r w:rsidR="006E3E77">
        <w:t xml:space="preserve"> similar-sounding </w:t>
      </w:r>
      <w:r w:rsidR="008B444B">
        <w:t xml:space="preserve">speeches </w:t>
      </w:r>
      <w:r w:rsidR="00453CF9">
        <w:t xml:space="preserve">are part of a long-term </w:t>
      </w:r>
      <w:r>
        <w:t xml:space="preserve">constructed </w:t>
      </w:r>
      <w:r w:rsidR="000C599D">
        <w:t xml:space="preserve">narrative </w:t>
      </w:r>
      <w:r>
        <w:t xml:space="preserve">to persuasively illustrate the political rhetoric of the arguments </w:t>
      </w:r>
      <w:r w:rsidR="008B444B">
        <w:t xml:space="preserve">for welfare reform. </w:t>
      </w:r>
      <w:r w:rsidR="006E3E77">
        <w:t xml:space="preserve">However, nearly fifty years have passed since Margaret Thatcher’s speech and Rishi </w:t>
      </w:r>
      <w:r>
        <w:t>Sunak's, so if urgent welfare reforms are needed, why have they not succeeded, especially when each time they have focused on the same section of society—those who are long-term unemployed</w:t>
      </w:r>
      <w:r w:rsidR="00FC012A">
        <w:t xml:space="preserve"> who are </w:t>
      </w:r>
      <w:r>
        <w:t xml:space="preserve">sick and/or disabled? </w:t>
      </w:r>
    </w:p>
    <w:p w14:paraId="238B169A" w14:textId="2E75B09F" w:rsidR="00D55D37" w:rsidRDefault="00BB4EA9" w:rsidP="0068570D">
      <w:r>
        <w:lastRenderedPageBreak/>
        <w:t xml:space="preserve">A government can only further </w:t>
      </w:r>
      <w:r w:rsidR="00995FE2">
        <w:t>its</w:t>
      </w:r>
      <w:r>
        <w:t xml:space="preserve"> ideology</w:t>
      </w:r>
      <w:r w:rsidR="008032DB">
        <w:t xml:space="preserve"> by</w:t>
      </w:r>
      <w:r>
        <w:t xml:space="preserve"> gain</w:t>
      </w:r>
      <w:r w:rsidR="008032DB">
        <w:t>ing</w:t>
      </w:r>
      <w:r>
        <w:t xml:space="preserve"> </w:t>
      </w:r>
      <w:r w:rsidR="008032DB">
        <w:t>voters' trust</w:t>
      </w:r>
      <w:r>
        <w:t xml:space="preserve"> that </w:t>
      </w:r>
      <w:r w:rsidR="008032DB">
        <w:t>its</w:t>
      </w:r>
      <w:r>
        <w:t xml:space="preserve"> policies</w:t>
      </w:r>
      <w:r w:rsidR="008032DB">
        <w:t xml:space="preserve"> </w:t>
      </w:r>
      <w:r w:rsidR="00995FE2">
        <w:t xml:space="preserve">will </w:t>
      </w:r>
      <w:r w:rsidR="008032DB">
        <w:t>steer the country</w:t>
      </w:r>
      <w:r>
        <w:t xml:space="preserve"> </w:t>
      </w:r>
      <w:r w:rsidR="008032DB">
        <w:t xml:space="preserve">in the right direction. </w:t>
      </w:r>
      <w:r w:rsidR="00995FE2">
        <w:t xml:space="preserve">However, they need a </w:t>
      </w:r>
      <w:r w:rsidR="00FC012A">
        <w:t xml:space="preserve">narrative that achieves a fine balance between being </w:t>
      </w:r>
      <w:r w:rsidR="00995FE2">
        <w:t xml:space="preserve">convincing, authoritative, paternalistic, humble, and autonomous </w:t>
      </w:r>
      <w:r w:rsidR="00394E57">
        <w:t>simultaneously</w:t>
      </w:r>
      <w:r w:rsidR="005E6E9D">
        <w:t xml:space="preserve">. </w:t>
      </w:r>
      <w:r w:rsidR="00B01605">
        <w:t>G</w:t>
      </w:r>
      <w:r w:rsidR="00981E24">
        <w:t>overnment</w:t>
      </w:r>
      <w:r w:rsidR="00B01605">
        <w:t>s</w:t>
      </w:r>
      <w:r w:rsidR="00981E24">
        <w:t xml:space="preserve"> </w:t>
      </w:r>
      <w:r w:rsidR="00B01605" w:rsidRPr="00B01605">
        <w:t>use</w:t>
      </w:r>
      <w:r w:rsidR="00981E24">
        <w:t xml:space="preserve"> various means to achieve this fine balance and get the public to engage and buy into its rhetoric</w:t>
      </w:r>
      <w:r w:rsidR="00394E57">
        <w:t xml:space="preserve">. </w:t>
      </w:r>
      <w:r w:rsidR="0068570D">
        <w:t xml:space="preserve">Through all </w:t>
      </w:r>
      <w:r w:rsidR="00394E57">
        <w:t>forms of media</w:t>
      </w:r>
      <w:r w:rsidR="0068570D">
        <w:t>,</w:t>
      </w:r>
      <w:r w:rsidR="00394E57">
        <w:t xml:space="preserve"> </w:t>
      </w:r>
      <w:r w:rsidR="0068570D">
        <w:t>their narrative will</w:t>
      </w:r>
      <w:r w:rsidR="00394E57">
        <w:t xml:space="preserve"> </w:t>
      </w:r>
      <w:r w:rsidR="0068570D">
        <w:t xml:space="preserve">be </w:t>
      </w:r>
      <w:r w:rsidR="00394E57">
        <w:t>repeat</w:t>
      </w:r>
      <w:r w:rsidR="0068570D">
        <w:t>ed</w:t>
      </w:r>
      <w:r w:rsidR="00394E57">
        <w:t>, reinforce</w:t>
      </w:r>
      <w:r w:rsidR="0068570D">
        <w:t>d</w:t>
      </w:r>
      <w:r w:rsidR="00217D52">
        <w:t>, and ruminated, usually decontextualised, creating the conditions for social amnesia, i.e.,</w:t>
      </w:r>
      <w:r w:rsidR="00394E57">
        <w:t xml:space="preserve"> “</w:t>
      </w:r>
      <w:r w:rsidR="00217D52">
        <w:t>t</w:t>
      </w:r>
      <w:r w:rsidR="00394E57">
        <w:t>o</w:t>
      </w:r>
      <w:r w:rsidR="006A4A6F" w:rsidRPr="006A4A6F">
        <w:t xml:space="preserve"> ignore history and precedent when responding to the present or informing the future... discarded ideas are repackaged; meanwhile, the expectations for these practices remain the same</w:t>
      </w:r>
      <w:r w:rsidR="006A4A6F">
        <w:t xml:space="preserve">” </w:t>
      </w:r>
      <w:r w:rsidR="00BF4D5C">
        <w:t xml:space="preserve">(Blomberg and Lucken, 2000). </w:t>
      </w:r>
      <w:r w:rsidR="00D55D37">
        <w:t xml:space="preserve">When this fine balance is broken down, Sunak’s “Sick Note Culture” is a repeat and reinforcement of Blair and Major’s “ideas”, which are a repackaged iteration of Thatcher’s. However, through social amnesia, when presented with “new information”, such as in Sunak’s speech, we contort or ignore that history has precedent and believe this policy will forge the future. </w:t>
      </w:r>
      <w:r w:rsidR="0068570D">
        <w:t xml:space="preserve">Yet, this is only part of the story. </w:t>
      </w:r>
    </w:p>
    <w:p w14:paraId="091BAF45" w14:textId="106FA455" w:rsidR="0068570D" w:rsidRDefault="0068570D" w:rsidP="00394E57">
      <w:r>
        <w:t>A crucial way this fine balance is achieved, as seen in both Blair’s and Sunak’s speeches, is through numbers and statistics because we are conditioned to assume they are “by definition to be objective and free from human bias” (</w:t>
      </w:r>
      <w:r w:rsidR="005C16E7">
        <w:t xml:space="preserve">Gillborn, Warmington, and Demack </w:t>
      </w:r>
      <w:r w:rsidRPr="005C16E7">
        <w:t>2018</w:t>
      </w:r>
      <w:r>
        <w:t xml:space="preserve">). </w:t>
      </w:r>
      <w:r w:rsidR="00981E24">
        <w:t>So,</w:t>
      </w:r>
      <w:r w:rsidR="0091215A">
        <w:t xml:space="preserve"> when </w:t>
      </w:r>
      <w:r w:rsidR="00312EE6">
        <w:t>Sunak</w:t>
      </w:r>
      <w:r w:rsidR="0091215A">
        <w:t xml:space="preserve"> sa</w:t>
      </w:r>
      <w:r w:rsidR="00312EE6">
        <w:t>id</w:t>
      </w:r>
      <w:r w:rsidR="00981E24">
        <w:t>,</w:t>
      </w:r>
      <w:r w:rsidR="0091215A">
        <w:t xml:space="preserve"> “In 2011, twenty </w:t>
      </w:r>
      <w:r w:rsidR="00B01605" w:rsidRPr="00B01605">
        <w:t>per cent</w:t>
      </w:r>
      <w:r w:rsidR="0091215A">
        <w:t xml:space="preserve"> of those doing a Work Capability Assessment…were deemed unfit to work. But the latest figure now stands at 65 per cent. That’s wrong. People are not three times sicker than they were a decade ago. And the world of work has changed dramatically.” </w:t>
      </w:r>
      <w:r w:rsidR="00312EE6">
        <w:t>We go through a complex process of</w:t>
      </w:r>
      <w:r w:rsidR="00A856CA">
        <w:t xml:space="preserve"> “mental gymnastics” as we will believe the numbers are </w:t>
      </w:r>
      <w:r w:rsidR="00FF359C">
        <w:t>benign despite being “no less socially constructed than any other form of research material.” (</w:t>
      </w:r>
      <w:r w:rsidR="005C16E7">
        <w:t xml:space="preserve">Gillborn, Warmington, and Demack </w:t>
      </w:r>
      <w:r w:rsidR="005C16E7" w:rsidRPr="005C16E7">
        <w:t>2018</w:t>
      </w:r>
      <w:r w:rsidR="00FF359C">
        <w:t xml:space="preserve">) </w:t>
      </w:r>
      <w:r w:rsidR="00312EE6">
        <w:t>due to the</w:t>
      </w:r>
      <w:r w:rsidR="00FF359C">
        <w:t xml:space="preserve"> “recency effect”, i.e. </w:t>
      </w:r>
      <w:r w:rsidR="00312EE6">
        <w:t xml:space="preserve">the most recent things that we heard are remembered are most clear in our memory and what </w:t>
      </w:r>
      <w:r w:rsidR="00312EE6" w:rsidRPr="000517A4">
        <w:t>Reed (201</w:t>
      </w:r>
      <w:r w:rsidR="000517A4" w:rsidRPr="000517A4">
        <w:t>8</w:t>
      </w:r>
      <w:r w:rsidR="00312EE6">
        <w:t>) calls a “silent preface</w:t>
      </w:r>
      <w:r w:rsidR="00981E24">
        <w:t>,</w:t>
      </w:r>
      <w:r w:rsidR="00312EE6">
        <w:t>” i.e., we take</w:t>
      </w:r>
      <w:r w:rsidR="00312EE6" w:rsidRPr="00312EE6">
        <w:t xml:space="preserve"> </w:t>
      </w:r>
      <w:r w:rsidR="00F91121">
        <w:t xml:space="preserve">a </w:t>
      </w:r>
      <w:r w:rsidR="00312EE6" w:rsidRPr="00312EE6">
        <w:t xml:space="preserve">trend or happening and link it </w:t>
      </w:r>
      <w:r w:rsidR="00F91121">
        <w:t xml:space="preserve">to </w:t>
      </w:r>
      <w:r w:rsidR="00312EE6">
        <w:t xml:space="preserve">another experience </w:t>
      </w:r>
      <w:r w:rsidR="00F91121">
        <w:t>which makes us see</w:t>
      </w:r>
      <w:r w:rsidR="00312EE6" w:rsidRPr="00312EE6">
        <w:t xml:space="preserve"> disparities </w:t>
      </w:r>
      <w:r w:rsidR="00F91121">
        <w:t xml:space="preserve">and that you </w:t>
      </w:r>
      <w:r w:rsidR="00312EE6" w:rsidRPr="00312EE6">
        <w:t>are worse off, triggering outrage and despair</w:t>
      </w:r>
      <w:r w:rsidR="00D55D37">
        <w:t xml:space="preserve">. Therefore, </w:t>
      </w:r>
      <w:r w:rsidR="00F91121">
        <w:t xml:space="preserve">Sunak’s </w:t>
      </w:r>
      <w:r w:rsidR="006D6355">
        <w:t>rhetoric</w:t>
      </w:r>
      <w:r w:rsidR="00F91121">
        <w:t xml:space="preserve"> </w:t>
      </w:r>
      <w:r w:rsidR="00312EE6" w:rsidRPr="00312EE6">
        <w:t>uses</w:t>
      </w:r>
      <w:r w:rsidR="00D55D37">
        <w:t xml:space="preserve"> numbers and statistics to reinforce cause and effect by inferring that the disparity between more people being sick than ten years ago is not because we are but because some people are doing something is “wrong,”</w:t>
      </w:r>
      <w:r w:rsidR="006D6355">
        <w:t xml:space="preserve"> i.e. </w:t>
      </w:r>
      <w:r w:rsidR="00981E24">
        <w:t>these</w:t>
      </w:r>
      <w:r w:rsidR="00CB7869">
        <w:t xml:space="preserve"> people are,</w:t>
      </w:r>
      <w:r w:rsidR="006D6355">
        <w:t xml:space="preserve"> as Thatcher said, “shirkers”. </w:t>
      </w:r>
      <w:r w:rsidR="00312EE6" w:rsidRPr="00312EE6">
        <w:t xml:space="preserve">Therefore, the current dynamics at play are </w:t>
      </w:r>
      <w:r w:rsidR="00CB7869">
        <w:t>different from the</w:t>
      </w:r>
      <w:r w:rsidR="00312EE6" w:rsidRPr="00312EE6">
        <w:t xml:space="preserve"> </w:t>
      </w:r>
      <w:r w:rsidR="00CB7869" w:rsidRPr="00312EE6">
        <w:t>past</w:t>
      </w:r>
      <w:r w:rsidR="00312EE6" w:rsidRPr="00312EE6">
        <w:t xml:space="preserve"> </w:t>
      </w:r>
      <w:r w:rsidR="00CB7869">
        <w:t>as strivers are losing out to skivers because of the “sicknote culture”</w:t>
      </w:r>
      <w:r w:rsidR="006D6355">
        <w:t xml:space="preserve">. </w:t>
      </w:r>
      <w:r w:rsidR="00CB7869">
        <w:t xml:space="preserve"> </w:t>
      </w:r>
    </w:p>
    <w:p w14:paraId="2DABB563" w14:textId="31D78FB2" w:rsidR="00E6247B" w:rsidRDefault="00981E24" w:rsidP="00F1315A">
      <w:r w:rsidRPr="00F1315A">
        <w:t>Using</w:t>
      </w:r>
      <w:r w:rsidR="0068570D" w:rsidRPr="00F1315A">
        <w:t xml:space="preserve"> numbers and statistics </w:t>
      </w:r>
      <w:r w:rsidRPr="00F1315A">
        <w:t xml:space="preserve">to support a government’s </w:t>
      </w:r>
      <w:r w:rsidR="00F1315A" w:rsidRPr="00F1315A">
        <w:t xml:space="preserve">political </w:t>
      </w:r>
      <w:r w:rsidRPr="00F1315A">
        <w:t xml:space="preserve">narrative </w:t>
      </w:r>
      <w:r w:rsidR="0068570D" w:rsidRPr="00F1315A">
        <w:t xml:space="preserve">is nothing new and </w:t>
      </w:r>
      <w:r w:rsidRPr="00F1315A">
        <w:t xml:space="preserve">is </w:t>
      </w:r>
      <w:r w:rsidR="00B01605" w:rsidRPr="00F1315A">
        <w:t>a common aspect of political debate</w:t>
      </w:r>
      <w:r w:rsidRPr="00F1315A">
        <w:t xml:space="preserve">. </w:t>
      </w:r>
      <w:r w:rsidR="00F1315A" w:rsidRPr="00F1315A">
        <w:t>T</w:t>
      </w:r>
      <w:r w:rsidR="001D216A" w:rsidRPr="00F1315A">
        <w:t xml:space="preserve">hese </w:t>
      </w:r>
      <w:r w:rsidR="00F1315A" w:rsidRPr="00F1315A">
        <w:t xml:space="preserve">numbers within the </w:t>
      </w:r>
      <w:r w:rsidR="001D216A" w:rsidRPr="00F1315A">
        <w:t xml:space="preserve">political </w:t>
      </w:r>
      <w:r w:rsidR="00F1315A" w:rsidRPr="00F1315A">
        <w:t>narrative</w:t>
      </w:r>
      <w:r w:rsidR="001D216A" w:rsidRPr="00F1315A">
        <w:t xml:space="preserve"> </w:t>
      </w:r>
      <w:r w:rsidR="00067A4D" w:rsidRPr="00F1315A">
        <w:t>are</w:t>
      </w:r>
      <w:r w:rsidRPr="00F1315A">
        <w:t xml:space="preserve"> supposed to change society’s direction</w:t>
      </w:r>
      <w:r w:rsidR="00F1315A" w:rsidRPr="00F1315A">
        <w:t xml:space="preserve"> to show how progressive a government’s policies, records, and rhetoric are. However, as</w:t>
      </w:r>
      <w:r w:rsidR="00D55D37" w:rsidRPr="00F1315A">
        <w:t xml:space="preserve"> demonstrated by </w:t>
      </w:r>
      <w:r w:rsidR="00067A4D" w:rsidRPr="00F1315A">
        <w:t xml:space="preserve">the statements above, </w:t>
      </w:r>
      <w:r w:rsidR="00F1315A" w:rsidRPr="00F1315A">
        <w:t xml:space="preserve">their visions of the future appear to conform to past and current realities despite the time </w:t>
      </w:r>
      <w:r w:rsidR="002175D0" w:rsidRPr="002175D0">
        <w:t>between them</w:t>
      </w:r>
      <w:r w:rsidR="00D55D37" w:rsidRPr="00F1315A">
        <w:t>. Thus, they are based on what is known and do not present</w:t>
      </w:r>
      <w:r w:rsidRPr="00F1315A">
        <w:t xml:space="preserve"> </w:t>
      </w:r>
      <w:r w:rsidR="00D55D37" w:rsidRPr="00F1315A">
        <w:t>any challenge to the status quo.</w:t>
      </w:r>
      <w:r w:rsidR="00E521FF" w:rsidRPr="00F1315A">
        <w:t xml:space="preserve"> As such, the numbers presented will most likely uphold normative structures and systems, which include those that cause harm, as the narrative has not changed; it is just more of the same but slightly different </w:t>
      </w:r>
      <w:r w:rsidR="00E521FF" w:rsidRPr="00132F58">
        <w:t>(Sanson, 2023).</w:t>
      </w:r>
      <w:r w:rsidR="00E521FF" w:rsidRPr="00F1315A">
        <w:t xml:space="preserve"> </w:t>
      </w:r>
    </w:p>
    <w:p w14:paraId="23053546" w14:textId="0CCAD501" w:rsidR="00F1315A" w:rsidRPr="00F1315A" w:rsidRDefault="00F1315A" w:rsidP="00F1315A">
      <w:r w:rsidRPr="00F1315A">
        <w:t xml:space="preserve">This paper aims to </w:t>
      </w:r>
      <w:r w:rsidR="002175D0" w:rsidRPr="002175D0">
        <w:t>understand</w:t>
      </w:r>
      <w:r w:rsidRPr="00F1315A">
        <w:t xml:space="preserve"> how statistics are used in political narratives to shape the future. By comparing published statistical representations with ones created for this paper using the same dataset, it will be shown that</w:t>
      </w:r>
      <w:r>
        <w:t xml:space="preserve"> numbers are not neutral, benign or impartial</w:t>
      </w:r>
      <w:r w:rsidR="009464EE" w:rsidRPr="009464EE">
        <w:t>, and by being based on the past,</w:t>
      </w:r>
      <w:r w:rsidR="009464EE">
        <w:t xml:space="preserve"> they cannot create the conditions for future change.  Therefore, when using political narratives within the field of Systems Thinking, the paper argues that practitioners </w:t>
      </w:r>
      <w:r w:rsidR="009464EE" w:rsidRPr="009464EE">
        <w:t>need</w:t>
      </w:r>
      <w:r w:rsidR="009464EE">
        <w:t xml:space="preserve"> to consider conceptualised how </w:t>
      </w:r>
      <w:r w:rsidR="009464EE" w:rsidRPr="009464EE">
        <w:t>numbers</w:t>
      </w:r>
      <w:r w:rsidR="009464EE">
        <w:t xml:space="preserve"> and statistics inform the way we anticipate and perceive reality, how this upholds the status quo and the effects this has on creating the conditions for change.</w:t>
      </w:r>
    </w:p>
    <w:p w14:paraId="7E349677" w14:textId="1C56CB46" w:rsidR="001062FF" w:rsidRPr="00E6247B" w:rsidRDefault="00E6247B" w:rsidP="00C266AA">
      <w:pPr>
        <w:rPr>
          <w:b/>
          <w:bCs/>
        </w:rPr>
      </w:pPr>
      <w:r>
        <w:rPr>
          <w:b/>
          <w:bCs/>
        </w:rPr>
        <w:t xml:space="preserve">Literature Review and </w:t>
      </w:r>
      <w:r w:rsidR="001D216A" w:rsidRPr="00E6247B">
        <w:rPr>
          <w:b/>
          <w:bCs/>
        </w:rPr>
        <w:t>Debate</w:t>
      </w:r>
    </w:p>
    <w:p w14:paraId="3962FD82" w14:textId="01F0389F" w:rsidR="001D216A" w:rsidRDefault="00CD35D9" w:rsidP="001D216A">
      <w:r>
        <w:t xml:space="preserve">Within </w:t>
      </w:r>
      <w:r w:rsidR="00864F35">
        <w:t xml:space="preserve">systems thinking, there are several ways in which social learning approaches can be used to understand </w:t>
      </w:r>
      <w:r w:rsidR="001D216A">
        <w:t>past and present problems and</w:t>
      </w:r>
      <w:r>
        <w:t xml:space="preserve"> identify options that will help create the conditions for future change. </w:t>
      </w:r>
      <w:r w:rsidR="00B26D87">
        <w:t>As p</w:t>
      </w:r>
      <w:r>
        <w:t xml:space="preserve">roblems are causal </w:t>
      </w:r>
      <w:r w:rsidR="00C71BA1">
        <w:t>(</w:t>
      </w:r>
      <w:r w:rsidR="00B26D87">
        <w:t xml:space="preserve">identifying </w:t>
      </w:r>
      <w:r w:rsidR="00C71BA1">
        <w:t xml:space="preserve">what and when something is happening) </w:t>
      </w:r>
      <w:r>
        <w:t xml:space="preserve">and interpretive </w:t>
      </w:r>
      <w:r w:rsidR="00C71BA1">
        <w:lastRenderedPageBreak/>
        <w:t>(</w:t>
      </w:r>
      <w:r w:rsidR="00B26D87">
        <w:t>identifying</w:t>
      </w:r>
      <w:r w:rsidR="00C71BA1">
        <w:t xml:space="preserve"> how and why something is happening)</w:t>
      </w:r>
      <w:r w:rsidR="00B26D87">
        <w:t>, systems thinking uses</w:t>
      </w:r>
      <w:r w:rsidR="00C71BA1">
        <w:t xml:space="preserve"> a mix of </w:t>
      </w:r>
      <w:r w:rsidR="00B26D87">
        <w:t>learning</w:t>
      </w:r>
      <w:r w:rsidR="00C71BA1">
        <w:t xml:space="preserve"> techniques </w:t>
      </w:r>
      <w:r w:rsidR="00B26D87">
        <w:t xml:space="preserve">to inquire into them. </w:t>
      </w:r>
      <w:r w:rsidR="00864F35">
        <w:t>In</w:t>
      </w:r>
      <w:r w:rsidR="00B26D87">
        <w:t xml:space="preserve"> many fields of systems</w:t>
      </w:r>
      <w:r w:rsidR="00864F35">
        <w:t>,</w:t>
      </w:r>
      <w:r w:rsidR="00B26D87">
        <w:t xml:space="preserve"> it rarely creates its own set of quantitative data</w:t>
      </w:r>
      <w:r w:rsidR="00916AAD">
        <w:t>. Instead</w:t>
      </w:r>
      <w:r w:rsidR="001D216A">
        <w:t>,</w:t>
      </w:r>
      <w:r w:rsidR="00B26D87">
        <w:t xml:space="preserve"> </w:t>
      </w:r>
      <w:r w:rsidR="00864F35">
        <w:t>any statistics an inquiry encounters are</w:t>
      </w:r>
      <w:r w:rsidR="001D216A">
        <w:t xml:space="preserve"> contextually positioned and situated as part of the critical discourse around the roots of the problem. </w:t>
      </w:r>
      <w:r w:rsidR="009E6061">
        <w:t xml:space="preserve">The current focus in systems thinking is on </w:t>
      </w:r>
      <w:r w:rsidR="00D12C5D">
        <w:t xml:space="preserve">the </w:t>
      </w:r>
      <w:r w:rsidR="009E6061">
        <w:t xml:space="preserve">anticipatory and predictive </w:t>
      </w:r>
      <w:r w:rsidR="00D12C5D">
        <w:t>mind</w:t>
      </w:r>
      <w:r w:rsidR="009E6061">
        <w:t xml:space="preserve">, </w:t>
      </w:r>
      <w:r w:rsidR="00E6247B">
        <w:t>which</w:t>
      </w:r>
      <w:r w:rsidR="009E6061">
        <w:t xml:space="preserve"> help us understand the future and its effect on change.</w:t>
      </w:r>
      <w:r w:rsidR="00E6247B" w:rsidRPr="00E6247B">
        <w:t xml:space="preserve"> “Our perception of reality is not an exact representation of the objective truth but rather a combination of sensory inputs and the brain’s interpretation of these signals. This interpretation is influenced by past experiences and is often predictive, with the brain creating categories of similar instances to anticipate future events.” (Feldman Barrett, 2023).</w:t>
      </w:r>
      <w:r w:rsidR="009E6061">
        <w:t xml:space="preserve"> As such, </w:t>
      </w:r>
      <w:r w:rsidR="00916AAD">
        <w:t xml:space="preserve">it is right to ask if </w:t>
      </w:r>
      <w:r w:rsidR="009E6061">
        <w:t xml:space="preserve">numbers only make sense based on the meaning we give them due to our </w:t>
      </w:r>
      <w:r w:rsidR="001D216A">
        <w:t xml:space="preserve">perception of reality. </w:t>
      </w:r>
      <w:r w:rsidR="00916AAD">
        <w:t>If</w:t>
      </w:r>
      <w:r w:rsidR="001D216A">
        <w:t xml:space="preserve"> our behaviour is predicative, do we expect something will happen in the future with only one outcome exactly as we determine based on our sense/meaning-making of our perceived reality?  </w:t>
      </w:r>
      <w:r w:rsidR="009E6061">
        <w:t>O</w:t>
      </w:r>
      <w:r w:rsidR="001D216A">
        <w:t>r</w:t>
      </w:r>
      <w:r w:rsidR="00916AAD">
        <w:t>, if our behaviour is anticipatory, do we sense something will happen based on how we assume or prepare for future outcomes based on our perception of reality?</w:t>
      </w:r>
      <w:r w:rsidR="001D216A">
        <w:t xml:space="preserve"> Depending on the outcome, we make sense</w:t>
      </w:r>
      <w:r w:rsidR="00916AAD">
        <w:t xml:space="preserve"> of this through </w:t>
      </w:r>
      <w:r w:rsidR="009E6061">
        <w:t xml:space="preserve">meaning-making </w:t>
      </w:r>
      <w:r w:rsidR="001D216A">
        <w:t xml:space="preserve">to accept or reject </w:t>
      </w:r>
      <w:r w:rsidR="00916AAD">
        <w:t>it</w:t>
      </w:r>
      <w:r w:rsidR="001D216A">
        <w:t>. Th</w:t>
      </w:r>
      <w:r w:rsidR="00916AAD">
        <w:t>erefore</w:t>
      </w:r>
      <w:r w:rsidR="00E6247B">
        <w:t>, we believe we have "predicted" that outcome if something happens as we expect</w:t>
      </w:r>
      <w:r w:rsidR="001D216A">
        <w:t>.</w:t>
      </w:r>
      <w:r w:rsidR="009E6061">
        <w:t xml:space="preserve"> Th</w:t>
      </w:r>
      <w:r w:rsidR="00916AAD">
        <w:t>us</w:t>
      </w:r>
      <w:r w:rsidR="009E6061">
        <w:t xml:space="preserve">, do numbers exist only within the confines of the </w:t>
      </w:r>
      <w:r w:rsidR="00916AAD">
        <w:t xml:space="preserve">contextual </w:t>
      </w:r>
      <w:r w:rsidR="009E6061">
        <w:t xml:space="preserve">meaning they are given by </w:t>
      </w:r>
      <w:r w:rsidR="00916AAD">
        <w:t>us</w:t>
      </w:r>
      <w:r w:rsidR="009E6061">
        <w:t xml:space="preserve"> </w:t>
      </w:r>
      <w:r w:rsidR="00916AAD">
        <w:t xml:space="preserve">so they have a sense of purpose, values and place? </w:t>
      </w:r>
    </w:p>
    <w:p w14:paraId="0DEFCA4C" w14:textId="341F7D98" w:rsidR="00E6247B" w:rsidRDefault="00E6247B" w:rsidP="001D216A">
      <w:r>
        <w:t xml:space="preserve">This question has become pressing because, as </w:t>
      </w:r>
      <w:r w:rsidR="00994F67" w:rsidRPr="00994F67">
        <w:t>McLaughlin</w:t>
      </w:r>
      <w:r w:rsidR="00994F67">
        <w:t xml:space="preserve"> </w:t>
      </w:r>
      <w:r w:rsidR="00994F67">
        <w:t>and</w:t>
      </w:r>
      <w:r w:rsidR="00994F67" w:rsidRPr="00994F67">
        <w:t xml:space="preserve"> Velez</w:t>
      </w:r>
      <w:r w:rsidRPr="00994F67">
        <w:t xml:space="preserve"> (201</w:t>
      </w:r>
      <w:r w:rsidR="00994F67" w:rsidRPr="00994F67">
        <w:t>9</w:t>
      </w:r>
      <w:r>
        <w:t xml:space="preserve">) found, as people have increasingly become immersed in the well-polished and targeted political narratives on social media and other online platforms, the more they have absorbed them as part of their perceived reality- even when they are not affected by the issue. The research has found that with social media dominating our lives </w:t>
      </w:r>
      <w:r w:rsidR="00D12C5D">
        <w:t>unprecedentedly</w:t>
      </w:r>
      <w:r>
        <w:t xml:space="preserve">, political narratives have become more sophisticated and focused by immersing people in an experience of </w:t>
      </w:r>
      <w:r w:rsidR="00D12C5D">
        <w:t>reality,</w:t>
      </w:r>
      <w:r>
        <w:t xml:space="preserve"> so they perceive issues as more directly related and relevant to their lives. Visual storytelling has always been an important part of politics, the difference as McLaughlin found, with the rise of the short form video, made popular through TikTok and Instagram, they can be curated and targeted more precisely through algorithms and the line between </w:t>
      </w:r>
      <w:r w:rsidR="00D12C5D">
        <w:t>what was called “</w:t>
      </w:r>
      <w:r w:rsidRPr="00D12C5D">
        <w:t>fake news</w:t>
      </w:r>
      <w:r w:rsidR="00D12C5D">
        <w:t>”,</w:t>
      </w:r>
      <w:r w:rsidRPr="00D12C5D">
        <w:t xml:space="preserve"> </w:t>
      </w:r>
      <w:r>
        <w:t xml:space="preserve">and </w:t>
      </w:r>
      <w:r w:rsidR="00D12C5D">
        <w:t xml:space="preserve">our perceived </w:t>
      </w:r>
      <w:r>
        <w:t xml:space="preserve">reality </w:t>
      </w:r>
      <w:r w:rsidR="00D12C5D">
        <w:t>has vanished</w:t>
      </w:r>
      <w:r>
        <w:t xml:space="preserve">.  </w:t>
      </w:r>
      <w:r w:rsidR="00D12C5D">
        <w:t>Therefore, when using systems thinking to understand the future, the issue is, as Mclaughlin states,</w:t>
      </w:r>
      <w:r>
        <w:t xml:space="preserve"> </w:t>
      </w:r>
      <w:r w:rsidR="00D12C5D">
        <w:t>“</w:t>
      </w:r>
      <w:r w:rsidR="00D12C5D" w:rsidRPr="00D12C5D">
        <w:t xml:space="preserve">Citizens imagine how political elections can change the course of America’s future and, consequently, affect their lives. When it comes to voting </w:t>
      </w:r>
      <w:r w:rsidR="00D12C5D">
        <w:t>behaviour</w:t>
      </w:r>
      <w:r w:rsidR="00D12C5D" w:rsidRPr="00D12C5D">
        <w:t>, imagination is reality</w:t>
      </w:r>
      <w:r w:rsidR="00D12C5D">
        <w:t>…</w:t>
      </w:r>
      <w:r w:rsidR="00D12C5D" w:rsidRPr="00D12C5D">
        <w:t xml:space="preserve"> In these scenarios, citizens often imagine that they will personally be living in a world that is heavily influenced by election outcomes, even though much of what they know about this political world is learned and experienced vicariously, through mediated messages</w:t>
      </w:r>
      <w:r w:rsidR="00D12C5D">
        <w:t xml:space="preserve">.” </w:t>
      </w:r>
    </w:p>
    <w:p w14:paraId="3AD9DBB1" w14:textId="3F3A2D96" w:rsidR="00D12C5D" w:rsidRDefault="00D12C5D" w:rsidP="008428F6">
      <w:r>
        <w:t xml:space="preserve">A key aspect of these mediated political messages is </w:t>
      </w:r>
      <w:r w:rsidR="008428F6">
        <w:t>using</w:t>
      </w:r>
      <w:r>
        <w:t xml:space="preserve"> numbers and statistics. They give credence to the story being told to justify and validate political ideologies and policies. </w:t>
      </w:r>
      <w:r w:rsidR="005C16E7">
        <w:t xml:space="preserve">Gillborn, Warmington, and Demack </w:t>
      </w:r>
      <w:r w:rsidR="005C16E7" w:rsidRPr="005C16E7">
        <w:t>2018</w:t>
      </w:r>
      <w:r w:rsidR="005C16E7">
        <w:t xml:space="preserve"> </w:t>
      </w:r>
      <w:r w:rsidR="008428F6">
        <w:t>state that “quantitative material &lt;is treated&gt; as if it is fundamentally different and superior to qualitative data. Numbers are assumed to report ‘the facts’; they are seen as authoritative, neutral, dispassionate, and objective.”. Yet, the reported figures in political commentaries are as mediated as the voices within them</w:t>
      </w:r>
      <w:r w:rsidR="00B24540">
        <w:t>. As</w:t>
      </w:r>
      <w:r w:rsidR="008428F6">
        <w:t xml:space="preserve"> people are taught to believe that numbers never lie and usually do not have the statistical skills to prove them wrong or the time and capacity to </w:t>
      </w:r>
      <w:r w:rsidR="00B24540" w:rsidRPr="00B24540">
        <w:t>fact-check,</w:t>
      </w:r>
      <w:r w:rsidR="00B24540">
        <w:t xml:space="preserve"> they are accepted</w:t>
      </w:r>
      <w:r w:rsidR="008428F6">
        <w:t>. Yet, this relationship with numbers is not the major factor in making people believe in the power of statistics, but emotions (</w:t>
      </w:r>
      <w:r w:rsidR="008428F6" w:rsidRPr="00DC1C1D">
        <w:t>Shell</w:t>
      </w:r>
      <w:r w:rsidR="00DC1C1D">
        <w:t>ey</w:t>
      </w:r>
      <w:r w:rsidR="008428F6">
        <w:t>, 2019), triggered by how we anticipate our reality. Mediated political messages will in</w:t>
      </w:r>
      <w:r w:rsidR="008428F6" w:rsidRPr="000517A4">
        <w:t xml:space="preserve">fluence and play upon our prior notions about issues by confirming our biases </w:t>
      </w:r>
      <w:r w:rsidR="005265F4" w:rsidRPr="000517A4">
        <w:t>and “bounded reality” (Simon</w:t>
      </w:r>
      <w:r w:rsidR="005265F4">
        <w:t xml:space="preserve">, </w:t>
      </w:r>
      <w:r w:rsidR="000517A4">
        <w:t>1957</w:t>
      </w:r>
      <w:r w:rsidR="005265F4">
        <w:t>)</w:t>
      </w:r>
      <w:r w:rsidR="00B24540" w:rsidRPr="00B24540">
        <w:t xml:space="preserve">, i.e. that our perception of reality is limited contextually by </w:t>
      </w:r>
      <w:r w:rsidR="00B24540">
        <w:t>what we know at that time the choices we have and decisions we make are limited. Yet, despite this</w:t>
      </w:r>
      <w:r w:rsidR="00B24540" w:rsidRPr="00B24540">
        <w:t>,</w:t>
      </w:r>
      <w:r w:rsidR="00B24540">
        <w:t xml:space="preserve"> people </w:t>
      </w:r>
      <w:r w:rsidR="002F728B">
        <w:t xml:space="preserve">either </w:t>
      </w:r>
      <w:r w:rsidR="00B24540">
        <w:t>overestimate what they know</w:t>
      </w:r>
      <w:r w:rsidR="00B24540" w:rsidRPr="00B24540">
        <w:t>,</w:t>
      </w:r>
      <w:r w:rsidR="00B24540">
        <w:t xml:space="preserve"> </w:t>
      </w:r>
      <w:r w:rsidR="002F728B" w:rsidRPr="002F728B">
        <w:t>giving rise to</w:t>
      </w:r>
      <w:r w:rsidR="00B24540">
        <w:t xml:space="preserve"> </w:t>
      </w:r>
      <w:r w:rsidR="00C13DAD">
        <w:t>“</w:t>
      </w:r>
      <w:r w:rsidR="00B24540">
        <w:t>illusionary superiority</w:t>
      </w:r>
      <w:r w:rsidR="000517A4">
        <w:t xml:space="preserve"> bias</w:t>
      </w:r>
      <w:r w:rsidR="00C13DAD">
        <w:t>”</w:t>
      </w:r>
      <w:r w:rsidR="00B24540">
        <w:t xml:space="preserve"> (</w:t>
      </w:r>
      <w:r w:rsidR="000517A4" w:rsidRPr="000517A4">
        <w:t>Buunk</w:t>
      </w:r>
      <w:r w:rsidR="000517A4">
        <w:t xml:space="preserve"> and</w:t>
      </w:r>
      <w:r w:rsidR="000517A4" w:rsidRPr="000517A4">
        <w:t xml:space="preserve"> Van Yperen</w:t>
      </w:r>
      <w:r w:rsidR="00B24540" w:rsidRPr="000517A4">
        <w:t>, 1991</w:t>
      </w:r>
      <w:r w:rsidR="00B24540">
        <w:t>)</w:t>
      </w:r>
      <w:r w:rsidR="002F728B" w:rsidRPr="002F728B">
        <w:t>,</w:t>
      </w:r>
      <w:r w:rsidR="00B24540">
        <w:t xml:space="preserve"> </w:t>
      </w:r>
      <w:r w:rsidR="002F728B">
        <w:t>i.e. we think we know better than others even if the political narrative is debunked or through “imposter syndrome” (</w:t>
      </w:r>
      <w:r w:rsidR="002F728B" w:rsidRPr="009051F9">
        <w:t>Clance and Limes</w:t>
      </w:r>
      <w:r w:rsidR="009051F9">
        <w:t>,</w:t>
      </w:r>
      <w:r w:rsidR="002F728B" w:rsidRPr="009051F9">
        <w:t xml:space="preserve"> 1978)</w:t>
      </w:r>
      <w:r w:rsidR="002F728B">
        <w:t xml:space="preserve"> we downplay what we know by acting if we if </w:t>
      </w:r>
      <w:r w:rsidR="002033D5" w:rsidRPr="002033D5">
        <w:t>do not know</w:t>
      </w:r>
      <w:r w:rsidR="002F728B">
        <w:t xml:space="preserve"> a situation even when presented with the full information. </w:t>
      </w:r>
      <w:r w:rsidR="00241CA1">
        <w:t xml:space="preserve">The complex psychological processes that </w:t>
      </w:r>
      <w:r w:rsidR="00241CA1" w:rsidRPr="00241CA1">
        <w:t>underpin</w:t>
      </w:r>
      <w:r w:rsidR="00241CA1">
        <w:t xml:space="preserve"> our cognitive </w:t>
      </w:r>
      <w:r w:rsidR="00241CA1" w:rsidRPr="00241CA1">
        <w:t>abilities</w:t>
      </w:r>
      <w:r w:rsidR="00241CA1">
        <w:t xml:space="preserve"> combined </w:t>
      </w:r>
      <w:r w:rsidR="00241CA1" w:rsidRPr="00241CA1">
        <w:t xml:space="preserve">with </w:t>
      </w:r>
      <w:r w:rsidR="00241CA1">
        <w:t xml:space="preserve">our level of numeracy means </w:t>
      </w:r>
      <w:r w:rsidR="00241CA1" w:rsidRPr="00241CA1">
        <w:t>how</w:t>
      </w:r>
      <w:r w:rsidR="00241CA1">
        <w:t xml:space="preserve"> we anticipate numbers and statistics in political </w:t>
      </w:r>
      <w:r w:rsidR="00241CA1">
        <w:lastRenderedPageBreak/>
        <w:t xml:space="preserve">narratives allows us </w:t>
      </w:r>
      <w:r w:rsidR="00241CA1" w:rsidRPr="00241CA1">
        <w:t>to</w:t>
      </w:r>
      <w:r w:rsidR="00241CA1">
        <w:t xml:space="preserve"> block out, over focus and misinterpret them </w:t>
      </w:r>
      <w:r w:rsidR="00241CA1" w:rsidRPr="00241CA1">
        <w:t>depending</w:t>
      </w:r>
      <w:r w:rsidR="00241CA1">
        <w:t xml:space="preserve"> on how well they fit our perception of reality. Thus, we </w:t>
      </w:r>
      <w:r w:rsidR="00241CA1" w:rsidRPr="00241CA1">
        <w:t>reward</w:t>
      </w:r>
      <w:r w:rsidR="00241CA1">
        <w:t xml:space="preserve"> political parties for what they say</w:t>
      </w:r>
      <w:r w:rsidR="002224EC" w:rsidRPr="002224EC">
        <w:t>,</w:t>
      </w:r>
      <w:r w:rsidR="00241CA1">
        <w:t xml:space="preserve"> not what they do</w:t>
      </w:r>
      <w:r w:rsidR="002224EC" w:rsidRPr="002224EC">
        <w:t>,</w:t>
      </w:r>
      <w:r w:rsidR="00241CA1">
        <w:t xml:space="preserve"> because </w:t>
      </w:r>
      <w:r w:rsidR="002224EC">
        <w:t xml:space="preserve">their narratives fit ours. </w:t>
      </w:r>
    </w:p>
    <w:p w14:paraId="7B4E9FC4" w14:textId="409D1BC4" w:rsidR="00CD35D9" w:rsidRPr="00E6247B" w:rsidRDefault="00916AAD" w:rsidP="00C266AA">
      <w:pPr>
        <w:rPr>
          <w:b/>
          <w:bCs/>
        </w:rPr>
      </w:pPr>
      <w:r w:rsidRPr="00E6247B">
        <w:rPr>
          <w:b/>
          <w:bCs/>
        </w:rPr>
        <w:t>Method</w:t>
      </w:r>
      <w:r w:rsidR="002D4585">
        <w:rPr>
          <w:b/>
          <w:bCs/>
        </w:rPr>
        <w:t xml:space="preserve"> and Methodology</w:t>
      </w:r>
    </w:p>
    <w:p w14:paraId="4FCB9119" w14:textId="10706469" w:rsidR="00B01605" w:rsidRDefault="00B01605" w:rsidP="00B01605">
      <w:r>
        <w:t xml:space="preserve">If political </w:t>
      </w:r>
      <w:r w:rsidRPr="00B01605">
        <w:t>narratives</w:t>
      </w:r>
      <w:r>
        <w:t xml:space="preserve"> are based on the past, how do the numbers and statistics lock in biases and uphold power dynamics? How do these narratives condition the reality of many groups in society, causing them to become stuck and unable to move? Therefore, if systems thinking </w:t>
      </w:r>
      <w:r w:rsidRPr="00B01605">
        <w:t xml:space="preserve">is </w:t>
      </w:r>
      <w:r>
        <w:t xml:space="preserve">based on creating future conditions for change, what can be learnt from </w:t>
      </w:r>
      <w:r w:rsidR="00F67C7F">
        <w:t>how</w:t>
      </w:r>
      <w:r w:rsidR="007610C1">
        <w:t xml:space="preserve"> </w:t>
      </w:r>
      <w:r>
        <w:t xml:space="preserve">numbers and statistics </w:t>
      </w:r>
      <w:r w:rsidR="00F67C7F">
        <w:t xml:space="preserve">are used </w:t>
      </w:r>
      <w:r>
        <w:t xml:space="preserve">in political narratives to </w:t>
      </w:r>
      <w:r w:rsidR="007610C1" w:rsidRPr="007610C1">
        <w:t>improve systems</w:t>
      </w:r>
      <w:r w:rsidR="007610C1">
        <w:t xml:space="preserve"> thinking practice</w:t>
      </w:r>
      <w:r>
        <w:t>?</w:t>
      </w:r>
    </w:p>
    <w:p w14:paraId="5ABAEBB7" w14:textId="40F983D0" w:rsidR="00B01605" w:rsidRDefault="00B01605" w:rsidP="00C266AA">
      <w:r>
        <w:t xml:space="preserve">Using </w:t>
      </w:r>
      <w:r w:rsidR="001062FF" w:rsidRPr="00C266AA">
        <w:t xml:space="preserve"> </w:t>
      </w:r>
      <w:r w:rsidR="00C266AA" w:rsidRPr="00C266AA">
        <w:t xml:space="preserve">QuantCrit an “approach that seeks to challenge and address the use of statical data” (Castillo and Gilborn, 2023), </w:t>
      </w:r>
      <w:r w:rsidR="00916AAD">
        <w:t xml:space="preserve">and </w:t>
      </w:r>
      <w:r w:rsidR="003253FF">
        <w:t>DisCrit “</w:t>
      </w:r>
      <w:r>
        <w:t xml:space="preserve">a </w:t>
      </w:r>
      <w:r w:rsidR="003253FF">
        <w:t>theoretical framework that incorporates a dual analysis of race and ability” (</w:t>
      </w:r>
      <w:r w:rsidR="00AB3E86">
        <w:t>Annamma, Connor, and Ferri</w:t>
      </w:r>
      <w:r w:rsidR="00AB3E86">
        <w:t xml:space="preserve">, </w:t>
      </w:r>
      <w:r w:rsidR="00AB3E86">
        <w:t>2013</w:t>
      </w:r>
      <w:r w:rsidR="003253FF">
        <w:t xml:space="preserve">), </w:t>
      </w:r>
      <w:r w:rsidR="00C266AA" w:rsidRPr="00C266AA">
        <w:t xml:space="preserve">this paper </w:t>
      </w:r>
      <w:r w:rsidR="00C266AA">
        <w:t>critically</w:t>
      </w:r>
      <w:r w:rsidR="001062FF" w:rsidRPr="00C266AA">
        <w:t xml:space="preserve"> </w:t>
      </w:r>
      <w:r w:rsidR="00C266AA">
        <w:t>assesses</w:t>
      </w:r>
      <w:r w:rsidR="001062FF" w:rsidRPr="00C266AA">
        <w:t xml:space="preserve"> the appropriate</w:t>
      </w:r>
      <w:r w:rsidR="00C266AA">
        <w:t xml:space="preserve">ness of </w:t>
      </w:r>
      <w:r w:rsidR="001062FF" w:rsidRPr="00C266AA">
        <w:t>contexts using quantitative research techniques</w:t>
      </w:r>
      <w:r w:rsidR="00942894">
        <w:t>, in this case, Sunak’s reforms of the “the sick note culture”</w:t>
      </w:r>
      <w:r w:rsidR="003253FF">
        <w:t xml:space="preserve"> by </w:t>
      </w:r>
      <w:r w:rsidR="009F2B46">
        <w:t xml:space="preserve">looking at </w:t>
      </w:r>
      <w:r w:rsidR="001062FF" w:rsidRPr="00C266AA">
        <w:t>philosophical underpinnings</w:t>
      </w:r>
      <w:r>
        <w:t>,</w:t>
      </w:r>
      <w:r w:rsidR="001062FF" w:rsidRPr="00C266AA">
        <w:t xml:space="preserve"> strengths and limitations</w:t>
      </w:r>
      <w:r>
        <w:t xml:space="preserve"> of statistics</w:t>
      </w:r>
      <w:r w:rsidR="003253FF">
        <w:t xml:space="preserve">. </w:t>
      </w:r>
      <w:r w:rsidR="001062FF" w:rsidRPr="00C266AA">
        <w:t xml:space="preserve"> </w:t>
      </w:r>
      <w:r w:rsidR="003253FF">
        <w:t xml:space="preserve">The </w:t>
      </w:r>
      <w:r w:rsidR="009F2B46">
        <w:t>focus</w:t>
      </w:r>
      <w:r w:rsidR="003253FF">
        <w:t xml:space="preserve"> is</w:t>
      </w:r>
      <w:r w:rsidR="009F2B46">
        <w:t xml:space="preserve"> on</w:t>
      </w:r>
      <w:r w:rsidR="00C266AA">
        <w:t xml:space="preserve"> the Department for Work and Pensions</w:t>
      </w:r>
      <w:r w:rsidR="003F23AC">
        <w:t xml:space="preserve"> </w:t>
      </w:r>
      <w:r w:rsidR="003253FF">
        <w:t xml:space="preserve">(DWP) </w:t>
      </w:r>
      <w:r w:rsidR="00C266AA">
        <w:t xml:space="preserve">official statistics for the Employment of Disabled People 2022 </w:t>
      </w:r>
      <w:r w:rsidR="00E6247B">
        <w:t>webpages</w:t>
      </w:r>
      <w:r w:rsidR="00EF14FD">
        <w:t>,</w:t>
      </w:r>
      <w:r w:rsidR="00E6247B">
        <w:t xml:space="preserve"> </w:t>
      </w:r>
      <w:r w:rsidR="00C266AA">
        <w:t xml:space="preserve">which </w:t>
      </w:r>
      <w:r w:rsidR="00EF14FD">
        <w:t>were</w:t>
      </w:r>
      <w:r w:rsidR="00C266AA">
        <w:t xml:space="preserve"> published in January 2023 </w:t>
      </w:r>
      <w:r w:rsidR="003253FF">
        <w:t>and</w:t>
      </w:r>
      <w:r w:rsidR="009F2B46">
        <w:t xml:space="preserve"> </w:t>
      </w:r>
      <w:r w:rsidR="00EF14FD">
        <w:t>were</w:t>
      </w:r>
      <w:r w:rsidR="009F2B46">
        <w:t xml:space="preserve"> used to drive the government’s reforms by a</w:t>
      </w:r>
      <w:r w:rsidR="00942894">
        <w:t>sk</w:t>
      </w:r>
      <w:r w:rsidR="009F2B46">
        <w:t>ing</w:t>
      </w:r>
      <w:r w:rsidR="00EF14FD">
        <w:t>,</w:t>
      </w:r>
      <w:r w:rsidR="00942894">
        <w:t xml:space="preserve"> “</w:t>
      </w:r>
      <w:r w:rsidR="003253FF">
        <w:t>What</w:t>
      </w:r>
      <w:r w:rsidR="00942894">
        <w:t xml:space="preserve"> effect do the use of </w:t>
      </w:r>
      <w:r w:rsidR="009464EE">
        <w:t xml:space="preserve">numbers and </w:t>
      </w:r>
      <w:r w:rsidR="00942894">
        <w:t>statistics have on the ability</w:t>
      </w:r>
      <w:r w:rsidR="002224EC">
        <w:t xml:space="preserve"> of</w:t>
      </w:r>
      <w:r w:rsidR="00632EC7">
        <w:t xml:space="preserve"> political narratives</w:t>
      </w:r>
      <w:r w:rsidR="00942894">
        <w:t xml:space="preserve"> to create</w:t>
      </w:r>
      <w:r w:rsidR="00CD35D9">
        <w:t xml:space="preserve"> </w:t>
      </w:r>
      <w:r w:rsidR="00942894">
        <w:t xml:space="preserve">conditions for </w:t>
      </w:r>
      <w:r w:rsidR="002D4585">
        <w:t>future reforms</w:t>
      </w:r>
      <w:r w:rsidR="00942894">
        <w:t xml:space="preserve">?”. </w:t>
      </w:r>
      <w:r w:rsidR="00F67C7F">
        <w:t>Th</w:t>
      </w:r>
      <w:r w:rsidR="00FF2658">
        <w:t>is</w:t>
      </w:r>
      <w:r w:rsidR="00F67C7F">
        <w:t xml:space="preserve"> paper use</w:t>
      </w:r>
      <w:r w:rsidR="00FF2658">
        <w:t>s</w:t>
      </w:r>
      <w:r w:rsidR="00F67C7F">
        <w:t xml:space="preserve"> the </w:t>
      </w:r>
      <w:r w:rsidR="00FF2658">
        <w:t xml:space="preserve">ideas behind the </w:t>
      </w:r>
      <w:r w:rsidR="00F67C7F">
        <w:t xml:space="preserve">five principles of QuantCrit </w:t>
      </w:r>
      <w:r w:rsidR="007F7196" w:rsidRPr="007F7196">
        <w:t>overlaid with the seven tenets</w:t>
      </w:r>
      <w:r w:rsidR="007F7196">
        <w:t xml:space="preserve"> of DisCrit </w:t>
      </w:r>
      <w:r w:rsidR="00F67C7F">
        <w:t xml:space="preserve">to examine and explore the official </w:t>
      </w:r>
      <w:r w:rsidR="00F67C7F" w:rsidRPr="00F67C7F">
        <w:t>statistics</w:t>
      </w:r>
      <w:r w:rsidR="00F67C7F">
        <w:t xml:space="preserve"> in </w:t>
      </w:r>
      <w:r w:rsidR="007F7196" w:rsidRPr="007F7196">
        <w:t>the context of</w:t>
      </w:r>
      <w:r w:rsidR="00F67C7F">
        <w:t xml:space="preserve"> the “sick note culture reforms”</w:t>
      </w:r>
      <w:r w:rsidR="007F7196">
        <w:t xml:space="preserve">. </w:t>
      </w:r>
    </w:p>
    <w:p w14:paraId="50D0EEEC" w14:textId="399BD40F" w:rsidR="002D4585" w:rsidRDefault="00942894" w:rsidP="00C266AA">
      <w:r>
        <w:t xml:space="preserve">The hypothesis is </w:t>
      </w:r>
      <w:r w:rsidR="00CD35D9">
        <w:t xml:space="preserve">that </w:t>
      </w:r>
      <w:r w:rsidR="009464EE">
        <w:t>numbers and</w:t>
      </w:r>
      <w:r w:rsidR="003253FF">
        <w:t xml:space="preserve"> statistics have a negative effect</w:t>
      </w:r>
      <w:r w:rsidR="00CD35D9">
        <w:t xml:space="preserve"> because </w:t>
      </w:r>
      <w:r w:rsidR="002224EC">
        <w:t>political</w:t>
      </w:r>
      <w:r w:rsidR="00CD35D9">
        <w:t xml:space="preserve"> narrative</w:t>
      </w:r>
      <w:r w:rsidR="002224EC">
        <w:t>s</w:t>
      </w:r>
      <w:r w:rsidR="00CD35D9">
        <w:t xml:space="preserve"> </w:t>
      </w:r>
      <w:r w:rsidR="002224EC">
        <w:t>are based on the current situation</w:t>
      </w:r>
      <w:r w:rsidR="002224EC" w:rsidRPr="002224EC">
        <w:t xml:space="preserve">, an iteration of what </w:t>
      </w:r>
      <w:r w:rsidR="002224EC">
        <w:t>went before. T</w:t>
      </w:r>
      <w:r w:rsidR="00CD35D9">
        <w:t>hus, the</w:t>
      </w:r>
      <w:r w:rsidR="002D4585">
        <w:t xml:space="preserve"> future</w:t>
      </w:r>
      <w:r w:rsidR="00CD35D9">
        <w:t xml:space="preserve"> conditions </w:t>
      </w:r>
      <w:r w:rsidR="002D4585">
        <w:t>are just another retelling of the past</w:t>
      </w:r>
      <w:r w:rsidR="002D4585" w:rsidRPr="002D4585">
        <w:t>; thus,</w:t>
      </w:r>
      <w:r w:rsidR="002D4585">
        <w:t xml:space="preserve"> nothing is reformed, so we end up with “more of the same but slightly different”</w:t>
      </w:r>
      <w:r w:rsidR="00B01605">
        <w:t xml:space="preserve"> (</w:t>
      </w:r>
      <w:r w:rsidR="00B01605" w:rsidRPr="00132F58">
        <w:t>Sanson, 2023</w:t>
      </w:r>
      <w:r w:rsidR="00B01605">
        <w:t xml:space="preserve">). </w:t>
      </w:r>
    </w:p>
    <w:p w14:paraId="67DF9087" w14:textId="68F74ED6" w:rsidR="00C266AA" w:rsidRDefault="002033D5" w:rsidP="00C266AA">
      <w:r w:rsidRPr="002033D5">
        <w:t>The DWP's official statistics include several key graphs related to Sunak’s reforms, wh</w:t>
      </w:r>
      <w:r>
        <w:t>ich uphold and</w:t>
      </w:r>
      <w:r w:rsidRPr="002033D5">
        <w:t xml:space="preserve"> contribute to the narrative of his speech. </w:t>
      </w:r>
      <w:r>
        <w:t>One of the key graphs</w:t>
      </w:r>
      <w:r w:rsidR="00AA6E84" w:rsidRPr="00AA6E84">
        <w:t>, “The number of people reporting a long-term health condition or classed as disabled continues to rise”, will be used along with the secondary data source “Data tables: The employment of disabled people 2022 (XLS)”,</w:t>
      </w:r>
      <w:r w:rsidR="00AA6E84">
        <w:t xml:space="preserve"> which</w:t>
      </w:r>
      <w:r w:rsidRPr="002033D5">
        <w:t xml:space="preserve"> the DWP used</w:t>
      </w:r>
      <w:r w:rsidR="00AA6E84">
        <w:t xml:space="preserve"> to create the graphs. </w:t>
      </w:r>
      <w:r w:rsidR="00EF14FD">
        <w:t xml:space="preserve"> </w:t>
      </w:r>
      <w:r w:rsidR="00AA6E84">
        <w:t>T</w:t>
      </w:r>
      <w:r w:rsidR="00EF14FD">
        <w:t>he raw data</w:t>
      </w:r>
      <w:r w:rsidR="00AA6E84">
        <w:t xml:space="preserve"> for the graph</w:t>
      </w:r>
      <w:r w:rsidR="00EF14FD">
        <w:t xml:space="preserve"> will be summarised to provide descriptive statistics using a range of quantitative analysis techniques to compare to the published graphs on the </w:t>
      </w:r>
      <w:r w:rsidR="002D4585" w:rsidRPr="002D4585">
        <w:t>web pages</w:t>
      </w:r>
      <w:r w:rsidR="00EF14FD">
        <w:t xml:space="preserve"> </w:t>
      </w:r>
      <w:r w:rsidR="00AA6E84">
        <w:t>to</w:t>
      </w:r>
      <w:r w:rsidR="00EF14FD">
        <w:t xml:space="preserve"> </w:t>
      </w:r>
      <w:r w:rsidR="00E6247B">
        <w:t>address the question</w:t>
      </w:r>
      <w:r w:rsidR="00AA6E84">
        <w:t xml:space="preserve"> and further the hypothesis</w:t>
      </w:r>
      <w:r w:rsidR="00E6247B">
        <w:t xml:space="preserve">. </w:t>
      </w:r>
    </w:p>
    <w:p w14:paraId="19634566" w14:textId="1262A4B2" w:rsidR="00E6247B" w:rsidRDefault="00E6247B" w:rsidP="00E6247B">
      <w:r>
        <w:t xml:space="preserve">The </w:t>
      </w:r>
      <w:r w:rsidR="002224EC">
        <w:t xml:space="preserve">paper </w:t>
      </w:r>
      <w:r w:rsidR="002D4585" w:rsidRPr="002D4585">
        <w:t>comes</w:t>
      </w:r>
      <w:r>
        <w:t xml:space="preserve"> from a </w:t>
      </w:r>
      <w:r w:rsidR="002D4585">
        <w:t>positivistic/</w:t>
      </w:r>
      <w:r>
        <w:t>constructive/interpretive ontological and epistemological lens</w:t>
      </w:r>
      <w:r w:rsidR="005814C5">
        <w:t xml:space="preserve"> as it</w:t>
      </w:r>
      <w:r w:rsidR="005814C5" w:rsidRPr="005814C5">
        <w:t xml:space="preserve"> understand</w:t>
      </w:r>
      <w:r w:rsidR="005814C5">
        <w:t>s</w:t>
      </w:r>
      <w:r w:rsidR="005814C5" w:rsidRPr="005814C5">
        <w:t xml:space="preserve"> that we make meaning from </w:t>
      </w:r>
      <w:r w:rsidR="005814C5">
        <w:t>our past and present experiences</w:t>
      </w:r>
      <w:r w:rsidR="005814C5" w:rsidRPr="005814C5">
        <w:t>, creating our knowledge and affecting</w:t>
      </w:r>
      <w:r w:rsidR="002D4585">
        <w:t xml:space="preserve"> how we anticipate and perceive the future</w:t>
      </w:r>
      <w:r>
        <w:t xml:space="preserve">. </w:t>
      </w:r>
      <w:r w:rsidR="005814C5">
        <w:t>As such, we believe that through cause and effect</w:t>
      </w:r>
      <w:r w:rsidR="005814C5" w:rsidRPr="005814C5">
        <w:t>,</w:t>
      </w:r>
      <w:r w:rsidR="005814C5">
        <w:t xml:space="preserve"> any similarities or </w:t>
      </w:r>
      <w:r w:rsidR="005814C5" w:rsidRPr="005814C5">
        <w:t>differences</w:t>
      </w:r>
      <w:r w:rsidR="005814C5">
        <w:t xml:space="preserve"> we perceive are predictions of how future events will unfold. </w:t>
      </w:r>
      <w:r w:rsidR="009E58E2">
        <w:t xml:space="preserve">It </w:t>
      </w:r>
      <w:r w:rsidR="007610C1" w:rsidRPr="007610C1">
        <w:t>argues</w:t>
      </w:r>
      <w:r w:rsidR="009E58E2">
        <w:t xml:space="preserve"> that political narratives </w:t>
      </w:r>
      <w:r w:rsidR="00F0218A">
        <w:t>assume</w:t>
      </w:r>
      <w:r w:rsidR="009E58E2">
        <w:t xml:space="preserve"> that future events </w:t>
      </w:r>
      <w:r w:rsidR="00067A4D">
        <w:t>can be</w:t>
      </w:r>
      <w:r w:rsidR="009E58E2">
        <w:t xml:space="preserve"> </w:t>
      </w:r>
      <w:r w:rsidR="00067A4D" w:rsidRPr="00067A4D">
        <w:t>predict</w:t>
      </w:r>
      <w:r w:rsidR="00067A4D">
        <w:t>ed and controllable. Therefore</w:t>
      </w:r>
      <w:r w:rsidR="00067A4D" w:rsidRPr="00067A4D">
        <w:t xml:space="preserve">, </w:t>
      </w:r>
      <w:r w:rsidR="009464EE" w:rsidRPr="009464EE">
        <w:t>these calculations can determine future reforms by measuring the current situation</w:t>
      </w:r>
      <w:r w:rsidR="007610C1" w:rsidRPr="007610C1">
        <w:t>,</w:t>
      </w:r>
      <w:r w:rsidR="009464EE" w:rsidRPr="009464EE">
        <w:t xml:space="preserve"> which gives rise to statistics</w:t>
      </w:r>
      <w:r w:rsidR="00067A4D">
        <w:t xml:space="preserve">. This viewpoint will further the hypothesis by contributing to the discussion of how, if at all, the future, given that it is yet to happen, can be transformed </w:t>
      </w:r>
      <w:r w:rsidR="00067A4D" w:rsidRPr="00067A4D">
        <w:t>by</w:t>
      </w:r>
      <w:r w:rsidR="00067A4D">
        <w:t xml:space="preserve"> seeing problems through </w:t>
      </w:r>
      <w:r w:rsidR="00F0218A">
        <w:t xml:space="preserve">the </w:t>
      </w:r>
      <w:r w:rsidR="00067A4D">
        <w:t>past</w:t>
      </w:r>
      <w:r w:rsidR="007610C1" w:rsidRPr="007610C1">
        <w:t>,</w:t>
      </w:r>
      <w:r w:rsidR="00067A4D">
        <w:t xml:space="preserve"> even when based on multiple perspectives. This </w:t>
      </w:r>
      <w:r w:rsidR="00F0218A">
        <w:t xml:space="preserve">will give new insights into how </w:t>
      </w:r>
      <w:r w:rsidR="007610C1" w:rsidRPr="007610C1">
        <w:t>using</w:t>
      </w:r>
      <w:r w:rsidR="00F0218A">
        <w:t xml:space="preserve"> numbers and statistics in political narratives</w:t>
      </w:r>
      <w:r w:rsidR="00F0218A" w:rsidRPr="00F0218A">
        <w:t>, when used in Systems Thinking,</w:t>
      </w:r>
      <w:r w:rsidR="00F0218A">
        <w:t xml:space="preserve"> entrench consensus </w:t>
      </w:r>
      <w:r w:rsidR="00F0218A" w:rsidRPr="00F0218A">
        <w:t>amongst</w:t>
      </w:r>
      <w:r w:rsidR="00F0218A">
        <w:t xml:space="preserve"> stakeholders because we are </w:t>
      </w:r>
      <w:r w:rsidR="00F0218A" w:rsidRPr="00F0218A">
        <w:t>conditioned</w:t>
      </w:r>
      <w:r w:rsidR="00F0218A">
        <w:t xml:space="preserve"> to believe in </w:t>
      </w:r>
      <w:r w:rsidR="00F0218A" w:rsidRPr="00F0218A">
        <w:t>their</w:t>
      </w:r>
      <w:r w:rsidR="00F0218A">
        <w:t xml:space="preserve"> veracity. Even when numbers and statistics are contested, due to the “mental gymnastics” we undergo to comprehend political narratives, we will prefer to accept </w:t>
      </w:r>
      <w:r w:rsidR="007610C1" w:rsidRPr="007610C1">
        <w:t>normality</w:t>
      </w:r>
      <w:r w:rsidR="00F0218A" w:rsidRPr="00F0218A">
        <w:t xml:space="preserve"> based on our perception of reality and the past, therefore maintaining</w:t>
      </w:r>
      <w:r w:rsidR="00F0218A">
        <w:t xml:space="preserve"> a version of the status quo. Therefore, </w:t>
      </w:r>
      <w:r w:rsidR="007610C1">
        <w:t xml:space="preserve">practitioners need </w:t>
      </w:r>
      <w:r w:rsidR="007610C1" w:rsidRPr="007610C1">
        <w:t>to understand better</w:t>
      </w:r>
      <w:r w:rsidR="007610C1">
        <w:t xml:space="preserve"> how to account for the functioning of </w:t>
      </w:r>
      <w:r w:rsidR="007610C1" w:rsidRPr="007610C1">
        <w:t>numbers</w:t>
      </w:r>
      <w:r w:rsidR="007610C1">
        <w:t xml:space="preserve"> and </w:t>
      </w:r>
      <w:r w:rsidR="007610C1" w:rsidRPr="007610C1">
        <w:t>statistics</w:t>
      </w:r>
      <w:r w:rsidR="007610C1">
        <w:t xml:space="preserve"> in preserving the past when trying to create the </w:t>
      </w:r>
      <w:r w:rsidR="007610C1" w:rsidRPr="007610C1">
        <w:t>conditions</w:t>
      </w:r>
      <w:r w:rsidR="007610C1">
        <w:t xml:space="preserve"> for future </w:t>
      </w:r>
      <w:r w:rsidR="007610C1" w:rsidRPr="007610C1">
        <w:t>change</w:t>
      </w:r>
      <w:r w:rsidR="007610C1">
        <w:t>.</w:t>
      </w:r>
    </w:p>
    <w:p w14:paraId="2C499AA6" w14:textId="7121AC2C" w:rsidR="00E6247B" w:rsidRPr="00B27727" w:rsidRDefault="007610C1" w:rsidP="00C266AA">
      <w:pPr>
        <w:rPr>
          <w:b/>
          <w:bCs/>
        </w:rPr>
      </w:pPr>
      <w:r w:rsidRPr="00B27727">
        <w:rPr>
          <w:b/>
          <w:bCs/>
        </w:rPr>
        <w:lastRenderedPageBreak/>
        <w:t xml:space="preserve">Analysis </w:t>
      </w:r>
      <w:r w:rsidR="000A5A06">
        <w:rPr>
          <w:b/>
          <w:bCs/>
        </w:rPr>
        <w:t>and Findings</w:t>
      </w:r>
    </w:p>
    <w:p w14:paraId="198DBADC" w14:textId="6404073D" w:rsidR="00E6247B" w:rsidRPr="0097650F" w:rsidRDefault="00FF2658" w:rsidP="00647AA4">
      <w:pPr>
        <w:pStyle w:val="ListParagraph"/>
        <w:numPr>
          <w:ilvl w:val="0"/>
          <w:numId w:val="2"/>
        </w:numPr>
        <w:rPr>
          <w:b/>
          <w:bCs/>
          <w:i/>
          <w:iCs/>
        </w:rPr>
      </w:pPr>
      <w:r w:rsidRPr="0097650F">
        <w:rPr>
          <w:b/>
          <w:bCs/>
          <w:i/>
          <w:iCs/>
        </w:rPr>
        <w:t xml:space="preserve">The Centrality of Social Identities: </w:t>
      </w:r>
      <w:r w:rsidR="007F7196" w:rsidRPr="0097650F">
        <w:rPr>
          <w:b/>
          <w:bCs/>
          <w:i/>
          <w:iCs/>
        </w:rPr>
        <w:t>Positionality</w:t>
      </w:r>
      <w:r w:rsidR="00647AA4" w:rsidRPr="0097650F">
        <w:rPr>
          <w:b/>
          <w:bCs/>
          <w:i/>
          <w:iCs/>
        </w:rPr>
        <w:t xml:space="preserve"> and Asset-Based Research Questions </w:t>
      </w:r>
    </w:p>
    <w:p w14:paraId="33FD1B71" w14:textId="49A161E3" w:rsidR="00713544" w:rsidRDefault="00B27727" w:rsidP="00862624">
      <w:r>
        <w:t>Although</w:t>
      </w:r>
      <w:r w:rsidRPr="00B27727">
        <w:t xml:space="preserve"> the official statistics and the methodology behind their creation are on the DWP’s website, which is a government department,</w:t>
      </w:r>
      <w:r>
        <w:t xml:space="preserve"> the voice is in the third person. This gives the impression that the narration and the creation of the statistics </w:t>
      </w:r>
      <w:r w:rsidRPr="00B27727">
        <w:t>exist</w:t>
      </w:r>
      <w:r>
        <w:t xml:space="preserve"> </w:t>
      </w:r>
      <w:r w:rsidRPr="00B27727">
        <w:t>outside of the government; therefore, whoever is behind them is “other,” th</w:t>
      </w:r>
      <w:r>
        <w:t>us</w:t>
      </w:r>
      <w:r w:rsidRPr="00B27727">
        <w:t xml:space="preserve"> connoting an apolitical</w:t>
      </w:r>
      <w:r>
        <w:t xml:space="preserve"> or neutral stance. </w:t>
      </w:r>
      <w:r w:rsidR="000A5A06">
        <w:t xml:space="preserve">The use of the third-person voice and no acknowledgement of the author’s and researcher’s own positioning is still common in </w:t>
      </w:r>
      <w:r w:rsidR="000A5A06" w:rsidRPr="000A5A06">
        <w:t>quantitative</w:t>
      </w:r>
      <w:r w:rsidR="000A5A06">
        <w:t xml:space="preserve"> studies despite being good practice in qualitative ones. In the case of the government statistics, it could be argued that it’s quite clear what their position is, as they are</w:t>
      </w:r>
      <w:r w:rsidR="000A5A06" w:rsidRPr="000A5A06">
        <w:t>, after all, “Conservative”, so their ideology</w:t>
      </w:r>
      <w:r w:rsidR="000A5A06">
        <w:t xml:space="preserve"> is known.  However, the DWP, although </w:t>
      </w:r>
      <w:r w:rsidR="000A5A06" w:rsidRPr="000A5A06">
        <w:t>its</w:t>
      </w:r>
      <w:r w:rsidR="000A5A06">
        <w:t xml:space="preserve"> </w:t>
      </w:r>
      <w:r w:rsidR="000A5A06" w:rsidRPr="000A5A06">
        <w:t>web pages</w:t>
      </w:r>
      <w:r w:rsidR="000A5A06">
        <w:t xml:space="preserve"> reside on the government website,</w:t>
      </w:r>
      <w:r w:rsidR="0053654D">
        <w:t xml:space="preserve"> </w:t>
      </w:r>
      <w:r w:rsidR="000A5A06" w:rsidRPr="000A5A06">
        <w:t xml:space="preserve">is </w:t>
      </w:r>
      <w:r w:rsidR="0053654D">
        <w:t xml:space="preserve">part of the </w:t>
      </w:r>
      <w:r w:rsidR="000A5A06" w:rsidRPr="000A5A06">
        <w:t>civil service, meaning they are a public</w:t>
      </w:r>
      <w:r w:rsidR="0053654D">
        <w:t xml:space="preserve"> sector</w:t>
      </w:r>
      <w:r w:rsidR="000A5A06" w:rsidRPr="000A5A06">
        <w:t xml:space="preserve"> service (in fact, the largest) staffed by people who are hired rather than elected or appointed and as such, nearly all posts are unaffected</w:t>
      </w:r>
      <w:r w:rsidR="000A5A06">
        <w:t xml:space="preserve"> by a change of government. </w:t>
      </w:r>
      <w:r w:rsidR="0053654D">
        <w:t xml:space="preserve">Yet, </w:t>
      </w:r>
      <w:r w:rsidR="0053654D" w:rsidRPr="0053654D">
        <w:t>its</w:t>
      </w:r>
      <w:r w:rsidR="0053654D">
        <w:t xml:space="preserve"> policies, strategies and the legislation that guides it all come from the government. Therefore, the assumed neutrality that normally </w:t>
      </w:r>
      <w:r w:rsidR="0053654D" w:rsidRPr="0053654D">
        <w:t>permeates</w:t>
      </w:r>
      <w:r w:rsidR="0053654D">
        <w:t xml:space="preserve"> </w:t>
      </w:r>
      <w:r w:rsidR="0053654D" w:rsidRPr="0053654D">
        <w:t>quantitative</w:t>
      </w:r>
      <w:r w:rsidR="0053654D">
        <w:t xml:space="preserve"> research is less likely as the public will connect it to the concerns, interests and history </w:t>
      </w:r>
      <w:r w:rsidR="0053654D" w:rsidRPr="0053654D">
        <w:t>of</w:t>
      </w:r>
      <w:r w:rsidR="0053654D">
        <w:t xml:space="preserve"> past and present </w:t>
      </w:r>
      <w:r w:rsidR="0053654D" w:rsidRPr="0053654D">
        <w:t>governments</w:t>
      </w:r>
      <w:r w:rsidR="0053654D">
        <w:t>. With that</w:t>
      </w:r>
      <w:r w:rsidR="00C13DAD" w:rsidRPr="00C13DAD">
        <w:t>,</w:t>
      </w:r>
      <w:r w:rsidR="0053654D">
        <w:t xml:space="preserve"> why would they use the third person to narrate their research</w:t>
      </w:r>
      <w:r w:rsidR="0053654D" w:rsidRPr="0053654D">
        <w:t>?</w:t>
      </w:r>
      <w:r w:rsidR="0053654D">
        <w:t xml:space="preserve"> The answer may lie in what is called the “third </w:t>
      </w:r>
      <w:r w:rsidR="00C13DAD" w:rsidRPr="00C13DAD">
        <w:t>person</w:t>
      </w:r>
      <w:r w:rsidR="0053654D">
        <w:t xml:space="preserve"> effect” (</w:t>
      </w:r>
      <w:r w:rsidR="00C13DAD" w:rsidRPr="000517A4">
        <w:t>Davidson, 1983</w:t>
      </w:r>
      <w:r w:rsidR="00C13DAD">
        <w:t>)</w:t>
      </w:r>
      <w:r w:rsidR="00C96EAE" w:rsidRPr="00C96EAE">
        <w:t xml:space="preserve">, which is much like </w:t>
      </w:r>
      <w:r w:rsidR="000517A4" w:rsidRPr="000517A4">
        <w:t>Buunk</w:t>
      </w:r>
      <w:r w:rsidR="000517A4">
        <w:t xml:space="preserve"> </w:t>
      </w:r>
      <w:r w:rsidR="000517A4">
        <w:t>and</w:t>
      </w:r>
      <w:r w:rsidR="000517A4" w:rsidRPr="000517A4">
        <w:t xml:space="preserve"> Van Yperen</w:t>
      </w:r>
      <w:r w:rsidR="000517A4">
        <w:t xml:space="preserve">’s </w:t>
      </w:r>
      <w:r w:rsidR="00C13DAD">
        <w:t xml:space="preserve">(1991) “illusionary </w:t>
      </w:r>
      <w:r w:rsidR="000517A4">
        <w:t>superiority bias</w:t>
      </w:r>
      <w:r w:rsidR="00C13DAD">
        <w:t xml:space="preserve">”, </w:t>
      </w:r>
      <w:r w:rsidR="00C13DAD" w:rsidRPr="00C13DAD">
        <w:t>whereby</w:t>
      </w:r>
      <w:r w:rsidR="00C13DAD">
        <w:t xml:space="preserve"> people believe that persuasive communication will affect others more than them because they think they are better than to succumb to politicking. </w:t>
      </w:r>
    </w:p>
    <w:p w14:paraId="4A45B990" w14:textId="033B8124" w:rsidR="0097650F" w:rsidRDefault="00C13DAD" w:rsidP="00862624">
      <w:r>
        <w:t xml:space="preserve">Although the third-person effect </w:t>
      </w:r>
      <w:r w:rsidRPr="00C13DAD">
        <w:t>normally</w:t>
      </w:r>
      <w:r>
        <w:t xml:space="preserve"> focuses on the </w:t>
      </w:r>
      <w:r w:rsidRPr="00C13DAD">
        <w:t>receiver</w:t>
      </w:r>
      <w:r>
        <w:t xml:space="preserve"> of the message</w:t>
      </w:r>
      <w:r w:rsidR="00365C6D">
        <w:t xml:space="preserve">, </w:t>
      </w:r>
      <w:r w:rsidR="00365C6D" w:rsidRPr="00365C6D">
        <w:t>potentially</w:t>
      </w:r>
      <w:r w:rsidR="00365C6D">
        <w:t xml:space="preserve"> the sender</w:t>
      </w:r>
      <w:r w:rsidR="00365C6D" w:rsidRPr="00365C6D">
        <w:t>, by using the third-person voice,</w:t>
      </w:r>
      <w:r w:rsidR="00365C6D">
        <w:t xml:space="preserve"> could </w:t>
      </w:r>
      <w:r w:rsidR="00365C6D" w:rsidRPr="00365C6D">
        <w:t>subvert</w:t>
      </w:r>
      <w:r w:rsidR="00365C6D">
        <w:t xml:space="preserve"> this effect by making </w:t>
      </w:r>
      <w:r w:rsidR="00C96EAE" w:rsidRPr="00C96EAE">
        <w:t>the research seem disconnected and neutral not only from the government but the reader</w:t>
      </w:r>
      <w:r w:rsidR="00365C6D">
        <w:t>.</w:t>
      </w:r>
      <w:r w:rsidR="00C96EAE">
        <w:t xml:space="preserve"> Research on the third-person effect by </w:t>
      </w:r>
      <w:r w:rsidR="00C96EAE" w:rsidRPr="008D13B7">
        <w:t>Per</w:t>
      </w:r>
      <w:r w:rsidR="008D13B7" w:rsidRPr="008D13B7">
        <w:t>l</w:t>
      </w:r>
      <w:r w:rsidR="00C96EAE" w:rsidRPr="008D13B7">
        <w:t>off (1993</w:t>
      </w:r>
      <w:r w:rsidR="00C96EAE">
        <w:t xml:space="preserve">) found that it was less effective if people didn’t see </w:t>
      </w:r>
      <w:r w:rsidR="00C96EAE" w:rsidRPr="00C96EAE">
        <w:t xml:space="preserve">a </w:t>
      </w:r>
      <w:r w:rsidR="00C96EAE">
        <w:t>message as being directly relevant to them or that the topic was “socially desirable</w:t>
      </w:r>
      <w:r w:rsidR="00C96EAE" w:rsidRPr="00C96EAE">
        <w:t>”, i.e. about a subject that we are disposed to feel sympathy and empathy</w:t>
      </w:r>
      <w:r w:rsidR="00C96EAE">
        <w:t xml:space="preserve"> for such as disabilities. </w:t>
      </w:r>
      <w:r w:rsidR="00862624">
        <w:t xml:space="preserve">This could have the effect as </w:t>
      </w:r>
      <w:r w:rsidR="00E0464B">
        <w:t>Annamma, Connor,</w:t>
      </w:r>
      <w:r w:rsidR="00E0464B">
        <w:t xml:space="preserve"> </w:t>
      </w:r>
      <w:r w:rsidR="00E0464B">
        <w:t>and Ferri</w:t>
      </w:r>
      <w:r w:rsidR="00862624">
        <w:t xml:space="preserve"> (2013) citing (Collins</w:t>
      </w:r>
      <w:r w:rsidR="000517A4">
        <w:t>,</w:t>
      </w:r>
      <w:r w:rsidR="00862624">
        <w:t xml:space="preserve"> 2003; Ferri</w:t>
      </w:r>
      <w:r w:rsidR="000517A4">
        <w:t>,</w:t>
      </w:r>
      <w:r w:rsidR="00862624">
        <w:t xml:space="preserve"> 2010; Ladson-Billings and Tate</w:t>
      </w:r>
      <w:r w:rsidR="000517A4">
        <w:t>,</w:t>
      </w:r>
      <w:r w:rsidR="00862624">
        <w:t xml:space="preserve"> 1995) </w:t>
      </w:r>
      <w:r w:rsidR="000517A4">
        <w:t>state</w:t>
      </w:r>
      <w:r w:rsidR="00862624">
        <w:t xml:space="preserve"> in DisCrit to “shape notions of normalcy….enacted through </w:t>
      </w:r>
      <w:r w:rsidR="00862624" w:rsidRPr="00862624">
        <w:t>normalising</w:t>
      </w:r>
      <w:r w:rsidR="00862624">
        <w:t xml:space="preserve"> practices such as </w:t>
      </w:r>
      <w:r w:rsidR="00862624" w:rsidRPr="00862624">
        <w:t>labelling</w:t>
      </w:r>
      <w:r w:rsidR="00862624">
        <w:t>.. thereby reinforcing the unmarked norms…and signalling to many that the student is not capable in body and mind.” Throughout</w:t>
      </w:r>
      <w:r w:rsidR="00066E4A" w:rsidRPr="00066E4A">
        <w:t xml:space="preserve"> the official statistics, the term “non-disabled” is used,</w:t>
      </w:r>
      <w:r w:rsidR="00862624">
        <w:t xml:space="preserve"> which implies that “disabled</w:t>
      </w:r>
      <w:r w:rsidR="00066E4A">
        <w:t xml:space="preserve"> </w:t>
      </w:r>
      <w:r w:rsidR="00862624">
        <w:t>people</w:t>
      </w:r>
      <w:r w:rsidR="00066E4A">
        <w:t>” (their choice of term)</w:t>
      </w:r>
      <w:r w:rsidR="00862624">
        <w:t xml:space="preserve"> are not “normal” b</w:t>
      </w:r>
      <w:r w:rsidR="00066E4A">
        <w:t xml:space="preserve">ut other. In addition, “disabled people” infers that a person’s disability is a condition that </w:t>
      </w:r>
      <w:r w:rsidR="00066E4A" w:rsidRPr="00066E4A">
        <w:t>is caused by themselves,</w:t>
      </w:r>
      <w:r w:rsidR="00066E4A">
        <w:t xml:space="preserve"> i.e. they should be “normal”</w:t>
      </w:r>
      <w:r w:rsidR="00066E4A" w:rsidRPr="00066E4A">
        <w:t>, thus their fault,</w:t>
      </w:r>
      <w:r w:rsidR="00066E4A">
        <w:t xml:space="preserve"> not society’s. </w:t>
      </w:r>
    </w:p>
    <w:p w14:paraId="78E57812" w14:textId="39E6A6AC" w:rsidR="00713544" w:rsidRDefault="00713544" w:rsidP="00862624">
      <w:r>
        <w:t xml:space="preserve">The </w:t>
      </w:r>
      <w:r w:rsidR="00647AA4">
        <w:t xml:space="preserve">basis for the research </w:t>
      </w:r>
      <w:r>
        <w:t xml:space="preserve">statistics </w:t>
      </w:r>
      <w:r w:rsidR="00647AA4">
        <w:t>is</w:t>
      </w:r>
      <w:r>
        <w:t xml:space="preserve"> described as “</w:t>
      </w:r>
      <w:r w:rsidRPr="00713544">
        <w:t>context for the government’s goal to see one million more disabled people in work between 2017 and 2027</w:t>
      </w:r>
      <w:r>
        <w:t>…&lt;and&gt;</w:t>
      </w:r>
      <w:r w:rsidRPr="00713544">
        <w:t>commitment to reduce the gap between the employment rates of disabled and non-disabled people</w:t>
      </w:r>
      <w:r>
        <w:t>” (DWP, 202</w:t>
      </w:r>
      <w:r w:rsidR="008D13B7">
        <w:t>3</w:t>
      </w:r>
      <w:r>
        <w:t xml:space="preserve">). </w:t>
      </w:r>
      <w:r w:rsidR="00066E4A">
        <w:t xml:space="preserve">This othering </w:t>
      </w:r>
      <w:r w:rsidRPr="00713544">
        <w:t>positions</w:t>
      </w:r>
      <w:r>
        <w:t xml:space="preserve"> people with disabilities in </w:t>
      </w:r>
      <w:r w:rsidR="00647AA4">
        <w:t>deficit</w:t>
      </w:r>
      <w:r w:rsidR="00647AA4" w:rsidRPr="00647AA4">
        <w:t>,</w:t>
      </w:r>
      <w:r w:rsidR="00647AA4">
        <w:t xml:space="preserve"> </w:t>
      </w:r>
      <w:r>
        <w:t xml:space="preserve">as having problems that society should be unwilling to meet the needs of because it’s their fault, so they should work because they can. </w:t>
      </w:r>
      <w:r w:rsidR="00647AA4">
        <w:t>T</w:t>
      </w:r>
      <w:r>
        <w:t>his position is</w:t>
      </w:r>
      <w:r w:rsidR="00647AA4">
        <w:t xml:space="preserve"> also</w:t>
      </w:r>
      <w:r>
        <w:t xml:space="preserve"> based on past political narratives that </w:t>
      </w:r>
      <w:r w:rsidR="00557F2D">
        <w:t xml:space="preserve">set people with disabilities up as “the enemy of hardworking voters” </w:t>
      </w:r>
      <w:r w:rsidR="00557F2D" w:rsidRPr="00994F67">
        <w:t>(Charlton-Daily</w:t>
      </w:r>
      <w:r w:rsidR="00994F67" w:rsidRPr="00994F67">
        <w:t>,</w:t>
      </w:r>
      <w:r w:rsidR="00557F2D" w:rsidRPr="00994F67">
        <w:t xml:space="preserve"> 2024</w:t>
      </w:r>
      <w:r w:rsidR="00557F2D">
        <w:t>)</w:t>
      </w:r>
      <w:r w:rsidR="00647AA4">
        <w:t xml:space="preserve"> based on the </w:t>
      </w:r>
      <w:r w:rsidR="00647AA4" w:rsidRPr="00282DBA">
        <w:t>well-worn</w:t>
      </w:r>
      <w:r w:rsidR="00647AA4">
        <w:t xml:space="preserve"> political trope that started with Thatcher </w:t>
      </w:r>
      <w:r w:rsidR="00DC1C1D">
        <w:t xml:space="preserve">(1975) </w:t>
      </w:r>
      <w:r w:rsidR="00647AA4">
        <w:t>that “t</w:t>
      </w:r>
      <w:r w:rsidR="00647AA4" w:rsidRPr="00282DBA">
        <w:t>here are two types of people. There’s hardworking, tax-paying, good British people and then there’s the benefit-shirking, disability-faking, unsafe-to-our-kids, ruining-our-country types.</w:t>
      </w:r>
      <w:r w:rsidR="00647AA4">
        <w:t>”  (</w:t>
      </w:r>
      <w:r w:rsidR="00647AA4" w:rsidRPr="00994F67">
        <w:t>Charlton-Daily</w:t>
      </w:r>
      <w:r w:rsidR="00994F67" w:rsidRPr="00994F67">
        <w:t>,</w:t>
      </w:r>
      <w:r w:rsidR="00647AA4" w:rsidRPr="00994F67">
        <w:t xml:space="preserve"> 2024</w:t>
      </w:r>
      <w:r w:rsidR="00647AA4">
        <w:t>)</w:t>
      </w:r>
      <w:r w:rsidR="00FF2658">
        <w:t xml:space="preserve">. </w:t>
      </w:r>
      <w:r>
        <w:t>As such</w:t>
      </w:r>
      <w:r w:rsidR="00557F2D" w:rsidRPr="00557F2D">
        <w:t xml:space="preserve">, the positionality of these statistics is based on </w:t>
      </w:r>
      <w:r w:rsidR="00DC1C1D" w:rsidRPr="00DC1C1D">
        <w:t xml:space="preserve">Duck, Hogg, </w:t>
      </w:r>
      <w:r w:rsidR="00DC1C1D">
        <w:t>and</w:t>
      </w:r>
      <w:r w:rsidR="00DC1C1D" w:rsidRPr="00DC1C1D">
        <w:t xml:space="preserve"> Terry </w:t>
      </w:r>
      <w:r w:rsidR="00557F2D" w:rsidRPr="00DC1C1D">
        <w:t>(1995</w:t>
      </w:r>
      <w:r w:rsidR="00557F2D" w:rsidRPr="00557F2D">
        <w:t>) work on the third-person effect, whereby a person’s self-identity is targeted so that they see differences rather than similarities with others and are placed in a relationship with others so that they are motivated by this differentiation</w:t>
      </w:r>
      <w:r w:rsidR="00557F2D">
        <w:t xml:space="preserve">. </w:t>
      </w:r>
      <w:r w:rsidR="00FF2658">
        <w:t>As the third-person effect changes over time and is not constant, depending on where someone is</w:t>
      </w:r>
      <w:r w:rsidR="00FF2658" w:rsidRPr="00FF2658">
        <w:t>, it affects</w:t>
      </w:r>
      <w:r w:rsidR="00FF2658">
        <w:t xml:space="preserve"> how they situate themselves </w:t>
      </w:r>
      <w:r w:rsidR="00FF2658" w:rsidRPr="00FF2658">
        <w:t>regarding</w:t>
      </w:r>
      <w:r w:rsidR="00FF2658">
        <w:t xml:space="preserve"> the message being conveyed.  </w:t>
      </w:r>
    </w:p>
    <w:p w14:paraId="3C9BFDA5" w14:textId="77777777" w:rsidR="0097650F" w:rsidRDefault="0097650F" w:rsidP="00862624"/>
    <w:p w14:paraId="28EC6DE7" w14:textId="77777777" w:rsidR="00DC1C1D" w:rsidRDefault="00DC1C1D" w:rsidP="00862624"/>
    <w:p w14:paraId="7719C38A" w14:textId="302C6092" w:rsidR="00494286" w:rsidRPr="0097650F" w:rsidRDefault="00647AA4" w:rsidP="00647AA4">
      <w:pPr>
        <w:pStyle w:val="ListParagraph"/>
        <w:numPr>
          <w:ilvl w:val="0"/>
          <w:numId w:val="2"/>
        </w:numPr>
        <w:rPr>
          <w:b/>
          <w:bCs/>
          <w:i/>
          <w:iCs/>
        </w:rPr>
      </w:pPr>
      <w:r w:rsidRPr="0097650F">
        <w:rPr>
          <w:b/>
          <w:bCs/>
          <w:i/>
          <w:iCs/>
        </w:rPr>
        <w:lastRenderedPageBreak/>
        <w:t>Numbers are not Neutral: Denominators, Models and Data Collection and Analysis</w:t>
      </w:r>
    </w:p>
    <w:p w14:paraId="63C0557A" w14:textId="34070ACC" w:rsidR="00494286" w:rsidRPr="0097650F" w:rsidRDefault="00494286" w:rsidP="00494286">
      <w:pPr>
        <w:pStyle w:val="ListParagraph"/>
        <w:rPr>
          <w:b/>
          <w:bCs/>
          <w:i/>
          <w:iCs/>
        </w:rPr>
      </w:pPr>
    </w:p>
    <w:p w14:paraId="1A958433" w14:textId="71EE4592" w:rsidR="00713544" w:rsidRPr="0097650F" w:rsidRDefault="00494286" w:rsidP="00494286">
      <w:pPr>
        <w:pStyle w:val="ListParagraph"/>
        <w:rPr>
          <w:b/>
          <w:bCs/>
          <w:i/>
          <w:iCs/>
        </w:rPr>
      </w:pPr>
      <w:r w:rsidRPr="0097650F">
        <w:rPr>
          <w:b/>
          <w:bCs/>
          <w:i/>
          <w:iCs/>
        </w:rPr>
        <w:t>and</w:t>
      </w:r>
    </w:p>
    <w:p w14:paraId="7A301370" w14:textId="2F656B28" w:rsidR="00494286" w:rsidRPr="0097650F" w:rsidRDefault="00494286" w:rsidP="00494286">
      <w:pPr>
        <w:pStyle w:val="ListParagraph"/>
        <w:rPr>
          <w:b/>
          <w:bCs/>
          <w:i/>
          <w:iCs/>
        </w:rPr>
      </w:pPr>
    </w:p>
    <w:p w14:paraId="5E4FA960" w14:textId="45AF6B55" w:rsidR="00494286" w:rsidRPr="0097650F" w:rsidRDefault="00494286" w:rsidP="00647AA4">
      <w:pPr>
        <w:pStyle w:val="ListParagraph"/>
        <w:numPr>
          <w:ilvl w:val="0"/>
          <w:numId w:val="2"/>
        </w:numPr>
        <w:rPr>
          <w:b/>
          <w:bCs/>
          <w:i/>
          <w:iCs/>
        </w:rPr>
      </w:pPr>
      <w:r w:rsidRPr="0097650F">
        <w:rPr>
          <w:b/>
          <w:bCs/>
          <w:i/>
          <w:iCs/>
        </w:rPr>
        <w:t>Categories are Neither Natural nor Given</w:t>
      </w:r>
    </w:p>
    <w:p w14:paraId="0259913B" w14:textId="32713211" w:rsidR="0097650F" w:rsidRDefault="00183659" w:rsidP="00DB5C79">
      <w:r>
        <w:t>The DWP figures are based on statistical significance “at the 95% level” (DWP,</w:t>
      </w:r>
      <w:r w:rsidR="006558EB">
        <w:t xml:space="preserve"> </w:t>
      </w:r>
      <w:r>
        <w:t>202</w:t>
      </w:r>
      <w:r w:rsidR="008D13B7">
        <w:t>3</w:t>
      </w:r>
      <w:r>
        <w:t xml:space="preserve">) and </w:t>
      </w:r>
      <w:r w:rsidR="006558EB">
        <w:t xml:space="preserve">rounding depending on the figures they quote. </w:t>
      </w:r>
      <w:r w:rsidR="006558EB" w:rsidRPr="006558EB">
        <w:t xml:space="preserve">The methodology </w:t>
      </w:r>
      <w:r w:rsidR="006558EB">
        <w:t xml:space="preserve">states that the statistics are derived from The Labour Force Survey with a sample </w:t>
      </w:r>
      <w:r w:rsidR="006558EB" w:rsidRPr="006558EB">
        <w:t xml:space="preserve">of </w:t>
      </w:r>
      <w:r w:rsidR="006558EB">
        <w:t>“</w:t>
      </w:r>
      <w:r w:rsidR="006558EB" w:rsidRPr="006558EB">
        <w:t>approximately 40,000 responding UK households and 100,000 individuals per quarter</w:t>
      </w:r>
      <w:r w:rsidR="006558EB">
        <w:t>” and The Annual Population Survey, “a survey of households living at private addresses in the UK” (DWP, 202</w:t>
      </w:r>
      <w:r w:rsidR="008D13B7">
        <w:t>3</w:t>
      </w:r>
      <w:r w:rsidR="006558EB">
        <w:t xml:space="preserve">)  whose sampling methods </w:t>
      </w:r>
      <w:r w:rsidR="006558EB" w:rsidRPr="006558EB">
        <w:t>since</w:t>
      </w:r>
      <w:r w:rsidR="006558EB">
        <w:t xml:space="preserve"> it was first conducted in 1978 have changed so much</w:t>
      </w:r>
      <w:r w:rsidR="00514171">
        <w:t xml:space="preserve"> year-in and year-out</w:t>
      </w:r>
      <w:r w:rsidR="006558EB">
        <w:t xml:space="preserve"> that there </w:t>
      </w:r>
      <w:r w:rsidR="00A77AFC">
        <w:t xml:space="preserve">is a </w:t>
      </w:r>
      <w:r w:rsidR="00A77AFC" w:rsidRPr="00A77AFC">
        <w:t>125-page</w:t>
      </w:r>
      <w:r w:rsidR="00A77AFC">
        <w:t xml:space="preserve"> booklet</w:t>
      </w:r>
      <w:r w:rsidR="00514171">
        <w:t xml:space="preserve"> to explain their </w:t>
      </w:r>
      <w:r w:rsidR="00514171" w:rsidRPr="00514171">
        <w:t>techniques</w:t>
      </w:r>
      <w:r w:rsidR="00A77AFC">
        <w:t xml:space="preserve"> in addition to several additional web pages. </w:t>
      </w:r>
      <w:r w:rsidR="00514171">
        <w:t>However, in 2023, the Office for National Statistics</w:t>
      </w:r>
      <w:r w:rsidR="001E37DE">
        <w:t xml:space="preserve"> (ONS)</w:t>
      </w:r>
      <w:r w:rsidR="00514171">
        <w:t xml:space="preserve">, </w:t>
      </w:r>
      <w:r w:rsidR="00514171" w:rsidRPr="00514171">
        <w:t>which</w:t>
      </w:r>
      <w:r w:rsidR="00514171">
        <w:t xml:space="preserve"> publishes these surveys</w:t>
      </w:r>
      <w:r w:rsidR="00514171" w:rsidRPr="00514171">
        <w:t>,</w:t>
      </w:r>
      <w:r w:rsidR="00514171">
        <w:t xml:space="preserve"> stated that both </w:t>
      </w:r>
      <w:r w:rsidR="00514171" w:rsidRPr="00514171">
        <w:t>needed</w:t>
      </w:r>
      <w:r w:rsidR="00514171">
        <w:t xml:space="preserve"> to be revised because of quality concerns over collection and methodology and suspended their publication in </w:t>
      </w:r>
      <w:r w:rsidR="001E37DE">
        <w:t>O</w:t>
      </w:r>
      <w:r w:rsidR="00514171">
        <w:t>ctober 2023 (</w:t>
      </w:r>
      <w:r w:rsidR="00514171" w:rsidRPr="00994F67">
        <w:t>ONS</w:t>
      </w:r>
      <w:r w:rsidR="001E37DE" w:rsidRPr="00994F67">
        <w:t>, 2023</w:t>
      </w:r>
      <w:r w:rsidR="001E37DE">
        <w:t xml:space="preserve">). The main issues over the years </w:t>
      </w:r>
      <w:r w:rsidR="001E37DE" w:rsidRPr="001E37DE">
        <w:t>are</w:t>
      </w:r>
      <w:r w:rsidR="001E37DE">
        <w:t xml:space="preserve"> that the ONS </w:t>
      </w:r>
      <w:r w:rsidR="001E37DE" w:rsidRPr="001E37DE">
        <w:t>has</w:t>
      </w:r>
      <w:r w:rsidR="001E37DE">
        <w:t xml:space="preserve"> failed to </w:t>
      </w:r>
      <w:r w:rsidR="001E37DE" w:rsidRPr="001E37DE">
        <w:t>contact</w:t>
      </w:r>
      <w:r w:rsidR="001E37DE">
        <w:t xml:space="preserve"> people</w:t>
      </w:r>
      <w:r w:rsidR="001E37DE" w:rsidRPr="001E37DE">
        <w:t>,</w:t>
      </w:r>
      <w:r w:rsidR="001E37DE">
        <w:t xml:space="preserve"> people refused to take part</w:t>
      </w:r>
      <w:r w:rsidR="001E37DE" w:rsidRPr="001E37DE">
        <w:t>, or people’s contact details changed, so the subsequent follow-up</w:t>
      </w:r>
      <w:r w:rsidR="001E37DE">
        <w:t xml:space="preserve"> calls never happened. However, rather than do something about this so that the numbers </w:t>
      </w:r>
      <w:r w:rsidR="001E37DE" w:rsidRPr="001E37DE">
        <w:t>participating</w:t>
      </w:r>
      <w:r w:rsidR="001E37DE">
        <w:t xml:space="preserve"> were credible, the ONS instead “</w:t>
      </w:r>
      <w:r w:rsidR="00F82FA3" w:rsidRPr="00F82FA3">
        <w:t xml:space="preserve">compensated for non-contacts by adjusting responses </w:t>
      </w:r>
      <w:r w:rsidR="0097650F">
        <w:t>based on</w:t>
      </w:r>
      <w:r w:rsidR="00F82FA3" w:rsidRPr="00F82FA3">
        <w:t xml:space="preserve"> what was known about the population as a whole – increasing/decreasing the importance of answers from groups whose response rates (RRs) were lower/higher</w:t>
      </w:r>
      <w:r w:rsidR="00F82FA3">
        <w:t>” (</w:t>
      </w:r>
      <w:r w:rsidR="00F82FA3" w:rsidRPr="008D13B7">
        <w:t>Casey, 2023</w:t>
      </w:r>
      <w:r w:rsidR="00F82FA3">
        <w:t>).</w:t>
      </w:r>
      <w:r w:rsidR="00447BDA">
        <w:t xml:space="preserve"> </w:t>
      </w:r>
    </w:p>
    <w:p w14:paraId="68411A04" w14:textId="4CAB0951" w:rsidR="00F82FA3" w:rsidRDefault="00447BDA" w:rsidP="00DB5C79">
      <w:r>
        <w:t xml:space="preserve">Therefore, despite </w:t>
      </w:r>
      <w:r w:rsidRPr="00447BDA">
        <w:t>claiming</w:t>
      </w:r>
      <w:r>
        <w:t xml:space="preserve"> there’s a 95% </w:t>
      </w:r>
      <w:r w:rsidRPr="00447BDA">
        <w:t>statistical</w:t>
      </w:r>
      <w:r>
        <w:t xml:space="preserve"> </w:t>
      </w:r>
      <w:r w:rsidRPr="00447BDA">
        <w:t>significance</w:t>
      </w:r>
      <w:r>
        <w:t xml:space="preserve">, given that the datasets this comes from </w:t>
      </w:r>
      <w:r w:rsidRPr="00447BDA">
        <w:t>are</w:t>
      </w:r>
      <w:r>
        <w:t xml:space="preserve"> flawed, perhaps this once again </w:t>
      </w:r>
      <w:r w:rsidRPr="00447BDA">
        <w:t>adds</w:t>
      </w:r>
      <w:r>
        <w:t xml:space="preserve"> to the argument to “</w:t>
      </w:r>
      <w:r w:rsidRPr="00447BDA">
        <w:t xml:space="preserve">end to their </w:t>
      </w:r>
      <w:r w:rsidR="00AA6E84">
        <w:t>&lt;statistical significance&gt;</w:t>
      </w:r>
      <w:r w:rsidR="00AA6E84" w:rsidRPr="00447BDA">
        <w:t xml:space="preserve"> </w:t>
      </w:r>
      <w:r w:rsidRPr="00447BDA">
        <w:t>use</w:t>
      </w:r>
      <w:r w:rsidR="00AA6E84">
        <w:t xml:space="preserve"> </w:t>
      </w:r>
      <w:r w:rsidRPr="00447BDA">
        <w:t>as an arbitrary threshold of significance</w:t>
      </w:r>
      <w:r>
        <w:t>” (</w:t>
      </w:r>
      <w:r w:rsidRPr="00994F67">
        <w:t>Nature, 2019</w:t>
      </w:r>
      <w:r>
        <w:t>).</w:t>
      </w:r>
      <w:r w:rsidR="008010A2">
        <w:t xml:space="preserve"> Thus, these statistics are only an accurate </w:t>
      </w:r>
      <w:r w:rsidR="008010A2" w:rsidRPr="008010A2">
        <w:t>representation</w:t>
      </w:r>
      <w:r w:rsidR="008010A2">
        <w:t xml:space="preserve"> of the population in the UK based </w:t>
      </w:r>
      <w:r w:rsidR="008010A2" w:rsidRPr="008010A2">
        <w:t xml:space="preserve">on </w:t>
      </w:r>
      <w:r w:rsidR="008010A2">
        <w:t xml:space="preserve">who </w:t>
      </w:r>
      <w:r w:rsidR="008010A2" w:rsidRPr="008010A2">
        <w:t>was included in the surveys and whom they decided to count</w:t>
      </w:r>
      <w:r w:rsidR="00DB5C79" w:rsidRPr="00DB5C79">
        <w:t>,</w:t>
      </w:r>
      <w:r w:rsidR="00DB5C79">
        <w:t xml:space="preserve"> which is highly problematic because</w:t>
      </w:r>
      <w:r w:rsidR="00DB5C79" w:rsidRPr="00DB5C79">
        <w:t>,</w:t>
      </w:r>
      <w:r w:rsidR="00DB5C79">
        <w:t xml:space="preserve"> as </w:t>
      </w:r>
      <w:r w:rsidR="00E0464B">
        <w:t>Annamma, Connor and Ferri</w:t>
      </w:r>
      <w:r w:rsidR="00E0464B">
        <w:t xml:space="preserve"> </w:t>
      </w:r>
      <w:r w:rsidR="00DB5C79">
        <w:t xml:space="preserve">(2013) quoting Matsuda, </w:t>
      </w:r>
      <w:r w:rsidR="00BF4D5C">
        <w:t>(</w:t>
      </w:r>
      <w:r w:rsidR="00DB5C79">
        <w:t>1987</w:t>
      </w:r>
      <w:r w:rsidR="00BF4D5C">
        <w:t>)</w:t>
      </w:r>
      <w:r w:rsidR="00DB5C79">
        <w:t xml:space="preserve"> said</w:t>
      </w:r>
      <w:r w:rsidR="00DB5C79" w:rsidRPr="00DB5C79">
        <w:t>,</w:t>
      </w:r>
      <w:r w:rsidR="00DB5C79">
        <w:t xml:space="preserve"> there is </w:t>
      </w:r>
      <w:r w:rsidR="00DB5C79" w:rsidRPr="00DB5C79">
        <w:t>within</w:t>
      </w:r>
      <w:r w:rsidR="00DB5C79">
        <w:t xml:space="preserve"> quantitative data </w:t>
      </w:r>
      <w:r w:rsidR="00DB5C79" w:rsidRPr="00DB5C79">
        <w:t>collection</w:t>
      </w:r>
      <w:r w:rsidR="00DB5C79">
        <w:t xml:space="preserve"> a “tradition of ignoring the voices of traditionally </w:t>
      </w:r>
      <w:r w:rsidR="00DB5C79" w:rsidRPr="00DB5C79">
        <w:t>marginalised</w:t>
      </w:r>
      <w:r w:rsidR="00DB5C79">
        <w:t xml:space="preserve"> groups and instead privileges insider voices.” </w:t>
      </w:r>
      <w:r w:rsidR="008010A2">
        <w:t xml:space="preserve">Given that the statistics were used to build </w:t>
      </w:r>
      <w:r w:rsidR="00DB5C79">
        <w:t>the narrative</w:t>
      </w:r>
      <w:r w:rsidR="008010A2">
        <w:t xml:space="preserve"> for the “sick</w:t>
      </w:r>
      <w:r w:rsidR="00C57C46">
        <w:t>-</w:t>
      </w:r>
      <w:r w:rsidR="008010A2">
        <w:t>note” culture reforms</w:t>
      </w:r>
      <w:r w:rsidR="00DB5C79">
        <w:t xml:space="preserve">, it raises questions about how people with </w:t>
      </w:r>
      <w:r w:rsidR="00C57C46" w:rsidRPr="00C57C46">
        <w:t>disabilities'</w:t>
      </w:r>
      <w:r w:rsidR="00DB5C79">
        <w:t xml:space="preserve"> voices were included and how the analysis of being </w:t>
      </w:r>
      <w:r w:rsidR="00DB5C79" w:rsidRPr="00DB5C79">
        <w:t>long-term</w:t>
      </w:r>
      <w:r w:rsidR="00DB5C79">
        <w:t xml:space="preserve"> sick and having mental health issues</w:t>
      </w:r>
      <w:r w:rsidR="00DB5C79" w:rsidRPr="00DB5C79">
        <w:t xml:space="preserve"> </w:t>
      </w:r>
      <w:r w:rsidR="00DB5C79">
        <w:t xml:space="preserve">was conducted. </w:t>
      </w:r>
      <w:r w:rsidR="00C57C46">
        <w:t>As highlighted</w:t>
      </w:r>
      <w:r w:rsidR="00C57C46" w:rsidRPr="00C57C46">
        <w:t>, the statistics differentiate “non-disabled” people who are “normal” and “disabled people” who are not</w:t>
      </w:r>
      <w:r w:rsidR="002175D0" w:rsidRPr="002175D0">
        <w:t>; therefore,</w:t>
      </w:r>
      <w:r w:rsidR="00C57C46" w:rsidRPr="00C57C46">
        <w:t xml:space="preserve"> by drawing inferences from the wider population about long-term sickness and mental health rather than focusing on people with disabilities,</w:t>
      </w:r>
      <w:r w:rsidR="00DB5C79">
        <w:t xml:space="preserve"> </w:t>
      </w:r>
      <w:r w:rsidR="00C57C46">
        <w:t xml:space="preserve">it is possible that this was a deliberate chose of </w:t>
      </w:r>
      <w:r w:rsidR="00C57C46" w:rsidRPr="00C57C46">
        <w:t>juxtaposition</w:t>
      </w:r>
      <w:r w:rsidR="00C57C46">
        <w:t>.</w:t>
      </w:r>
    </w:p>
    <w:p w14:paraId="027D5C7F" w14:textId="338D6EAB" w:rsidR="00C57C46" w:rsidRDefault="002175D0" w:rsidP="00DB5C79">
      <w:r>
        <w:t>To test th</w:t>
      </w:r>
      <w:r w:rsidR="00AA6E84">
        <w:t xml:space="preserve">e question “What effect do the use of numbers and statistics have on the ability of political narratives to create conditions for future reforms?” </w:t>
      </w:r>
      <w:r w:rsidR="005E501C">
        <w:t xml:space="preserve">the </w:t>
      </w:r>
      <w:r w:rsidR="00C26AD0">
        <w:t>bar chart</w:t>
      </w:r>
      <w:r w:rsidR="005E501C">
        <w:t xml:space="preserve"> “</w:t>
      </w:r>
      <w:r w:rsidR="005E501C" w:rsidRPr="005E501C">
        <w:t>The number of people reporting a long-term health condition or classed as disabled continues to rise</w:t>
      </w:r>
      <w:r w:rsidR="005E501C">
        <w:t xml:space="preserve">” from </w:t>
      </w:r>
      <w:r>
        <w:t xml:space="preserve">the DWP’s webpage will be analysed to see </w:t>
      </w:r>
      <w:r w:rsidR="003F23AC" w:rsidRPr="003F23AC">
        <w:t xml:space="preserve">the effect of numbers and statistics </w:t>
      </w:r>
      <w:r w:rsidR="003F23AC">
        <w:t xml:space="preserve">on political narratives and what this means for </w:t>
      </w:r>
      <w:r w:rsidR="003F23AC" w:rsidRPr="003F23AC">
        <w:t>creat</w:t>
      </w:r>
      <w:r w:rsidR="003F23AC">
        <w:t>ing the</w:t>
      </w:r>
      <w:r w:rsidR="003F23AC" w:rsidRPr="003F23AC">
        <w:t xml:space="preserve"> conditions for future reforms</w:t>
      </w:r>
      <w:r w:rsidR="003F23AC">
        <w:t>.</w:t>
      </w:r>
      <w:r w:rsidR="00494286">
        <w:t xml:space="preserve"> </w:t>
      </w:r>
    </w:p>
    <w:p w14:paraId="592EAC6A" w14:textId="1BCEDFF2" w:rsidR="0037717D" w:rsidRDefault="0037717D" w:rsidP="00DB5C79"/>
    <w:p w14:paraId="6D1B00B6" w14:textId="26257E56" w:rsidR="0037717D" w:rsidRDefault="0037717D" w:rsidP="00DB5C79"/>
    <w:p w14:paraId="0B9991D1" w14:textId="77777777" w:rsidR="0037717D" w:rsidRDefault="0037717D" w:rsidP="00DB5C79"/>
    <w:p w14:paraId="2DBA081E" w14:textId="53DB75F4" w:rsidR="0037717D" w:rsidRDefault="0037717D" w:rsidP="00DB5C79">
      <w:r w:rsidRPr="00D64EF2">
        <w:rPr>
          <w:noProof/>
        </w:rPr>
        <w:lastRenderedPageBreak/>
        <w:drawing>
          <wp:anchor distT="0" distB="0" distL="114300" distR="114300" simplePos="0" relativeHeight="251664384" behindDoc="0" locked="0" layoutInCell="1" allowOverlap="1" wp14:anchorId="070520A8" wp14:editId="61EA6ED0">
            <wp:simplePos x="0" y="0"/>
            <wp:positionH relativeFrom="margin">
              <wp:posOffset>1369923</wp:posOffset>
            </wp:positionH>
            <wp:positionV relativeFrom="margin">
              <wp:align>top</wp:align>
            </wp:positionV>
            <wp:extent cx="3164205" cy="3108960"/>
            <wp:effectExtent l="0" t="0" r="0" b="0"/>
            <wp:wrapTopAndBottom/>
            <wp:docPr id="1134723731" name="Picture 1" descr="A graph of different colo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723731" name="Picture 1" descr="A graph of different colors and numbers&#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164205" cy="3108960"/>
                    </a:xfrm>
                    <a:prstGeom prst="rect">
                      <a:avLst/>
                    </a:prstGeom>
                  </pic:spPr>
                </pic:pic>
              </a:graphicData>
            </a:graphic>
            <wp14:sizeRelH relativeFrom="margin">
              <wp14:pctWidth>0</wp14:pctWidth>
            </wp14:sizeRelH>
            <wp14:sizeRelV relativeFrom="margin">
              <wp14:pctHeight>0</wp14:pctHeight>
            </wp14:sizeRelV>
          </wp:anchor>
        </w:drawing>
      </w:r>
    </w:p>
    <w:p w14:paraId="4B053472" w14:textId="54D62E3B" w:rsidR="0042660D" w:rsidRDefault="0042660D" w:rsidP="00DB5C79">
      <w:r>
        <w:t xml:space="preserve">The </w:t>
      </w:r>
      <w:r w:rsidR="00C26AD0">
        <w:t xml:space="preserve">bar chart </w:t>
      </w:r>
      <w:r w:rsidR="00B00E2A">
        <w:t>appears in “Section 5. Populations’. The first thing to note about this graph is the use of language. At the start of “Section 5”</w:t>
      </w:r>
      <w:r w:rsidR="00B00E2A" w:rsidRPr="00B00E2A">
        <w:t>, the reader is told that some people are “classed” as disabled</w:t>
      </w:r>
      <w:r w:rsidR="00496BCF" w:rsidRPr="00496BCF">
        <w:t>. The</w:t>
      </w:r>
      <w:r w:rsidR="00B00E2A">
        <w:t xml:space="preserve"> classifications and questions used to do this are </w:t>
      </w:r>
      <w:r w:rsidR="00496BCF">
        <w:t>stated</w:t>
      </w:r>
      <w:r w:rsidR="00B00E2A">
        <w:t xml:space="preserve">. If someone is “classed” as </w:t>
      </w:r>
      <w:r w:rsidR="00765293" w:rsidRPr="00765293">
        <w:t>disabled according</w:t>
      </w:r>
      <w:r w:rsidR="00765293">
        <w:t xml:space="preserve"> to the text this can</w:t>
      </w:r>
      <w:r w:rsidR="00B00E2A">
        <w:t xml:space="preserve"> change from one year to another</w:t>
      </w:r>
      <w:r w:rsidR="00496BCF" w:rsidRPr="00496BCF">
        <w:t>; therefore,</w:t>
      </w:r>
      <w:r w:rsidR="00B00E2A">
        <w:t xml:space="preserve"> the connotation is that being disabled is </w:t>
      </w:r>
      <w:r w:rsidR="00B00E2A" w:rsidRPr="00B00E2A">
        <w:t xml:space="preserve">a </w:t>
      </w:r>
      <w:r w:rsidR="00B00E2A">
        <w:t>subjective condition which can be turned on and off.  Thus</w:t>
      </w:r>
      <w:r w:rsidR="00B00E2A" w:rsidRPr="007D49FD">
        <w:t>,</w:t>
      </w:r>
      <w:r w:rsidR="00B00E2A">
        <w:t xml:space="preserve"> the use of “classe</w:t>
      </w:r>
      <w:r w:rsidR="00494286">
        <w:t>d</w:t>
      </w:r>
      <w:r w:rsidR="00B00E2A">
        <w:t xml:space="preserve"> as disabled” </w:t>
      </w:r>
      <w:r w:rsidR="00494286" w:rsidRPr="00494286">
        <w:t>followed</w:t>
      </w:r>
      <w:r w:rsidR="00B00E2A">
        <w:t xml:space="preserve"> by “continues to rise” </w:t>
      </w:r>
      <w:r w:rsidR="00B00E2A" w:rsidRPr="005E1F63">
        <w:t>infer</w:t>
      </w:r>
      <w:r w:rsidR="00B00E2A">
        <w:t xml:space="preserve">s that it is possible to reduce both long-term sickness and being disabled because both are </w:t>
      </w:r>
      <w:r w:rsidR="00B00E2A" w:rsidRPr="00DB60DC">
        <w:t>subjective</w:t>
      </w:r>
      <w:r w:rsidR="00B00E2A">
        <w:t xml:space="preserve"> states that change</w:t>
      </w:r>
      <w:r w:rsidR="00494286">
        <w:t>.</w:t>
      </w:r>
    </w:p>
    <w:p w14:paraId="5F94EB75" w14:textId="6329B81D" w:rsidR="004757A1" w:rsidRDefault="0042660D" w:rsidP="00DB5C79">
      <w:r>
        <w:t xml:space="preserve">The </w:t>
      </w:r>
      <w:r w:rsidR="00494286" w:rsidRPr="00494286">
        <w:t xml:space="preserve">data set from the “Data tables: The employment of disabled people 2022 (XLS)” (see appendix 1, </w:t>
      </w:r>
      <w:r w:rsidR="00496BCF">
        <w:t>sheet</w:t>
      </w:r>
      <w:r w:rsidR="00494286" w:rsidRPr="00494286">
        <w:t xml:space="preserve"> POP001) is visuali</w:t>
      </w:r>
      <w:r w:rsidR="00494286">
        <w:t>s</w:t>
      </w:r>
      <w:r w:rsidR="00494286" w:rsidRPr="00494286">
        <w:t xml:space="preserve">ed through a </w:t>
      </w:r>
      <w:r w:rsidR="00494286">
        <w:t xml:space="preserve">stacked </w:t>
      </w:r>
      <w:r w:rsidR="00494286" w:rsidRPr="00494286">
        <w:t>bar chart</w:t>
      </w:r>
      <w:r w:rsidR="00494286">
        <w:t xml:space="preserve"> </w:t>
      </w:r>
      <w:r w:rsidR="00494286" w:rsidRPr="00494286">
        <w:t xml:space="preserve">that shows the purported rise in long-term health conditions from 2013 to </w:t>
      </w:r>
      <w:r w:rsidR="00494286">
        <w:t>2022.</w:t>
      </w:r>
      <w:r w:rsidR="00494286" w:rsidRPr="00494286">
        <w:t xml:space="preserve"> </w:t>
      </w:r>
      <w:r w:rsidR="00C26AD0" w:rsidRPr="00C26AD0">
        <w:t>They used a stacked bar chart to compare</w:t>
      </w:r>
      <w:r w:rsidR="00C26AD0">
        <w:t xml:space="preserve"> the portions of people within three groups. </w:t>
      </w:r>
      <w:r w:rsidR="00494286" w:rsidRPr="00494286">
        <w:t>Three colours are used in the stack</w:t>
      </w:r>
      <w:r w:rsidR="00765293">
        <w:t xml:space="preserve"> for the category labels</w:t>
      </w:r>
      <w:r w:rsidR="00494286" w:rsidRPr="00494286">
        <w:t>: navy blue at the bottom to represent “disabled, limited a lot,” orange in the middle for “disabled,” and black at the top for “long-term health conditions.”</w:t>
      </w:r>
      <w:r w:rsidR="00494286">
        <w:t xml:space="preserve"> The contrast between the three colours is </w:t>
      </w:r>
      <w:r w:rsidR="00494286" w:rsidRPr="00494286">
        <w:t>striking,</w:t>
      </w:r>
      <w:r w:rsidR="00494286">
        <w:t xml:space="preserve"> and your eyes immediately focus on the black parts of the stack.  The reason for this is t</w:t>
      </w:r>
      <w:r w:rsidR="00765293">
        <w:t>hree</w:t>
      </w:r>
      <w:r w:rsidR="00494286">
        <w:t xml:space="preserve">-fold. By placing the </w:t>
      </w:r>
      <w:r w:rsidR="00765293" w:rsidRPr="00765293">
        <w:t>long-term</w:t>
      </w:r>
      <w:r w:rsidR="00494286">
        <w:t xml:space="preserve"> sick at the top</w:t>
      </w:r>
      <w:r w:rsidR="00765293" w:rsidRPr="00765293">
        <w:t xml:space="preserve">, the graph </w:t>
      </w:r>
      <w:r w:rsidR="00080786" w:rsidRPr="00080786">
        <w:t>shows</w:t>
      </w:r>
      <w:r w:rsidR="00765293" w:rsidRPr="00765293">
        <w:t xml:space="preserve"> that long-term</w:t>
      </w:r>
      <w:r w:rsidR="00765293">
        <w:t xml:space="preserve"> sickness continues to rise. Secondly, the category labels are neither neutral nor given. Disabled, limited a lot, or disabled is defined as someone </w:t>
      </w:r>
      <w:r w:rsidR="00765293" w:rsidRPr="00765293">
        <w:t>with “any physical or mental health conditions or illnesses lasting or expected to last 12 months or more</w:t>
      </w:r>
      <w:r w:rsidR="00765293">
        <w:t>”</w:t>
      </w:r>
      <w:r w:rsidR="00765293" w:rsidRPr="00765293">
        <w:t xml:space="preserve"> and </w:t>
      </w:r>
      <w:r w:rsidR="00765293">
        <w:t>a “</w:t>
      </w:r>
      <w:r w:rsidR="00765293" w:rsidRPr="00765293">
        <w:t>condition or illness</w:t>
      </w:r>
      <w:r w:rsidR="00765293">
        <w:t xml:space="preserve"> that</w:t>
      </w:r>
      <w:r w:rsidR="00765293" w:rsidRPr="00765293">
        <w:t xml:space="preserve"> reduce</w:t>
      </w:r>
      <w:r w:rsidR="00765293">
        <w:t>s their</w:t>
      </w:r>
      <w:r w:rsidR="00765293" w:rsidRPr="00765293">
        <w:t xml:space="preserve"> ability to carry out day-to-day activities</w:t>
      </w:r>
      <w:r w:rsidR="00080786">
        <w:t xml:space="preserve"> a lot</w:t>
      </w:r>
      <w:r w:rsidR="00765293">
        <w:t xml:space="preserve">”. The connotation is </w:t>
      </w:r>
      <w:r w:rsidR="00496BCF" w:rsidRPr="00496BCF">
        <w:t xml:space="preserve">that </w:t>
      </w:r>
      <w:r w:rsidR="00765293">
        <w:t>these are ‘real’ disabled people and</w:t>
      </w:r>
      <w:r w:rsidR="00765293" w:rsidRPr="00765293">
        <w:t>, therefore,</w:t>
      </w:r>
      <w:r w:rsidR="00765293">
        <w:t xml:space="preserve"> are ‘allowed’ to be</w:t>
      </w:r>
      <w:r w:rsidR="00765293" w:rsidRPr="00765293">
        <w:t xml:space="preserve"> long-term</w:t>
      </w:r>
      <w:r w:rsidR="00765293">
        <w:t xml:space="preserve"> sick. </w:t>
      </w:r>
      <w:r w:rsidR="00445C4A" w:rsidRPr="00445C4A">
        <w:t>Conversely, long-term sickness</w:t>
      </w:r>
      <w:r w:rsidR="00445C4A">
        <w:t xml:space="preserve"> </w:t>
      </w:r>
      <w:r w:rsidR="00765293">
        <w:t xml:space="preserve">is </w:t>
      </w:r>
      <w:r w:rsidR="00765293" w:rsidRPr="00765293">
        <w:t>“any physical or mental health conditions or illnesses lasting or expected to last 12 months or more</w:t>
      </w:r>
      <w:r w:rsidR="00765293">
        <w:t>”</w:t>
      </w:r>
      <w:r w:rsidR="00080786">
        <w:t xml:space="preserve">. This is a play </w:t>
      </w:r>
      <w:r w:rsidR="00080786" w:rsidRPr="00080786">
        <w:t>on</w:t>
      </w:r>
      <w:r w:rsidR="00080786">
        <w:t xml:space="preserve"> how we are conditioned to see and understand disabilities as being visual- something </w:t>
      </w:r>
      <w:r w:rsidR="00080786" w:rsidRPr="00080786">
        <w:t xml:space="preserve">that </w:t>
      </w:r>
      <w:r w:rsidR="00080786">
        <w:t xml:space="preserve">comes across through a physical </w:t>
      </w:r>
      <w:r w:rsidR="00080786" w:rsidRPr="00080786">
        <w:t>manifestation</w:t>
      </w:r>
      <w:r w:rsidR="00080786">
        <w:t xml:space="preserve"> which prevents you from doing day-to-day activities. Therefore</w:t>
      </w:r>
      <w:r w:rsidR="00080786" w:rsidRPr="00080786">
        <w:t xml:space="preserve">, the omission of the second classification is key to reinforcing this notion that being long-term sick is a </w:t>
      </w:r>
      <w:r w:rsidR="000B36DC">
        <w:t>subjective</w:t>
      </w:r>
      <w:r w:rsidR="000319A7" w:rsidRPr="000319A7">
        <w:t>,</w:t>
      </w:r>
      <w:r w:rsidR="000B36DC">
        <w:t xml:space="preserve"> </w:t>
      </w:r>
      <w:r w:rsidR="000B36DC" w:rsidRPr="000B36DC">
        <w:t>drawn-out</w:t>
      </w:r>
      <w:r w:rsidR="000B36DC">
        <w:t xml:space="preserve"> </w:t>
      </w:r>
      <w:r w:rsidR="00080786" w:rsidRPr="00080786">
        <w:t xml:space="preserve">condition </w:t>
      </w:r>
      <w:r w:rsidR="000B36DC">
        <w:t>which is</w:t>
      </w:r>
      <w:r w:rsidR="00080786">
        <w:t xml:space="preserve"> not as </w:t>
      </w:r>
      <w:r w:rsidR="000B36DC">
        <w:t>serious</w:t>
      </w:r>
      <w:r w:rsidR="00080786">
        <w:t xml:space="preserve"> as being “disabled”. </w:t>
      </w:r>
    </w:p>
    <w:p w14:paraId="1243FC4E" w14:textId="0B404EFF" w:rsidR="003F23AC" w:rsidRDefault="000B36DC" w:rsidP="00DB5C79">
      <w:r>
        <w:t xml:space="preserve">The third aspect is the use of the colour black, which </w:t>
      </w:r>
      <w:r w:rsidRPr="000B36DC">
        <w:t>usually has</w:t>
      </w:r>
      <w:r>
        <w:t xml:space="preserve"> </w:t>
      </w:r>
      <w:r w:rsidRPr="000B36DC">
        <w:t xml:space="preserve">dysphemistic connotations </w:t>
      </w:r>
      <w:r>
        <w:t>as it is linked to skin colour, death, debt, evil and so on. In contrast</w:t>
      </w:r>
      <w:r w:rsidRPr="000B36DC">
        <w:t>,</w:t>
      </w:r>
      <w:r>
        <w:t xml:space="preserve"> blue only </w:t>
      </w:r>
      <w:r w:rsidR="000319A7">
        <w:t>is mainly used for euphemistic</w:t>
      </w:r>
      <w:r>
        <w:t xml:space="preserve"> connotations</w:t>
      </w:r>
      <w:r w:rsidRPr="000B36DC">
        <w:t>,</w:t>
      </w:r>
      <w:r>
        <w:t xml:space="preserve"> such as bad language, porn (both of which are now considered </w:t>
      </w:r>
      <w:r w:rsidRPr="000B36DC">
        <w:t>archaic</w:t>
      </w:r>
      <w:r>
        <w:t xml:space="preserve">) or depression </w:t>
      </w:r>
      <w:r w:rsidR="000319A7">
        <w:t>and orange is mainly figurative</w:t>
      </w:r>
      <w:r w:rsidR="000319A7" w:rsidRPr="000319A7">
        <w:t>, linking it with fruit, juice</w:t>
      </w:r>
      <w:r w:rsidR="000319A7">
        <w:t>,</w:t>
      </w:r>
      <w:r w:rsidR="000319A7" w:rsidRPr="000319A7">
        <w:t xml:space="preserve"> locality or history,</w:t>
      </w:r>
      <w:r w:rsidR="000319A7">
        <w:t xml:space="preserve"> e.g. “county”, “Order” or “William”. As such, </w:t>
      </w:r>
      <w:r w:rsidR="00445C4A">
        <w:t>using black as the colour for the</w:t>
      </w:r>
      <w:r w:rsidR="000319A7">
        <w:t xml:space="preserve"> </w:t>
      </w:r>
      <w:r w:rsidR="00D64EF2" w:rsidRPr="00D64EF2">
        <w:t>bar chart</w:t>
      </w:r>
      <w:r w:rsidR="00D64EF2">
        <w:t xml:space="preserve"> </w:t>
      </w:r>
      <w:r w:rsidR="000319A7">
        <w:t>stack for long-term sickness</w:t>
      </w:r>
      <w:r w:rsidR="00445C4A">
        <w:t xml:space="preserve"> </w:t>
      </w:r>
      <w:r w:rsidR="000319A7">
        <w:t xml:space="preserve">adds weight to </w:t>
      </w:r>
      <w:r w:rsidR="00445C4A">
        <w:t>the notion that it’s</w:t>
      </w:r>
      <w:r w:rsidR="00D64EF2" w:rsidRPr="00D64EF2">
        <w:t xml:space="preserve"> </w:t>
      </w:r>
      <w:r w:rsidR="00445C4A" w:rsidRPr="00445C4A">
        <w:t xml:space="preserve">a </w:t>
      </w:r>
      <w:r w:rsidR="00D64EF2" w:rsidRPr="00D64EF2">
        <w:t xml:space="preserve">subjective, non-serious condition </w:t>
      </w:r>
      <w:r w:rsidR="000319A7">
        <w:t>being abused</w:t>
      </w:r>
      <w:r w:rsidR="00D64EF2">
        <w:t xml:space="preserve">. </w:t>
      </w:r>
      <w:r w:rsidR="00DC2D24">
        <w:t xml:space="preserve">Using the lens of </w:t>
      </w:r>
      <w:r w:rsidR="00E0464B">
        <w:t xml:space="preserve">Annamma, Connor and Ferri, </w:t>
      </w:r>
      <w:r w:rsidR="00DC2D24">
        <w:lastRenderedPageBreak/>
        <w:t>(2013), they are using these</w:t>
      </w:r>
      <w:r w:rsidR="00DC2D24" w:rsidRPr="00DC2D24">
        <w:t xml:space="preserve"> </w:t>
      </w:r>
      <w:r w:rsidR="00DC2D24">
        <w:t>“</w:t>
      </w:r>
      <w:r w:rsidR="00DC2D24" w:rsidRPr="00DC2D24">
        <w:t>markers of difference from the norm</w:t>
      </w:r>
      <w:r w:rsidR="00DC2D24">
        <w:t>” to make a “false distinction between” the long-term sick</w:t>
      </w:r>
      <w:r w:rsidR="00445C4A" w:rsidRPr="00445C4A">
        <w:t>,</w:t>
      </w:r>
      <w:r w:rsidR="00DC2D24">
        <w:t xml:space="preserve"> a “social construction” and those classed as disabled</w:t>
      </w:r>
      <w:r w:rsidR="00DC2D24" w:rsidRPr="00DC2D24">
        <w:t>,</w:t>
      </w:r>
      <w:r w:rsidR="00DC2D24">
        <w:t xml:space="preserve"> “as a biological fact” by “distinguishing disability from aspects of identity that are seen as culturally determined ‘differences,’ </w:t>
      </w:r>
      <w:r w:rsidR="00573C66">
        <w:t>&lt;</w:t>
      </w:r>
      <w:r w:rsidR="00DC2D24">
        <w:t>which</w:t>
      </w:r>
      <w:r w:rsidR="00573C66">
        <w:t>&gt;</w:t>
      </w:r>
      <w:r w:rsidR="00DC2D24">
        <w:t xml:space="preserve"> continues to justify the segregation</w:t>
      </w:r>
      <w:r w:rsidR="00573C66">
        <w:t>…</w:t>
      </w:r>
      <w:r w:rsidR="00DC2D24">
        <w:t xml:space="preserve">of </w:t>
      </w:r>
      <w:r w:rsidR="00573C66">
        <w:t>&lt;people&gt;</w:t>
      </w:r>
      <w:r w:rsidR="00DC2D24">
        <w:t xml:space="preserve"> who are considered disabled</w:t>
      </w:r>
      <w:r w:rsidR="00573C66">
        <w:t xml:space="preserve">”. This can be highlighted when the </w:t>
      </w:r>
      <w:r w:rsidR="00445C4A" w:rsidRPr="00445C4A">
        <w:t>bar chart</w:t>
      </w:r>
      <w:r w:rsidR="00573C66">
        <w:t xml:space="preserve"> is broken down into </w:t>
      </w:r>
      <w:r w:rsidR="00573C66" w:rsidRPr="00573C66">
        <w:t>separate</w:t>
      </w:r>
      <w:r w:rsidR="00573C66">
        <w:t xml:space="preserve"> stacks as a very different visual story </w:t>
      </w:r>
      <w:r w:rsidR="00445C4A" w:rsidRPr="00445C4A">
        <w:t>unfolds</w:t>
      </w:r>
      <w:r w:rsidR="00573C66">
        <w:t>:</w:t>
      </w:r>
    </w:p>
    <w:p w14:paraId="3171E52B" w14:textId="0CB1A0FC" w:rsidR="00445C4A" w:rsidRDefault="0097650F" w:rsidP="00DC2D24">
      <w:r>
        <w:rPr>
          <w:noProof/>
        </w:rPr>
        <w:drawing>
          <wp:anchor distT="0" distB="0" distL="114300" distR="114300" simplePos="0" relativeHeight="251661312" behindDoc="0" locked="0" layoutInCell="1" allowOverlap="1" wp14:anchorId="27BA6737" wp14:editId="2804550C">
            <wp:simplePos x="0" y="0"/>
            <wp:positionH relativeFrom="margin">
              <wp:posOffset>4389451</wp:posOffset>
            </wp:positionH>
            <wp:positionV relativeFrom="paragraph">
              <wp:posOffset>0</wp:posOffset>
            </wp:positionV>
            <wp:extent cx="2035175" cy="1223645"/>
            <wp:effectExtent l="0" t="0" r="3175" b="0"/>
            <wp:wrapSquare wrapText="bothSides"/>
            <wp:docPr id="7236063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35175" cy="1223645"/>
                    </a:xfrm>
                    <a:prstGeom prst="rect">
                      <a:avLst/>
                    </a:prstGeom>
                    <a:noFill/>
                  </pic:spPr>
                </pic:pic>
              </a:graphicData>
            </a:graphic>
            <wp14:sizeRelH relativeFrom="margin">
              <wp14:pctWidth>0</wp14:pctWidth>
            </wp14:sizeRelH>
            <wp14:sizeRelV relativeFrom="margin">
              <wp14:pctHeight>0</wp14:pctHeight>
            </wp14:sizeRelV>
          </wp:anchor>
        </w:drawing>
      </w:r>
      <w:r w:rsidR="00445C4A">
        <w:rPr>
          <w:noProof/>
        </w:rPr>
        <w:drawing>
          <wp:anchor distT="0" distB="0" distL="114300" distR="114300" simplePos="0" relativeHeight="251659264" behindDoc="0" locked="0" layoutInCell="1" allowOverlap="1" wp14:anchorId="5BCA72E3" wp14:editId="1A911CCF">
            <wp:simplePos x="0" y="0"/>
            <wp:positionH relativeFrom="column">
              <wp:posOffset>2216095</wp:posOffset>
            </wp:positionH>
            <wp:positionV relativeFrom="paragraph">
              <wp:posOffset>5080</wp:posOffset>
            </wp:positionV>
            <wp:extent cx="2049780" cy="1231900"/>
            <wp:effectExtent l="0" t="0" r="7620" b="6350"/>
            <wp:wrapSquare wrapText="bothSides"/>
            <wp:docPr id="1224490132" name="Picture 2" descr="A graph of a number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490132" name="Picture 2" descr="A graph of a number of people&#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49780" cy="1231900"/>
                    </a:xfrm>
                    <a:prstGeom prst="rect">
                      <a:avLst/>
                    </a:prstGeom>
                    <a:noFill/>
                  </pic:spPr>
                </pic:pic>
              </a:graphicData>
            </a:graphic>
          </wp:anchor>
        </w:drawing>
      </w:r>
      <w:r w:rsidR="00445C4A">
        <w:rPr>
          <w:noProof/>
        </w:rPr>
        <w:drawing>
          <wp:anchor distT="0" distB="0" distL="114300" distR="114300" simplePos="0" relativeHeight="251660288" behindDoc="0" locked="0" layoutInCell="1" allowOverlap="1" wp14:anchorId="5349CE45" wp14:editId="0FB5C1C5">
            <wp:simplePos x="0" y="0"/>
            <wp:positionH relativeFrom="margin">
              <wp:align>left</wp:align>
            </wp:positionH>
            <wp:positionV relativeFrom="paragraph">
              <wp:posOffset>5080</wp:posOffset>
            </wp:positionV>
            <wp:extent cx="2063115" cy="1240155"/>
            <wp:effectExtent l="0" t="0" r="0" b="0"/>
            <wp:wrapSquare wrapText="bothSides"/>
            <wp:docPr id="486872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63115" cy="1240155"/>
                    </a:xfrm>
                    <a:prstGeom prst="rect">
                      <a:avLst/>
                    </a:prstGeom>
                    <a:noFill/>
                  </pic:spPr>
                </pic:pic>
              </a:graphicData>
            </a:graphic>
          </wp:anchor>
        </w:drawing>
      </w:r>
    </w:p>
    <w:p w14:paraId="4C03C8A8" w14:textId="77777777" w:rsidR="004757A1" w:rsidRDefault="00445C4A" w:rsidP="001E1825">
      <w:r>
        <w:t xml:space="preserve">These bar charts </w:t>
      </w:r>
      <w:r w:rsidR="00B63B4D">
        <w:t xml:space="preserve">(see Appendix 1, sheet ‘year-on-year’) </w:t>
      </w:r>
      <w:r>
        <w:t>show the exact same axis: X is the number of people in the population aged 16 -64 in the population</w:t>
      </w:r>
      <w:r w:rsidR="007C4DEE" w:rsidRPr="007C4DEE">
        <w:t>,</w:t>
      </w:r>
      <w:r>
        <w:t xml:space="preserve"> and Y </w:t>
      </w:r>
      <w:r w:rsidRPr="00445C4A">
        <w:t xml:space="preserve">is </w:t>
      </w:r>
      <w:r>
        <w:t>the f</w:t>
      </w:r>
      <w:r w:rsidRPr="00445C4A">
        <w:t>inancial year starting in April and finishing the following March</w:t>
      </w:r>
      <w:r>
        <w:t xml:space="preserve">. When extrapolated like this, there is much more </w:t>
      </w:r>
      <w:r w:rsidRPr="00445C4A">
        <w:t>symmetry</w:t>
      </w:r>
      <w:r>
        <w:t xml:space="preserve"> between the number of people with </w:t>
      </w:r>
      <w:r w:rsidRPr="00445C4A">
        <w:t>long-term</w:t>
      </w:r>
      <w:r>
        <w:t xml:space="preserve"> health conditions, the number of </w:t>
      </w:r>
      <w:r w:rsidRPr="00445C4A">
        <w:t>people who are disabled</w:t>
      </w:r>
      <w:r>
        <w:t xml:space="preserve"> and limited a lot, and the number of disabled people. </w:t>
      </w:r>
      <w:r w:rsidR="00496BCF" w:rsidRPr="00496BCF">
        <w:t>The growth of all three appears</w:t>
      </w:r>
      <w:r w:rsidR="00303FFE">
        <w:t xml:space="preserve"> </w:t>
      </w:r>
      <w:r w:rsidR="00496BCF">
        <w:t>similar</w:t>
      </w:r>
      <w:r w:rsidR="00303FFE">
        <w:t xml:space="preserve"> year-on-year</w:t>
      </w:r>
      <w:r w:rsidR="00774E45" w:rsidRPr="00774E45">
        <w:t>;</w:t>
      </w:r>
      <w:r w:rsidR="00496BCF">
        <w:t xml:space="preserve"> </w:t>
      </w:r>
      <w:r w:rsidR="00496BCF" w:rsidRPr="00496BCF">
        <w:t>on average,</w:t>
      </w:r>
      <w:r w:rsidR="00496BCF">
        <w:t xml:space="preserve"> it’s 3% for each of them. </w:t>
      </w:r>
      <w:r w:rsidR="00E27833">
        <w:t xml:space="preserve">Turning to Appendix 1, sheet </w:t>
      </w:r>
      <w:r w:rsidR="00DA1BE6">
        <w:t xml:space="preserve">‘Central’, the median for each of the populations shows that </w:t>
      </w:r>
      <w:r w:rsidR="00DA1BE6" w:rsidRPr="00DA1BE6">
        <w:t xml:space="preserve">the </w:t>
      </w:r>
      <w:r w:rsidR="00DA1BE6">
        <w:t xml:space="preserve">centre of the </w:t>
      </w:r>
      <w:r w:rsidR="00DA1BE6" w:rsidRPr="00DA1BE6">
        <w:t>distribution</w:t>
      </w:r>
      <w:r w:rsidR="00DA1BE6">
        <w:t xml:space="preserve"> of the data is even</w:t>
      </w:r>
      <w:r w:rsidR="007C4DEE" w:rsidRPr="007C4DEE">
        <w:t>,</w:t>
      </w:r>
      <w:r w:rsidR="00DA1BE6">
        <w:t xml:space="preserve"> meaning there is not a high degree of variation in the rise</w:t>
      </w:r>
      <w:r w:rsidR="007C4DEE" w:rsidRPr="007C4DEE">
        <w:t>,</w:t>
      </w:r>
      <w:r w:rsidR="00DA1BE6">
        <w:t xml:space="preserve"> which is far from the headline and text supporting the bar chart which implies that the continual growth is steep, continual and worrying. </w:t>
      </w:r>
    </w:p>
    <w:p w14:paraId="26080AA0" w14:textId="6A8D89B9" w:rsidR="00696E2C" w:rsidRDefault="00496BCF" w:rsidP="001E1825">
      <w:r>
        <w:t>W</w:t>
      </w:r>
      <w:r w:rsidR="00303FFE">
        <w:t>hen you look at the raw numbers in the summary table</w:t>
      </w:r>
      <w:r w:rsidR="00774E45" w:rsidRPr="00774E45">
        <w:t xml:space="preserve"> (see </w:t>
      </w:r>
      <w:r w:rsidRPr="00496BCF">
        <w:t>Appendix</w:t>
      </w:r>
      <w:r>
        <w:t xml:space="preserve"> 1, </w:t>
      </w:r>
      <w:r w:rsidR="00774E45" w:rsidRPr="00774E45">
        <w:t>sheet ‘growth’),</w:t>
      </w:r>
      <w:r w:rsidR="00774E45">
        <w:t xml:space="preserve"> </w:t>
      </w:r>
      <w:r w:rsidR="00B30E15">
        <w:t>what is very apparent is that the</w:t>
      </w:r>
      <w:r w:rsidR="00774E45">
        <w:t xml:space="preserve"> average</w:t>
      </w:r>
      <w:r w:rsidR="00B30E15">
        <w:t xml:space="preserve"> </w:t>
      </w:r>
      <w:r w:rsidR="00774E45">
        <w:t>incremental</w:t>
      </w:r>
      <w:r w:rsidR="00B30E15">
        <w:t xml:space="preserve"> rises per year are quite small</w:t>
      </w:r>
      <w:r w:rsidR="00774E45">
        <w:t xml:space="preserve"> and stable, especially for long-term health </w:t>
      </w:r>
      <w:r w:rsidR="00774E45" w:rsidRPr="00774E45">
        <w:t>conditions</w:t>
      </w:r>
      <w:r w:rsidRPr="00496BCF">
        <w:t>. It’s</w:t>
      </w:r>
      <w:r w:rsidR="00774E45">
        <w:t xml:space="preserve"> only in the years 2019 – 2022 that the yearly growth rate increases</w:t>
      </w:r>
      <w:r w:rsidRPr="00496BCF">
        <w:t>,</w:t>
      </w:r>
      <w:r w:rsidR="00774E45">
        <w:t xml:space="preserve"> but only for </w:t>
      </w:r>
      <w:r w:rsidR="00774E45" w:rsidRPr="00774E45">
        <w:t>disabilities</w:t>
      </w:r>
      <w:r w:rsidR="00774E45">
        <w:t xml:space="preserve"> limited a lot and the number of disabled people. This makes sense because</w:t>
      </w:r>
      <w:r w:rsidR="005E441B" w:rsidRPr="005E441B">
        <w:t>,</w:t>
      </w:r>
      <w:r w:rsidR="00774E45">
        <w:t xml:space="preserve"> during that period, the COVID pandemic took hold</w:t>
      </w:r>
      <w:r w:rsidRPr="00496BCF">
        <w:t>,</w:t>
      </w:r>
      <w:r w:rsidR="00774E45">
        <w:t xml:space="preserve"> and </w:t>
      </w:r>
      <w:r w:rsidR="005E441B">
        <w:t>in 2020</w:t>
      </w:r>
      <w:r w:rsidRPr="00496BCF">
        <w:t>,</w:t>
      </w:r>
      <w:r w:rsidR="005E441B">
        <w:t xml:space="preserve"> its </w:t>
      </w:r>
      <w:r w:rsidR="005E441B" w:rsidRPr="005E441B">
        <w:t>long-term</w:t>
      </w:r>
      <w:r w:rsidR="005E441B">
        <w:t xml:space="preserve"> effects were </w:t>
      </w:r>
      <w:r w:rsidR="005E441B" w:rsidRPr="005E441B">
        <w:t>officially</w:t>
      </w:r>
      <w:r w:rsidR="005E441B">
        <w:t xml:space="preserve"> recognised by the </w:t>
      </w:r>
      <w:r w:rsidR="005E441B" w:rsidRPr="005E441B">
        <w:t>National Institute for Health and Care Excellence (NICE)</w:t>
      </w:r>
      <w:r w:rsidR="005E441B">
        <w:t>. Since 2022</w:t>
      </w:r>
      <w:r w:rsidR="005E441B" w:rsidRPr="005E441B">
        <w:t>, there has been a national strategy put in place to deal with its after-effects, and in 2023,</w:t>
      </w:r>
      <w:r w:rsidR="005E441B">
        <w:t xml:space="preserve"> it was finally recognised as a </w:t>
      </w:r>
      <w:r w:rsidR="005E441B" w:rsidRPr="005E441B">
        <w:t>disability</w:t>
      </w:r>
      <w:r w:rsidR="005E441B">
        <w:t xml:space="preserve"> by an Employment Tribunal (</w:t>
      </w:r>
      <w:r w:rsidR="008D13B7">
        <w:t>Cowen</w:t>
      </w:r>
      <w:r w:rsidR="008D13B7">
        <w:t xml:space="preserve"> </w:t>
      </w:r>
      <w:r w:rsidR="008D13B7">
        <w:t>and Ball</w:t>
      </w:r>
      <w:r w:rsidR="008D13B7">
        <w:t xml:space="preserve">, </w:t>
      </w:r>
      <w:r w:rsidR="005E441B" w:rsidRPr="008D13B7">
        <w:t>2023)</w:t>
      </w:r>
      <w:r w:rsidR="005E441B">
        <w:t xml:space="preserve">.  </w:t>
      </w:r>
      <w:r>
        <w:t>However, this context is absent</w:t>
      </w:r>
      <w:r w:rsidR="00C26AD0">
        <w:t xml:space="preserve"> as the </w:t>
      </w:r>
      <w:r>
        <w:t xml:space="preserve">text under the </w:t>
      </w:r>
      <w:r w:rsidR="00C26AD0">
        <w:t>bar chart</w:t>
      </w:r>
      <w:r w:rsidR="00C26AD0" w:rsidRPr="00C26AD0">
        <w:t xml:space="preserve"> focuses</w:t>
      </w:r>
      <w:r w:rsidR="00C26AD0">
        <w:t xml:space="preserve"> on the narrative</w:t>
      </w:r>
      <w:r>
        <w:t xml:space="preserve"> </w:t>
      </w:r>
      <w:r w:rsidR="00C26AD0">
        <w:t>that</w:t>
      </w:r>
      <w:r>
        <w:t xml:space="preserve"> </w:t>
      </w:r>
      <w:r w:rsidRPr="00496BCF">
        <w:t>long-term health condition</w:t>
      </w:r>
      <w:r w:rsidR="003B7A03">
        <w:t>s</w:t>
      </w:r>
      <w:r w:rsidRPr="00496BCF">
        <w:t xml:space="preserve"> or </w:t>
      </w:r>
      <w:r w:rsidR="003B7A03">
        <w:t xml:space="preserve">being </w:t>
      </w:r>
      <w:r w:rsidRPr="00496BCF">
        <w:t xml:space="preserve">classified as disabled is increasing faster now </w:t>
      </w:r>
      <w:r w:rsidR="003B7A03">
        <w:t xml:space="preserve">more </w:t>
      </w:r>
      <w:r w:rsidR="00696E2C" w:rsidRPr="00696E2C">
        <w:t>than</w:t>
      </w:r>
      <w:r w:rsidR="003B7A03">
        <w:t xml:space="preserve"> ever because </w:t>
      </w:r>
      <w:r w:rsidR="00696E2C">
        <w:t>this supports Sunak’s argument that “</w:t>
      </w:r>
      <w:r w:rsidR="00696E2C" w:rsidRPr="00696E2C">
        <w:t>the gateway to ill health benefits is writing too many off</w:t>
      </w:r>
      <w:r w:rsidR="00696E2C">
        <w:t xml:space="preserve">”. This makes this set of </w:t>
      </w:r>
      <w:r w:rsidR="00696E2C" w:rsidRPr="00696E2C">
        <w:t>statistics</w:t>
      </w:r>
      <w:r w:rsidR="00696E2C">
        <w:t xml:space="preserve"> quite dangerous because </w:t>
      </w:r>
      <w:r w:rsidR="00E25131">
        <w:t xml:space="preserve">it </w:t>
      </w:r>
      <w:r w:rsidR="00E25131" w:rsidRPr="00E25131">
        <w:t>uses</w:t>
      </w:r>
      <w:r w:rsidR="00E25131">
        <w:t xml:space="preserve"> the idea that there is </w:t>
      </w:r>
      <w:r w:rsidR="009A0E3C" w:rsidRPr="009A0E3C">
        <w:t>benign objectivity to the data, especially since</w:t>
      </w:r>
      <w:r w:rsidR="00E25131">
        <w:t xml:space="preserve"> it’s just a count of people in the population. Yet, behind every person is a story</w:t>
      </w:r>
      <w:r w:rsidR="00E25131" w:rsidRPr="00E25131">
        <w:t>, and there is no separation between</w:t>
      </w:r>
      <w:r w:rsidR="00E25131">
        <w:t xml:space="preserve"> their lived reality and these numbers</w:t>
      </w:r>
      <w:r w:rsidR="009A0E3C" w:rsidRPr="009A0E3C">
        <w:t>; ignoring their context</w:t>
      </w:r>
      <w:r w:rsidR="00E25131">
        <w:t xml:space="preserve"> “can lead to ineffective or cruel policy” (Dorman, 202</w:t>
      </w:r>
      <w:r w:rsidR="00920FCC">
        <w:t>2</w:t>
      </w:r>
      <w:r w:rsidR="00E25131">
        <w:t>)</w:t>
      </w:r>
      <w:r w:rsidR="001E1825">
        <w:t xml:space="preserve"> because “</w:t>
      </w:r>
      <w:r w:rsidR="001E1825">
        <w:t>each</w:t>
      </w:r>
      <w:r w:rsidR="001E1825">
        <w:t xml:space="preserve"> </w:t>
      </w:r>
      <w:r w:rsidR="001E1825">
        <w:t>variable is not hermetically sealed from the rest of the world</w:t>
      </w:r>
      <w:r w:rsidR="001E1825">
        <w:t>” (Castillo and Gillborn</w:t>
      </w:r>
      <w:r w:rsidR="00F37725">
        <w:t>,</w:t>
      </w:r>
      <w:r w:rsidR="001E1825">
        <w:t xml:space="preserve"> 2023). </w:t>
      </w:r>
      <w:r w:rsidR="004579DE">
        <w:t>Plus, what we do not know from the data is how many people are disabled, disabled (limited a lot) or long-term sick but do not access benefits</w:t>
      </w:r>
      <w:r w:rsidR="00B258A3">
        <w:t>, especially as many people who are legible do not claim</w:t>
      </w:r>
      <w:r w:rsidR="004579DE">
        <w:t xml:space="preserve"> or mask their condition and never declare it.  </w:t>
      </w:r>
    </w:p>
    <w:p w14:paraId="5D60EFBE" w14:textId="2E853E31" w:rsidR="00DB3A71" w:rsidRDefault="003631DF" w:rsidP="00DC2D24">
      <w:r>
        <w:rPr>
          <w:noProof/>
        </w:rPr>
        <w:lastRenderedPageBreak/>
        <w:drawing>
          <wp:anchor distT="0" distB="0" distL="114300" distR="114300" simplePos="0" relativeHeight="251662336" behindDoc="0" locked="0" layoutInCell="1" allowOverlap="1" wp14:anchorId="2CCF93DF" wp14:editId="51E7F52B">
            <wp:simplePos x="0" y="0"/>
            <wp:positionH relativeFrom="margin">
              <wp:align>center</wp:align>
            </wp:positionH>
            <wp:positionV relativeFrom="paragraph">
              <wp:posOffset>496036</wp:posOffset>
            </wp:positionV>
            <wp:extent cx="4615815" cy="2332990"/>
            <wp:effectExtent l="0" t="0" r="13335" b="10160"/>
            <wp:wrapTopAndBottom/>
            <wp:docPr id="1624475580" name="Chart 1">
              <a:extLst xmlns:a="http://schemas.openxmlformats.org/drawingml/2006/main">
                <a:ext uri="{FF2B5EF4-FFF2-40B4-BE49-F238E27FC236}">
                  <a16:creationId xmlns:a16="http://schemas.microsoft.com/office/drawing/2014/main" id="{31FC858C-6383-4EEC-8DB4-63AB194011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rsidR="009A0E3C">
        <w:t xml:space="preserve">Appendix 1, sheet correlations, shows several graphs </w:t>
      </w:r>
      <w:r w:rsidR="00E454E2" w:rsidRPr="00E454E2">
        <w:t xml:space="preserve">correlating the data from POP001, which appears in the bar chart. </w:t>
      </w:r>
    </w:p>
    <w:p w14:paraId="2FA88459" w14:textId="10F55331" w:rsidR="00DB3A71" w:rsidRDefault="00DB3A71" w:rsidP="00DC2D24"/>
    <w:p w14:paraId="1DB724DA" w14:textId="4DA7C6CF" w:rsidR="00DB3A71" w:rsidRDefault="00E454E2" w:rsidP="00DC2D24">
      <w:r w:rsidRPr="00E454E2">
        <w:t>They show a strong relationship between the variable ‘People: 16 to 64 years old (inclusive) living in the United Kingdom'</w:t>
      </w:r>
      <w:r>
        <w:t xml:space="preserve"> and </w:t>
      </w:r>
      <w:r w:rsidRPr="00E454E2">
        <w:t xml:space="preserve">the </w:t>
      </w:r>
      <w:r>
        <w:t xml:space="preserve">three categories described above. </w:t>
      </w:r>
      <w:r w:rsidR="001E1825">
        <w:t>These three graphs paint quite a dull picture compared to the stacked bar chart</w:t>
      </w:r>
      <w:r w:rsidR="001E1825" w:rsidRPr="001E1825">
        <w:t xml:space="preserve">, which is probably why they </w:t>
      </w:r>
      <w:r w:rsidR="001E1825">
        <w:t xml:space="preserve">decided to depict the numbers </w:t>
      </w:r>
      <w:r w:rsidR="000B1E28">
        <w:t>like this</w:t>
      </w:r>
      <w:r w:rsidR="004765EE">
        <w:t>, as the graphs may accurately depict</w:t>
      </w:r>
      <w:r w:rsidR="000B1E28">
        <w:t xml:space="preserve"> the numbers</w:t>
      </w:r>
      <w:r w:rsidR="00005880">
        <w:t>. Yet, ultimately</w:t>
      </w:r>
      <w:r w:rsidR="000B1E28" w:rsidRPr="000B1E28">
        <w:t xml:space="preserve">, it’s the researcher’s responsibility to present the data </w:t>
      </w:r>
      <w:r w:rsidR="00DB3A71">
        <w:t>meaningfully</w:t>
      </w:r>
      <w:r w:rsidR="000B1E28">
        <w:t xml:space="preserve">. </w:t>
      </w:r>
      <w:r w:rsidR="00DB3A71">
        <w:t xml:space="preserve">What the bar chart does show for the political narrative is that people who claim they are long-term sick are the cause of the drop in the number of working-age people. </w:t>
      </w:r>
      <w:r w:rsidR="000B1E28">
        <w:t>Therefore</w:t>
      </w:r>
      <w:r w:rsidR="000B1E28" w:rsidRPr="000B1E28">
        <w:t>,</w:t>
      </w:r>
      <w:r w:rsidR="000B1E28">
        <w:t xml:space="preserve"> </w:t>
      </w:r>
      <w:r w:rsidR="004757A1">
        <w:t>the researcher</w:t>
      </w:r>
      <w:r w:rsidR="000B1E28">
        <w:t xml:space="preserve"> decides how to frame their sample</w:t>
      </w:r>
      <w:r w:rsidR="00DB3A71">
        <w:t xml:space="preserve"> as it needs to corroborate the underpinning narrative</w:t>
      </w:r>
      <w:r w:rsidR="000B1E28">
        <w:t xml:space="preserve">. </w:t>
      </w:r>
      <w:r w:rsidR="000B1E28">
        <w:t xml:space="preserve">The </w:t>
      </w:r>
      <w:r w:rsidR="00DB3A71">
        <w:t xml:space="preserve">correlated </w:t>
      </w:r>
      <w:r w:rsidR="000B1E28">
        <w:t>graphs present a nearly perfect linear relationship between the two variables</w:t>
      </w:r>
      <w:r w:rsidR="000B1E28" w:rsidRPr="000B1E28">
        <w:t>, which does not fit the political narrative</w:t>
      </w:r>
      <w:r w:rsidR="000B1E28">
        <w:t>. As the data is collected per year</w:t>
      </w:r>
      <w:r w:rsidR="000B1E28" w:rsidRPr="00E454E2">
        <w:t>,</w:t>
      </w:r>
      <w:r w:rsidR="000B1E28">
        <w:t xml:space="preserve"> the positive correlation could be because</w:t>
      </w:r>
      <w:r w:rsidR="000B1E28" w:rsidRPr="00E454E2">
        <w:t xml:space="preserve">, </w:t>
      </w:r>
      <w:r w:rsidR="000B1E28">
        <w:t xml:space="preserve">as </w:t>
      </w:r>
      <w:r w:rsidR="000B1E28" w:rsidRPr="00E454E2">
        <w:t>shown</w:t>
      </w:r>
      <w:r w:rsidR="000B1E28">
        <w:t xml:space="preserve"> already</w:t>
      </w:r>
      <w:r w:rsidR="000B1E28" w:rsidRPr="00E454E2">
        <w:t>,</w:t>
      </w:r>
      <w:r w:rsidR="000B1E28">
        <w:t xml:space="preserve"> the growth in people who are long-term sick or have disabilities is stable</w:t>
      </w:r>
      <w:r w:rsidR="000B1E28">
        <w:t xml:space="preserve"> and not widely growing as claimed</w:t>
      </w:r>
      <w:r w:rsidR="000B1E28" w:rsidRPr="00E454E2">
        <w:t>. As</w:t>
      </w:r>
      <w:r w:rsidR="000B1E28">
        <w:t xml:space="preserve"> the population grows</w:t>
      </w:r>
      <w:r w:rsidR="000B1E28" w:rsidRPr="00E454E2">
        <w:t>,</w:t>
      </w:r>
      <w:r w:rsidR="000B1E28">
        <w:t xml:space="preserve"> the three categories </w:t>
      </w:r>
      <w:r w:rsidR="000B1E28" w:rsidRPr="0053720E">
        <w:t xml:space="preserve">do </w:t>
      </w:r>
      <w:r w:rsidR="000B1E28">
        <w:t xml:space="preserve">as well, in a </w:t>
      </w:r>
      <w:r w:rsidR="000B1E28" w:rsidRPr="00E454E2">
        <w:t>commensurately steady</w:t>
      </w:r>
      <w:r w:rsidR="000B1E28">
        <w:t xml:space="preserve"> way</w:t>
      </w:r>
      <w:r w:rsidR="000B1E28" w:rsidRPr="00E454E2">
        <w:t xml:space="preserve"> with little</w:t>
      </w:r>
      <w:r w:rsidR="000B1E28">
        <w:t xml:space="preserve"> variation</w:t>
      </w:r>
      <w:r w:rsidR="004757A1">
        <w:t>,</w:t>
      </w:r>
      <w:r w:rsidR="00DB3A71">
        <w:t xml:space="preserve"> so it has little to do with people subjectively claiming to be long-term sick</w:t>
      </w:r>
      <w:r w:rsidR="000B1E28">
        <w:t>.</w:t>
      </w:r>
      <w:r w:rsidR="000B1E28">
        <w:t xml:space="preserve">  </w:t>
      </w:r>
    </w:p>
    <w:p w14:paraId="0C709261" w14:textId="321B2C11" w:rsidR="004765EE" w:rsidRDefault="0053720E" w:rsidP="00DC2D24">
      <w:r>
        <w:t xml:space="preserve">Yet, correlation is not causation; just because the two variables seem aligned </w:t>
      </w:r>
      <w:r w:rsidRPr="0053720E">
        <w:t>does</w:t>
      </w:r>
      <w:r>
        <w:t xml:space="preserve"> </w:t>
      </w:r>
      <w:r w:rsidRPr="0053720E">
        <w:t>n</w:t>
      </w:r>
      <w:r>
        <w:t>ot</w:t>
      </w:r>
      <w:r w:rsidRPr="0053720E">
        <w:t xml:space="preserve"> mean they affect</w:t>
      </w:r>
      <w:r>
        <w:t xml:space="preserve"> each other. One of the key </w:t>
      </w:r>
      <w:r w:rsidRPr="0053720E">
        <w:t>statistical inference tests</w:t>
      </w:r>
      <w:r>
        <w:t xml:space="preserve"> is that the data sample is random or representative of the sample- in this case</w:t>
      </w:r>
      <w:r w:rsidRPr="0053720E">
        <w:t>,</w:t>
      </w:r>
      <w:r>
        <w:t xml:space="preserve"> the population to draw meaningful </w:t>
      </w:r>
      <w:r w:rsidRPr="0053720E">
        <w:t>conclusions</w:t>
      </w:r>
      <w:r>
        <w:t>. However, as already pointed out</w:t>
      </w:r>
      <w:r w:rsidR="001E1825" w:rsidRPr="001E1825">
        <w:t>,</w:t>
      </w:r>
      <w:r>
        <w:t xml:space="preserve"> the data sources used have been </w:t>
      </w:r>
      <w:r w:rsidR="001E1825">
        <w:t xml:space="preserve">withdrawn because the sampling methods were not as random or </w:t>
      </w:r>
      <w:r w:rsidR="001E1825" w:rsidRPr="001E1825">
        <w:t>representative of the population</w:t>
      </w:r>
      <w:r w:rsidR="001E1825">
        <w:t xml:space="preserve"> as they claimed to be. </w:t>
      </w:r>
      <w:r w:rsidR="00005880">
        <w:t xml:space="preserve">As the data lacks any context, all that is being assumed is that one variable is responsible for another, yet </w:t>
      </w:r>
      <w:r w:rsidR="0037717D">
        <w:t>other independent variables</w:t>
      </w:r>
      <w:r w:rsidR="00005880">
        <w:t xml:space="preserve"> could be creating this causation</w:t>
      </w:r>
      <w:r w:rsidR="004757A1">
        <w:t>. Two</w:t>
      </w:r>
      <w:r w:rsidR="00005880">
        <w:t xml:space="preserve"> of the most </w:t>
      </w:r>
      <w:r w:rsidR="004757A1">
        <w:t>notable which are</w:t>
      </w:r>
      <w:r w:rsidR="00005880">
        <w:t xml:space="preserve"> lacking are sex and a breakdown by age. In addition, the categories of long-term sick, disabled and disabled</w:t>
      </w:r>
      <w:r w:rsidR="004765EE">
        <w:t xml:space="preserve"> (limited lot) also add to the limitation of the data as the definition of who counts as disabled has changed over the years; for</w:t>
      </w:r>
      <w:r w:rsidR="00005880">
        <w:t xml:space="preserve"> e</w:t>
      </w:r>
      <w:r w:rsidR="004765EE">
        <w:t>xample, see note 5 in appendix 1, sheet ‘notes’. Therefore, being disabled is not a fixed measure because, over time, someone has decided who counts. Thus, any differences that may have occurred because of the changes in definition are not accounted for.</w:t>
      </w:r>
      <w:r w:rsidR="00DB3A71">
        <w:t xml:space="preserve"> </w:t>
      </w:r>
      <w:r w:rsidR="004765EE">
        <w:t xml:space="preserve">That said, the blurb under the bar chart does mention that the increase in people with disabilities could be due to other reasons. However, this </w:t>
      </w:r>
      <w:r w:rsidR="00DB3A71">
        <w:t xml:space="preserve">comes </w:t>
      </w:r>
      <w:r w:rsidR="004765EE">
        <w:t>i</w:t>
      </w:r>
      <w:r w:rsidR="00DB3A71">
        <w:t>n</w:t>
      </w:r>
      <w:r w:rsidR="004765EE">
        <w:t xml:space="preserve"> the final paragraph</w:t>
      </w:r>
      <w:r w:rsidR="00DB3A71">
        <w:t>, and by then, the damage is done by the visualisation of the statistics and the opening paragraphs stating that the working-age population has barely increased,</w:t>
      </w:r>
      <w:r w:rsidR="004765EE">
        <w:t xml:space="preserve"> yet “the</w:t>
      </w:r>
      <w:r w:rsidR="004765EE" w:rsidRPr="004765EE">
        <w:t xml:space="preserve"> number of people reporting a long-term health condition increased by 2.6m (22.4%).</w:t>
      </w:r>
      <w:r w:rsidR="004765EE">
        <w:t>” (DWP, 202</w:t>
      </w:r>
      <w:r w:rsidR="008D13B7">
        <w:t>3</w:t>
      </w:r>
      <w:r w:rsidR="004765EE">
        <w:t xml:space="preserve">).  </w:t>
      </w:r>
    </w:p>
    <w:p w14:paraId="09D667D1" w14:textId="77777777" w:rsidR="0037717D" w:rsidRDefault="0037717D" w:rsidP="00DC2D24">
      <w:pPr>
        <w:rPr>
          <w:b/>
          <w:bCs/>
        </w:rPr>
      </w:pPr>
    </w:p>
    <w:p w14:paraId="5FE66954" w14:textId="77777777" w:rsidR="0037717D" w:rsidRDefault="0037717D" w:rsidP="00DC2D24">
      <w:pPr>
        <w:rPr>
          <w:b/>
          <w:bCs/>
        </w:rPr>
      </w:pPr>
    </w:p>
    <w:p w14:paraId="7B84BD3D" w14:textId="77777777" w:rsidR="0037717D" w:rsidRDefault="0037717D" w:rsidP="00DC2D24">
      <w:pPr>
        <w:rPr>
          <w:b/>
          <w:bCs/>
        </w:rPr>
      </w:pPr>
    </w:p>
    <w:p w14:paraId="36DFA728" w14:textId="2563AA30" w:rsidR="00C26AD0" w:rsidRPr="004757A1" w:rsidRDefault="00D451DB" w:rsidP="00DC2D24">
      <w:pPr>
        <w:rPr>
          <w:b/>
          <w:bCs/>
        </w:rPr>
      </w:pPr>
      <w:r w:rsidRPr="004757A1">
        <w:rPr>
          <w:b/>
          <w:bCs/>
        </w:rPr>
        <w:lastRenderedPageBreak/>
        <w:t>Discussion</w:t>
      </w:r>
    </w:p>
    <w:p w14:paraId="325B7036" w14:textId="3484E2B4" w:rsidR="00D451DB" w:rsidRPr="004757A1" w:rsidRDefault="00D451DB" w:rsidP="00D451DB">
      <w:pPr>
        <w:pStyle w:val="ListParagraph"/>
        <w:numPr>
          <w:ilvl w:val="0"/>
          <w:numId w:val="2"/>
        </w:numPr>
        <w:rPr>
          <w:b/>
          <w:bCs/>
          <w:i/>
          <w:iCs/>
        </w:rPr>
      </w:pPr>
      <w:r w:rsidRPr="004757A1">
        <w:rPr>
          <w:b/>
          <w:bCs/>
          <w:i/>
          <w:iCs/>
        </w:rPr>
        <w:t>Voice and Insight (data cannot speak for itself)</w:t>
      </w:r>
    </w:p>
    <w:p w14:paraId="542E8D6F" w14:textId="5A08E252" w:rsidR="00896D15" w:rsidRDefault="00D451DB" w:rsidP="00DC2D24">
      <w:r>
        <w:t>Although in QuantCrit, this tenet says data cannot speak for itself</w:t>
      </w:r>
      <w:r w:rsidR="004757A1">
        <w:t>; however</w:t>
      </w:r>
      <w:r>
        <w:t>, it can when researchers give it a voice and platform to be heard. It is because of the types of platforms</w:t>
      </w:r>
      <w:r w:rsidR="00D01199">
        <w:t xml:space="preserve">, such as government websites used to house the official statistics used in this paper, that give numbers their validation and voice, which makes them appear that they speak for themselves, especially when techniques such as the third person voice is used to emphasise their neutrality. </w:t>
      </w:r>
      <w:r w:rsidR="004757A1">
        <w:t xml:space="preserve">Therefore, </w:t>
      </w:r>
      <w:r w:rsidR="00D01199">
        <w:t xml:space="preserve">readers overlook that bar charts such as the one that has been analysed are a social and political construct based on the ideology, assumptions and biases of those who created the researcher from which the numbers and statistics are derived. </w:t>
      </w:r>
      <w:r w:rsidR="0037717D">
        <w:t xml:space="preserve">Readers link numbers with their perception of reality and see them as </w:t>
      </w:r>
      <w:r w:rsidR="004757A1">
        <w:t xml:space="preserve">factual and concrete when, in fact, they are </w:t>
      </w:r>
      <w:r w:rsidR="0037717D">
        <w:t>tied</w:t>
      </w:r>
      <w:r w:rsidR="004757A1">
        <w:t xml:space="preserve"> to the ontology of the researcher, which in this case is linked to the government’s long-standing ideolog</w:t>
      </w:r>
      <w:r w:rsidR="00D072D6">
        <w:t>ical reality</w:t>
      </w:r>
      <w:r w:rsidR="004757A1">
        <w:t xml:space="preserve"> about people with disabilities, welfare and work.</w:t>
      </w:r>
      <w:r w:rsidR="00896D15">
        <w:t xml:space="preserve"> </w:t>
      </w:r>
    </w:p>
    <w:p w14:paraId="021E9432" w14:textId="012480DF" w:rsidR="00034E71" w:rsidRDefault="0037717D" w:rsidP="00DC2D24">
      <w:r>
        <w:t xml:space="preserve">This is furthered by the decontextualisation of the statistics. This detachment means that the numbers and statistics can </w:t>
      </w:r>
      <w:r w:rsidR="00896D15">
        <w:t>seamlessly be woven into any current political narrative, making</w:t>
      </w:r>
      <w:r>
        <w:t xml:space="preserve"> them seem more truthful and factual. The overall effect is that </w:t>
      </w:r>
      <w:r w:rsidR="00896D15">
        <w:t xml:space="preserve">these numbers and statistics must come from our lived experience of reality to the reader </w:t>
      </w:r>
      <w:r>
        <w:t>because they are just describing what is there. However, as seen from the analysis</w:t>
      </w:r>
      <w:r w:rsidR="00896D15">
        <w:t>, the lack of context is to secure the underpinning of a political narrative that</w:t>
      </w:r>
      <w:r>
        <w:t xml:space="preserve"> </w:t>
      </w:r>
      <w:r w:rsidR="00BC39B3">
        <w:t>defines the reality of the past and future that only exists because it has been created be so. What this does not mean is that the DWP simply threw some numbers together for the sake of politicking, but instead, the official statistics were purposefully constructed and interpreted both consciously and unconsciously “</w:t>
      </w:r>
      <w:r w:rsidR="00BC39B3">
        <w:t>by the researchers’ beliefs about the key research problems and their theories about the processes that they are exploring</w:t>
      </w:r>
      <w:r w:rsidR="00BC39B3">
        <w:t xml:space="preserve">” </w:t>
      </w:r>
      <w:r w:rsidR="00BC39B3">
        <w:t>(Castillo and Gillborn</w:t>
      </w:r>
      <w:r w:rsidR="00F37725">
        <w:t>,</w:t>
      </w:r>
      <w:r w:rsidR="00BC39B3">
        <w:t xml:space="preserve"> 2023).</w:t>
      </w:r>
      <w:r w:rsidR="00896D15">
        <w:t xml:space="preserve"> In other words, the official statistics are based on epistemology, i.e., how the researchers and government decided was best to create the narrative they wanted to achieve by including and excluding what they believed to be relevant. </w:t>
      </w:r>
    </w:p>
    <w:p w14:paraId="1A498348" w14:textId="4BAFDAF5" w:rsidR="00034E71" w:rsidRDefault="000F10C6" w:rsidP="00DC2D24">
      <w:r>
        <w:t>One of systems thinking's core concepts is to focus on the whole and not the parts. This small analysis of a key chart from the official statistics has shown the opposite—that to reach the conclusion that long-term health conditions are rising, they have focused on the part and then extrapolated this to make it appear to be whole. So they have taken the data and positioned it in a stack bar chart and wrapped it around a headline and blurb that paints a picture of doom for the number of working-age people in the population because of people subjectively claiming to be long-term sick, who could be in employment instead, therefore manufacturing a problem that from the correlated data potentially doesn’t exist.</w:t>
      </w:r>
      <w:r w:rsidR="00896D15">
        <w:t xml:space="preserve"> Although</w:t>
      </w:r>
      <w:r w:rsidR="00D072D6">
        <w:t xml:space="preserve"> the context of the statistics is omitted,</w:t>
      </w:r>
      <w:r w:rsidR="00896D15">
        <w:t xml:space="preserve"> the way we are conditioned to accept them as factual and benign means that </w:t>
      </w:r>
      <w:r w:rsidR="00D072D6">
        <w:t xml:space="preserve">the </w:t>
      </w:r>
      <w:r w:rsidR="00896D15">
        <w:t>nuanced picture is required by the reader</w:t>
      </w:r>
      <w:r w:rsidR="00D072D6">
        <w:t xml:space="preserve"> </w:t>
      </w:r>
      <w:r w:rsidR="00896D15">
        <w:t xml:space="preserve">to truly understand </w:t>
      </w:r>
      <w:r w:rsidR="00D072D6">
        <w:t xml:space="preserve">how long-term sickness and disabilities affect the population is overlooked due to the certainty we afford numbers. </w:t>
      </w:r>
    </w:p>
    <w:p w14:paraId="12049930" w14:textId="67444CC6" w:rsidR="00D072D6" w:rsidRPr="00AA249F" w:rsidRDefault="00D072D6" w:rsidP="00D072D6">
      <w:pPr>
        <w:pStyle w:val="ListParagraph"/>
        <w:numPr>
          <w:ilvl w:val="0"/>
          <w:numId w:val="2"/>
        </w:numPr>
        <w:rPr>
          <w:b/>
          <w:bCs/>
        </w:rPr>
      </w:pPr>
      <w:r w:rsidRPr="00AA249F">
        <w:rPr>
          <w:b/>
          <w:bCs/>
        </w:rPr>
        <w:t>Social Change Orientation</w:t>
      </w:r>
    </w:p>
    <w:p w14:paraId="19040ECD" w14:textId="7070A4B4" w:rsidR="00D072D6" w:rsidRDefault="00D072D6" w:rsidP="00D072D6">
      <w:r>
        <w:t xml:space="preserve">The hypothesis </w:t>
      </w:r>
      <w:r>
        <w:t>was</w:t>
      </w:r>
      <w:r>
        <w:t xml:space="preserve"> that numbers and statistics have a negative effect because political narratives are based on the current situation</w:t>
      </w:r>
      <w:r w:rsidRPr="002224EC">
        <w:t xml:space="preserve">, an iteration of what </w:t>
      </w:r>
      <w:r>
        <w:t>went before. Thus, the future conditions are just another retelling of the past</w:t>
      </w:r>
      <w:r w:rsidRPr="002D4585">
        <w:t>; thus,</w:t>
      </w:r>
      <w:r>
        <w:t xml:space="preserve"> nothing is reformed, so we end up with “more of the same but slightly different</w:t>
      </w:r>
      <w:r>
        <w:t xml:space="preserve">. </w:t>
      </w:r>
      <w:r w:rsidR="00073F43">
        <w:t>P</w:t>
      </w:r>
      <w:r>
        <w:t xml:space="preserve">olitical </w:t>
      </w:r>
      <w:r w:rsidRPr="00B01605">
        <w:t>narratives</w:t>
      </w:r>
      <w:r>
        <w:t xml:space="preserve"> are based on the pas</w:t>
      </w:r>
      <w:r w:rsidR="00FA6591">
        <w:t>t,</w:t>
      </w:r>
      <w:r>
        <w:t xml:space="preserve"> </w:t>
      </w:r>
      <w:r>
        <w:t xml:space="preserve">lock in biases and uphold power dynamics </w:t>
      </w:r>
      <w:r>
        <w:t>thus</w:t>
      </w:r>
      <w:r>
        <w:t xml:space="preserve"> condition</w:t>
      </w:r>
      <w:r>
        <w:t xml:space="preserve">ing </w:t>
      </w:r>
      <w:r>
        <w:t>the reality of many groups in society</w:t>
      </w:r>
      <w:r>
        <w:t xml:space="preserve">. </w:t>
      </w:r>
      <w:r w:rsidR="00073F43">
        <w:t>Yet, t</w:t>
      </w:r>
      <w:r>
        <w:t xml:space="preserve">here is potential for </w:t>
      </w:r>
      <w:r w:rsidR="00073F43">
        <w:t>numbers and statistics in political narratives to do the opposite,</w:t>
      </w:r>
      <w:r>
        <w:t xml:space="preserve"> which </w:t>
      </w:r>
      <w:r w:rsidR="00073F43">
        <w:t>is the power behind QuantCrit because it can disrupt this and “</w:t>
      </w:r>
      <w:r w:rsidR="00073F43">
        <w:t>flip the script” by empowering researchers and equipping users of research to utilize numbers to work towards a more equitable society</w:t>
      </w:r>
      <w:r w:rsidR="00073F43">
        <w:t>”</w:t>
      </w:r>
      <w:r w:rsidR="00073F43" w:rsidRPr="00073F43">
        <w:t xml:space="preserve"> </w:t>
      </w:r>
      <w:r w:rsidR="00073F43">
        <w:t>(Castillo and Gillborn</w:t>
      </w:r>
      <w:r w:rsidR="00F37725">
        <w:t>,</w:t>
      </w:r>
      <w:r w:rsidR="00073F43">
        <w:t xml:space="preserve"> 2023).</w:t>
      </w:r>
      <w:r w:rsidR="00073F43">
        <w:t xml:space="preserve"> However, systems thinking needs to embrace approaches like this to </w:t>
      </w:r>
      <w:r>
        <w:t>creat</w:t>
      </w:r>
      <w:r w:rsidR="00073F43">
        <w:t xml:space="preserve">e </w:t>
      </w:r>
      <w:r>
        <w:t xml:space="preserve">future conditions for </w:t>
      </w:r>
      <w:r w:rsidR="00073F43">
        <w:t>change so that there is more understanding of how to appreciate numbers and statistics in relation to complex problems. Systems thinking could play a huge part in overcoming the rarified way that numbers and statistics are positioned and situated in complexity and can be challenged</w:t>
      </w:r>
      <w:r w:rsidR="00FA6591">
        <w:t>. Thus,</w:t>
      </w:r>
      <w:r w:rsidR="00073F43">
        <w:t xml:space="preserve"> we see beyond the idea that they are benign, factual and real. </w:t>
      </w:r>
      <w:r w:rsidR="00AA249F">
        <w:t xml:space="preserve">In </w:t>
      </w:r>
      <w:r w:rsidR="00AA249F">
        <w:lastRenderedPageBreak/>
        <w:t xml:space="preserve">addition, through its approaches to learning the numbers and statistics can be linked to other problems as issues are all too often seen in silos. So, on the DWP’s official statistics dots are not joined between, for example, long-term sickness and poverty or with geography. </w:t>
      </w:r>
    </w:p>
    <w:p w14:paraId="1490641B" w14:textId="1CC53B88" w:rsidR="004D4FA8" w:rsidRDefault="00AA249F" w:rsidP="00DB5C79">
      <w:r>
        <w:t>What systems thinking cannot do is overcome politicking. If the government wishes to use statistics to bolster and justify its ideology</w:t>
      </w:r>
      <w:r w:rsidR="00FA6591">
        <w:t xml:space="preserve"> through the development of policies and legislation,</w:t>
      </w:r>
      <w:r>
        <w:t xml:space="preserve"> all systems thinking can do is create spaces to explain the complex interchange between our perception of reality and our relationship with numbers. </w:t>
      </w:r>
      <w:r w:rsidR="00FA6591">
        <w:t>It</w:t>
      </w:r>
      <w:r>
        <w:t xml:space="preserve"> is only through a better understanding of how we </w:t>
      </w:r>
      <w:r w:rsidR="00FA6591">
        <w:t>anticipate</w:t>
      </w:r>
      <w:r>
        <w:t xml:space="preserve"> and </w:t>
      </w:r>
      <w:r w:rsidR="00FA6591">
        <w:t xml:space="preserve">perceive </w:t>
      </w:r>
      <w:r>
        <w:t>political narrative</w:t>
      </w:r>
      <w:r w:rsidR="00FA6591">
        <w:t>s</w:t>
      </w:r>
      <w:r>
        <w:t xml:space="preserve"> </w:t>
      </w:r>
      <w:r w:rsidR="00FA6591">
        <w:t>through</w:t>
      </w:r>
      <w:r>
        <w:t xml:space="preserve"> their use of </w:t>
      </w:r>
      <w:r w:rsidR="00FA6591">
        <w:t>statistics</w:t>
      </w:r>
      <w:r>
        <w:t xml:space="preserve"> </w:t>
      </w:r>
      <w:r w:rsidR="00FA6591">
        <w:t xml:space="preserve">that future change can </w:t>
      </w:r>
      <w:r>
        <w:t xml:space="preserve">be </w:t>
      </w:r>
      <w:r w:rsidR="00FA6591">
        <w:t xml:space="preserve">realised. </w:t>
      </w:r>
    </w:p>
    <w:p w14:paraId="0E407F12" w14:textId="20E71508" w:rsidR="00447BDA" w:rsidRDefault="004D4FA8" w:rsidP="006558EB">
      <w:pPr>
        <w:rPr>
          <w:b/>
          <w:bCs/>
        </w:rPr>
      </w:pPr>
      <w:r w:rsidRPr="004D4FA8">
        <w:rPr>
          <w:b/>
          <w:bCs/>
        </w:rPr>
        <w:t>References</w:t>
      </w:r>
    </w:p>
    <w:p w14:paraId="76C31964" w14:textId="77777777" w:rsidR="00270CDE" w:rsidRDefault="00270CDE" w:rsidP="00270CDE">
      <w:r>
        <w:t xml:space="preserve">Analysing and Disseminating Disability Statistics (2008). Chapter 9: Analysing and disseminating disability statistics - Training Manual on Disability Statistics. World Health Organization (WHO) April 2008 Available at: </w:t>
      </w:r>
      <w:hyperlink r:id="rId10" w:history="1">
        <w:r w:rsidRPr="00F211A1">
          <w:rPr>
            <w:rStyle w:val="Hyperlink"/>
          </w:rPr>
          <w:t>https://www.unescap.org/sites/default/d8files/Chapter9-Disability-Statistics-E.pdf</w:t>
        </w:r>
      </w:hyperlink>
      <w:r>
        <w:t xml:space="preserve"> </w:t>
      </w:r>
      <w:r w:rsidRPr="00AB3E86">
        <w:t xml:space="preserve">(Accessed: </w:t>
      </w:r>
      <w:r>
        <w:t>17 May 2024</w:t>
      </w:r>
      <w:r w:rsidRPr="00AB3E86">
        <w:t>)</w:t>
      </w:r>
    </w:p>
    <w:p w14:paraId="25ADB11F" w14:textId="77777777" w:rsidR="00132F58" w:rsidRDefault="00132F58" w:rsidP="00132F58">
      <w:r>
        <w:t xml:space="preserve">Annamma, A S., Connor, D. and Ferri, B (2013) Dis/ability critical race studies (DisCrit): theorizing at the intersections of race and dis/ability, </w:t>
      </w:r>
      <w:r w:rsidRPr="004C31C5">
        <w:rPr>
          <w:i/>
          <w:iCs/>
        </w:rPr>
        <w:t>Race Ethnicity and Education</w:t>
      </w:r>
      <w:r>
        <w:t>, 16:1, 1-31, Available at: https://doi.org/10.1080/13613324.2012.730511</w:t>
      </w:r>
    </w:p>
    <w:p w14:paraId="61FF6E50" w14:textId="77777777" w:rsidR="00132F58" w:rsidRDefault="00132F58" w:rsidP="00132F58">
      <w:r w:rsidRPr="00AB3E86">
        <w:t>ATOS May Lose Fit For Work Test Contract After 2015</w:t>
      </w:r>
      <w:r>
        <w:t xml:space="preserve">. (2014). </w:t>
      </w:r>
      <w:r w:rsidRPr="00AB3E86">
        <w:rPr>
          <w:i/>
          <w:iCs/>
        </w:rPr>
        <w:t>Same Difference</w:t>
      </w:r>
      <w:r>
        <w:t xml:space="preserve"> February 2014. Available at: </w:t>
      </w:r>
      <w:hyperlink r:id="rId11" w:history="1">
        <w:r w:rsidRPr="00950A6B">
          <w:rPr>
            <w:rStyle w:val="Hyperlink"/>
          </w:rPr>
          <w:t>https://samedifference1.com/2014/02/17/atos-may-lose-fit-for-work-test-contract-after-2015/</w:t>
        </w:r>
      </w:hyperlink>
      <w:r>
        <w:t xml:space="preserve">  (Accessed: 17 May 2024)</w:t>
      </w:r>
    </w:p>
    <w:p w14:paraId="330E69AA" w14:textId="77777777" w:rsidR="00270CDE" w:rsidRDefault="00270CDE" w:rsidP="00270CDE">
      <w:r w:rsidRPr="00565970">
        <w:t>Blair seeks welfare 'sea change'</w:t>
      </w:r>
      <w:r>
        <w:t xml:space="preserve">. (2002). </w:t>
      </w:r>
      <w:r w:rsidRPr="0061130C">
        <w:rPr>
          <w:i/>
          <w:iCs/>
        </w:rPr>
        <w:t>Politics,</w:t>
      </w:r>
      <w:r>
        <w:t xml:space="preserve"> </w:t>
      </w:r>
      <w:r w:rsidRPr="0061130C">
        <w:rPr>
          <w:i/>
          <w:iCs/>
        </w:rPr>
        <w:t>The BBC News</w:t>
      </w:r>
      <w:r>
        <w:t xml:space="preserve"> June 2002 Available at: </w:t>
      </w:r>
      <w:hyperlink r:id="rId12" w:history="1">
        <w:r w:rsidRPr="00F211A1">
          <w:rPr>
            <w:rStyle w:val="Hyperlink"/>
          </w:rPr>
          <w:t>http://news.bbc.co.uk/1/hi/uk_politics/2035808.stm</w:t>
        </w:r>
      </w:hyperlink>
      <w:r>
        <w:t xml:space="preserve"> </w:t>
      </w:r>
      <w:r w:rsidRPr="00AB3E86">
        <w:t xml:space="preserve">(Accessed: </w:t>
      </w:r>
      <w:r>
        <w:t>17 May 2024</w:t>
      </w:r>
      <w:r w:rsidRPr="00AB3E86">
        <w:t>)</w:t>
      </w:r>
    </w:p>
    <w:p w14:paraId="592B7706" w14:textId="77777777" w:rsidR="00270CDE" w:rsidRDefault="00270CDE" w:rsidP="00270CDE">
      <w:r>
        <w:t xml:space="preserve">Blomberg, T.G. and Lucken, K. (2000). </w:t>
      </w:r>
      <w:r w:rsidRPr="00217D52">
        <w:t>American Penology: A History of Contro</w:t>
      </w:r>
      <w:r>
        <w:t xml:space="preserve">l. New Lines in Criminology pg 233 In </w:t>
      </w:r>
      <w:r w:rsidRPr="00BF4D5C">
        <w:rPr>
          <w:i/>
          <w:iCs/>
        </w:rPr>
        <w:t>Wikipedia Social Amnesia</w:t>
      </w:r>
      <w:r>
        <w:t xml:space="preserve"> Available at: </w:t>
      </w:r>
      <w:hyperlink r:id="rId13" w:history="1">
        <w:r w:rsidRPr="00F211A1">
          <w:rPr>
            <w:rStyle w:val="Hyperlink"/>
          </w:rPr>
          <w:t>https://en.wikipedia.org/wiki/Social_amnesia#cite_note-3</w:t>
        </w:r>
      </w:hyperlink>
      <w:r>
        <w:t xml:space="preserve"> </w:t>
      </w:r>
      <w:r w:rsidRPr="00AB3E86">
        <w:t xml:space="preserve">(Accessed: </w:t>
      </w:r>
      <w:r>
        <w:t>17 May 2024</w:t>
      </w:r>
      <w:r w:rsidRPr="00AB3E86">
        <w:t>)</w:t>
      </w:r>
    </w:p>
    <w:p w14:paraId="1FF73BE6" w14:textId="77777777" w:rsidR="00270CDE" w:rsidRDefault="00270CDE" w:rsidP="00270CDE">
      <w:r w:rsidRPr="000517A4">
        <w:t xml:space="preserve">Buunk, B. P., </w:t>
      </w:r>
      <w:r>
        <w:t>and</w:t>
      </w:r>
      <w:r w:rsidRPr="000517A4">
        <w:t xml:space="preserve"> Van Yperen, N. W. (1991). Referential comparisons, relational comparisons, and exchange orientation: Their relation to marital satisfaction. </w:t>
      </w:r>
      <w:r w:rsidRPr="000517A4">
        <w:rPr>
          <w:i/>
          <w:iCs/>
        </w:rPr>
        <w:t>Personality and Social Psychology Bulletin</w:t>
      </w:r>
      <w:r w:rsidRPr="000517A4">
        <w:t xml:space="preserve">, 17(6), 709–717. </w:t>
      </w:r>
      <w:r>
        <w:t xml:space="preserve">Available at: </w:t>
      </w:r>
      <w:hyperlink r:id="rId14" w:history="1">
        <w:r w:rsidRPr="00F211A1">
          <w:rPr>
            <w:rStyle w:val="Hyperlink"/>
          </w:rPr>
          <w:t>https://doi.org/10.1177/0146167291176015</w:t>
        </w:r>
      </w:hyperlink>
    </w:p>
    <w:p w14:paraId="7E3573D8" w14:textId="77777777" w:rsidR="00132F58" w:rsidRDefault="00132F58" w:rsidP="00132F58">
      <w:r w:rsidRPr="00F37725">
        <w:t>Castillo, W, and Gillborn</w:t>
      </w:r>
      <w:r>
        <w:t>, D</w:t>
      </w:r>
      <w:r w:rsidRPr="00F37725">
        <w:t>. (2023). How to “QuantCrit:” Practices and Questions for Education Data Researchers and Users. (</w:t>
      </w:r>
      <w:r w:rsidRPr="00F37725">
        <w:rPr>
          <w:i/>
          <w:iCs/>
        </w:rPr>
        <w:t>EdWorkingPaper</w:t>
      </w:r>
      <w:r w:rsidRPr="00F37725">
        <w:t xml:space="preserve">: 22-546). Retrieved from Annenberg Institute at Brown University: </w:t>
      </w:r>
      <w:r>
        <w:t xml:space="preserve">Available at: </w:t>
      </w:r>
      <w:r w:rsidRPr="00F37725">
        <w:t>https://doi.org/10.26300/v5kh-dd65</w:t>
      </w:r>
    </w:p>
    <w:p w14:paraId="4B88BF86" w14:textId="77777777" w:rsidR="00270CDE" w:rsidRDefault="00270CDE" w:rsidP="00270CDE">
      <w:r>
        <w:t xml:space="preserve">Casey, B. (2023). </w:t>
      </w:r>
      <w:r w:rsidRPr="008D13B7">
        <w:t>Can we trust the UK Labour Force Survey?</w:t>
      </w:r>
      <w:r>
        <w:t xml:space="preserve"> </w:t>
      </w:r>
      <w:r w:rsidRPr="008D13B7">
        <w:rPr>
          <w:i/>
          <w:iCs/>
        </w:rPr>
        <w:t>UK in a Changing Europe</w:t>
      </w:r>
      <w:r>
        <w:t xml:space="preserve"> November 2023 Available at: </w:t>
      </w:r>
      <w:r w:rsidRPr="008D13B7">
        <w:t>https://ukandeu.ac.uk/can-we-trust-the-uk-labour-force-survey/</w:t>
      </w:r>
      <w:r>
        <w:t xml:space="preserve"> </w:t>
      </w:r>
      <w:r w:rsidRPr="00AB3E86">
        <w:t xml:space="preserve">(Accessed: </w:t>
      </w:r>
      <w:r>
        <w:t>17 May 2024</w:t>
      </w:r>
      <w:r w:rsidRPr="00AB3E86">
        <w:t>)</w:t>
      </w:r>
    </w:p>
    <w:p w14:paraId="4C9FB616" w14:textId="77777777" w:rsidR="00270CDE" w:rsidRDefault="00270CDE" w:rsidP="00270CDE">
      <w:r>
        <w:t xml:space="preserve">Charlton-Dailey, R. (2024). </w:t>
      </w:r>
      <w:r w:rsidRPr="00994F67">
        <w:t>Tories want you to think the poor, disabled people and Carol Vorderman are the enemy. They're lying</w:t>
      </w:r>
      <w:r>
        <w:t xml:space="preserve"> </w:t>
      </w:r>
      <w:r w:rsidRPr="00994F67">
        <w:rPr>
          <w:i/>
          <w:iCs/>
        </w:rPr>
        <w:t>The Big Issue</w:t>
      </w:r>
      <w:r>
        <w:t xml:space="preserve"> January 2024 Available at:</w:t>
      </w:r>
      <w:r w:rsidRPr="00994F67">
        <w:t xml:space="preserve"> </w:t>
      </w:r>
      <w:hyperlink r:id="rId15" w:history="1">
        <w:r w:rsidRPr="00F211A1">
          <w:rPr>
            <w:rStyle w:val="Hyperlink"/>
          </w:rPr>
          <w:t>https://www.bigissue.com/opinion/tories-disabled-people-poor-carol-vorderman-benefits/</w:t>
        </w:r>
      </w:hyperlink>
      <w:r>
        <w:t xml:space="preserve"> </w:t>
      </w:r>
      <w:r w:rsidRPr="00AB3E86">
        <w:t xml:space="preserve">(Accessed: </w:t>
      </w:r>
      <w:r>
        <w:t>17 May 2024</w:t>
      </w:r>
      <w:r w:rsidRPr="00AB3E86">
        <w:t>)</w:t>
      </w:r>
    </w:p>
    <w:p w14:paraId="448B2C68" w14:textId="77777777" w:rsidR="00270CDE" w:rsidRDefault="00270CDE" w:rsidP="00270CDE">
      <w:r w:rsidRPr="009051F9">
        <w:t xml:space="preserve">Clance, P. R., </w:t>
      </w:r>
      <w:r>
        <w:t>and</w:t>
      </w:r>
      <w:r w:rsidRPr="009051F9">
        <w:t xml:space="preserve"> Imes, S. A. (1978). The imposter phenomenon in high achieving women: Dynamics and therapeutic intervention. </w:t>
      </w:r>
      <w:r w:rsidRPr="009051F9">
        <w:rPr>
          <w:i/>
          <w:iCs/>
        </w:rPr>
        <w:t>Psychotherapy: Theory, Research &amp; Practice</w:t>
      </w:r>
      <w:r w:rsidRPr="009051F9">
        <w:t xml:space="preserve">, 15(3), 241–247. </w:t>
      </w:r>
      <w:r>
        <w:t xml:space="preserve">Available at: </w:t>
      </w:r>
      <w:hyperlink r:id="rId16" w:history="1">
        <w:r w:rsidRPr="00F211A1">
          <w:rPr>
            <w:rStyle w:val="Hyperlink"/>
          </w:rPr>
          <w:t>https://doi.org/10.1037/h0086006</w:t>
        </w:r>
      </w:hyperlink>
    </w:p>
    <w:p w14:paraId="6F5EF784" w14:textId="77777777" w:rsidR="00270CDE" w:rsidRDefault="00270CDE" w:rsidP="00270CDE">
      <w:r>
        <w:t xml:space="preserve">Cowen, G. and Ball, P. (2023). </w:t>
      </w:r>
      <w:r w:rsidRPr="008D13B7">
        <w:t>Long COVID recognised as a disability: what this means for the workplace</w:t>
      </w:r>
      <w:r>
        <w:t xml:space="preserve"> Gateley Legal July 2023 Available at: </w:t>
      </w:r>
      <w:hyperlink r:id="rId17" w:history="1">
        <w:r w:rsidRPr="00F211A1">
          <w:rPr>
            <w:rStyle w:val="Hyperlink"/>
          </w:rPr>
          <w:t>https://gateleyplc.com/insight/article/long-covid-recognised-as-a-disability-what-this-means-for-the-workplace/</w:t>
        </w:r>
      </w:hyperlink>
      <w:r>
        <w:t xml:space="preserve"> </w:t>
      </w:r>
      <w:r w:rsidRPr="00AB3E86">
        <w:t xml:space="preserve">(Accessed: </w:t>
      </w:r>
      <w:r>
        <w:t>17 May 2024</w:t>
      </w:r>
      <w:r w:rsidRPr="00AB3E86">
        <w:t>)</w:t>
      </w:r>
    </w:p>
    <w:p w14:paraId="5D21728F" w14:textId="77777777" w:rsidR="00270CDE" w:rsidRDefault="00270CDE" w:rsidP="00270CDE">
      <w:r w:rsidRPr="000517A4">
        <w:lastRenderedPageBreak/>
        <w:t>Davison,</w:t>
      </w:r>
      <w:r>
        <w:t xml:space="preserve"> P. W. (1983).</w:t>
      </w:r>
      <w:r w:rsidRPr="000517A4">
        <w:t xml:space="preserve"> The Third-Person Effect in Communication, </w:t>
      </w:r>
      <w:r w:rsidRPr="000517A4">
        <w:rPr>
          <w:i/>
          <w:iCs/>
        </w:rPr>
        <w:t>Public Opinion Quarterly</w:t>
      </w:r>
      <w:r w:rsidRPr="000517A4">
        <w:t xml:space="preserve">, Volume 47, Issue 1, Spring 1983, Pages 1–15, </w:t>
      </w:r>
      <w:r>
        <w:t xml:space="preserve">Available at: </w:t>
      </w:r>
      <w:hyperlink r:id="rId18" w:history="1">
        <w:r w:rsidRPr="00F211A1">
          <w:rPr>
            <w:rStyle w:val="Hyperlink"/>
          </w:rPr>
          <w:t>https://doi.org/10.1086/268763</w:t>
        </w:r>
      </w:hyperlink>
    </w:p>
    <w:p w14:paraId="79EA0ECF" w14:textId="77777777" w:rsidR="00132F58" w:rsidRDefault="00132F58" w:rsidP="00132F58">
      <w:r w:rsidRPr="009D4970">
        <w:t>Data tables: The employment of disabled people 2022 (XLS)</w:t>
      </w:r>
      <w:r>
        <w:t xml:space="preserve">. (2022). </w:t>
      </w:r>
      <w:r w:rsidRPr="009D4970">
        <w:rPr>
          <w:i/>
          <w:iCs/>
        </w:rPr>
        <w:t>Department for Work and Pensions</w:t>
      </w:r>
      <w:r w:rsidRPr="009D4970">
        <w:t xml:space="preserve"> </w:t>
      </w:r>
      <w:r>
        <w:t xml:space="preserve">Available at: </w:t>
      </w:r>
      <w:hyperlink r:id="rId19" w:history="1">
        <w:r w:rsidRPr="00F211A1">
          <w:rPr>
            <w:rStyle w:val="Hyperlink"/>
          </w:rPr>
          <w:t>https://assets.publishing.service.gov.uk/media/63d149e4d3bf7f3c48942533/employment-of-disabled-people-2022.xlsx</w:t>
        </w:r>
      </w:hyperlink>
      <w:r>
        <w:t xml:space="preserve"> (Accessed: 17 May 2024)</w:t>
      </w:r>
    </w:p>
    <w:p w14:paraId="0F14CEF4" w14:textId="77777777" w:rsidR="00132F58" w:rsidRPr="00920FCC" w:rsidRDefault="00132F58" w:rsidP="00132F58">
      <w:r>
        <w:t xml:space="preserve">Dorman, A. (2022). </w:t>
      </w:r>
      <w:r w:rsidRPr="00920FCC">
        <w:t>Data without context can be dangerous</w:t>
      </w:r>
      <w:r>
        <w:t xml:space="preserve">. </w:t>
      </w:r>
      <w:r w:rsidRPr="001C2285">
        <w:rPr>
          <w:i/>
          <w:iCs/>
        </w:rPr>
        <w:t>The Center for Community Solutions</w:t>
      </w:r>
      <w:r>
        <w:t xml:space="preserve"> January 2022 Available at </w:t>
      </w:r>
      <w:hyperlink r:id="rId20" w:history="1">
        <w:r w:rsidRPr="00F211A1">
          <w:rPr>
            <w:rStyle w:val="Hyperlink"/>
          </w:rPr>
          <w:t>https://www.communitysolutions.com/resources/data-without-context-can-dangerous</w:t>
        </w:r>
      </w:hyperlink>
      <w:r>
        <w:t xml:space="preserve"> </w:t>
      </w:r>
      <w:r w:rsidRPr="00AB3E86">
        <w:t xml:space="preserve">(Accessed: </w:t>
      </w:r>
      <w:r>
        <w:t>17 May 2024</w:t>
      </w:r>
      <w:r w:rsidRPr="00AB3E86">
        <w:t>)</w:t>
      </w:r>
    </w:p>
    <w:p w14:paraId="6421FE7B" w14:textId="77777777" w:rsidR="00270CDE" w:rsidRDefault="00270CDE" w:rsidP="00270CDE">
      <w:r w:rsidRPr="00DC1C1D">
        <w:t xml:space="preserve">Duck, J. M., Hogg, M. A., </w:t>
      </w:r>
      <w:r>
        <w:t>and</w:t>
      </w:r>
      <w:r w:rsidRPr="00DC1C1D">
        <w:t xml:space="preserve"> Terry, D. J. (1995). Me, us and them: Political identification and the third-person effect in the 1993 </w:t>
      </w:r>
      <w:r w:rsidRPr="00DC1C1D">
        <w:rPr>
          <w:i/>
          <w:iCs/>
        </w:rPr>
        <w:t>Australian federal election. European Journal of Social Psychology</w:t>
      </w:r>
      <w:r w:rsidRPr="00DC1C1D">
        <w:t>, 25(2), 195–215.</w:t>
      </w:r>
      <w:r>
        <w:t xml:space="preserve"> Available at:</w:t>
      </w:r>
      <w:r w:rsidRPr="00DC1C1D">
        <w:t xml:space="preserve"> https://doi.org/10.1002/ejsp.2420250206</w:t>
      </w:r>
    </w:p>
    <w:p w14:paraId="544C7C1E" w14:textId="77777777" w:rsidR="00132F58" w:rsidRPr="00AB3E86" w:rsidRDefault="00132F58" w:rsidP="00132F58">
      <w:r w:rsidRPr="00AB3E86">
        <w:t>Feldman Barrett, L. (2023)</w:t>
      </w:r>
      <w:r>
        <w:t>.</w:t>
      </w:r>
      <w:r w:rsidRPr="00AB3E86">
        <w:t xml:space="preserve"> How your brain creates reality, explained by a neuroscientist, </w:t>
      </w:r>
      <w:r w:rsidRPr="00AB3E86">
        <w:rPr>
          <w:i/>
        </w:rPr>
        <w:t>Big Think</w:t>
      </w:r>
      <w:r w:rsidRPr="00AB3E86">
        <w:t>, July. Available at:</w:t>
      </w:r>
      <w:hyperlink r:id="rId21">
        <w:r w:rsidRPr="00AB3E86">
          <w:rPr>
            <w:rStyle w:val="Hyperlink"/>
          </w:rPr>
          <w:t xml:space="preserve"> </w:t>
        </w:r>
      </w:hyperlink>
      <w:hyperlink r:id="rId22">
        <w:r w:rsidRPr="00AB3E86">
          <w:rPr>
            <w:rStyle w:val="Hyperlink"/>
          </w:rPr>
          <w:t>https://bigthink.com/the-well/what-is-reality/</w:t>
        </w:r>
      </w:hyperlink>
      <w:r w:rsidRPr="00AB3E86">
        <w:t xml:space="preserve"> (Accessed: </w:t>
      </w:r>
      <w:r>
        <w:t>17 May 2024</w:t>
      </w:r>
      <w:r w:rsidRPr="00AB3E86">
        <w:t>)</w:t>
      </w:r>
    </w:p>
    <w:p w14:paraId="4B21982F" w14:textId="77777777" w:rsidR="00132F58" w:rsidRDefault="00132F58" w:rsidP="00132F58">
      <w:r w:rsidRPr="001C2285">
        <w:t>Full text of Tony Blair's speech on welfare reform</w:t>
      </w:r>
      <w:r>
        <w:t xml:space="preserve">. (2002). </w:t>
      </w:r>
      <w:r w:rsidRPr="009D4970">
        <w:rPr>
          <w:i/>
          <w:iCs/>
        </w:rPr>
        <w:t>Society,</w:t>
      </w:r>
      <w:r>
        <w:t xml:space="preserve"> </w:t>
      </w:r>
      <w:r w:rsidRPr="001C2285">
        <w:rPr>
          <w:i/>
          <w:iCs/>
        </w:rPr>
        <w:t>The Guardian</w:t>
      </w:r>
      <w:r>
        <w:t xml:space="preserve"> June 2002 Available at: </w:t>
      </w:r>
      <w:hyperlink r:id="rId23" w:history="1">
        <w:r w:rsidRPr="00F211A1">
          <w:rPr>
            <w:rStyle w:val="Hyperlink"/>
          </w:rPr>
          <w:t>https://www.theguardian.com/society/2002/jun/10/socialexclusion.politics1</w:t>
        </w:r>
      </w:hyperlink>
      <w:r>
        <w:t xml:space="preserve"> </w:t>
      </w:r>
      <w:r w:rsidRPr="00AB3E86">
        <w:t xml:space="preserve">(Accessed: </w:t>
      </w:r>
      <w:r>
        <w:t>17 May 2024</w:t>
      </w:r>
      <w:r w:rsidRPr="00AB3E86">
        <w:t>)</w:t>
      </w:r>
    </w:p>
    <w:p w14:paraId="040137E4" w14:textId="77777777" w:rsidR="00270CDE" w:rsidRDefault="00270CDE" w:rsidP="00270CDE">
      <w:r w:rsidRPr="00994F67">
        <w:t xml:space="preserve">Garcia, N. M., López, N., </w:t>
      </w:r>
      <w:r>
        <w:t xml:space="preserve">and </w:t>
      </w:r>
      <w:r w:rsidRPr="00994F67">
        <w:t xml:space="preserve">Vélez, V. N. (2018). QuantCrit: rectifying quantitative methods through critical race theory. </w:t>
      </w:r>
      <w:r w:rsidRPr="008D13B7">
        <w:rPr>
          <w:i/>
          <w:iCs/>
        </w:rPr>
        <w:t>Race Ethnicity and Education</w:t>
      </w:r>
      <w:r w:rsidRPr="00994F67">
        <w:t>, 21(2), 149–157.</w:t>
      </w:r>
      <w:r>
        <w:t xml:space="preserve"> Available at:</w:t>
      </w:r>
      <w:r w:rsidRPr="00994F67">
        <w:t xml:space="preserve"> https://doi.org/10.1080/13613324.2017.1377675</w:t>
      </w:r>
    </w:p>
    <w:p w14:paraId="0E07075D" w14:textId="77777777" w:rsidR="00132F58" w:rsidRDefault="00132F58" w:rsidP="00132F58">
      <w:r>
        <w:t xml:space="preserve">Gentleman, A. (2011). </w:t>
      </w:r>
      <w:r w:rsidRPr="00AB3E86">
        <w:t>Fit-to-work tests a 'flawed process', MPs say</w:t>
      </w:r>
      <w:r>
        <w:t xml:space="preserve">. </w:t>
      </w:r>
      <w:r w:rsidRPr="00920FCC">
        <w:rPr>
          <w:i/>
          <w:iCs/>
        </w:rPr>
        <w:t>The Guardian, July 2011</w:t>
      </w:r>
      <w:r>
        <w:t xml:space="preserve"> Available at: </w:t>
      </w:r>
      <w:hyperlink r:id="rId24" w:history="1">
        <w:r w:rsidRPr="00F211A1">
          <w:rPr>
            <w:rStyle w:val="Hyperlink"/>
          </w:rPr>
          <w:t>https://www.theguardian.com/politics/2011/jul/26/fit-to-work-tests-flawed</w:t>
        </w:r>
      </w:hyperlink>
      <w:r>
        <w:t xml:space="preserve"> </w:t>
      </w:r>
      <w:r w:rsidRPr="00AB3E86">
        <w:t xml:space="preserve">(Accessed: </w:t>
      </w:r>
      <w:r>
        <w:t>17 May 2024</w:t>
      </w:r>
      <w:r w:rsidRPr="00AB3E86">
        <w:t>)</w:t>
      </w:r>
    </w:p>
    <w:p w14:paraId="03795A6D" w14:textId="77777777" w:rsidR="00132F58" w:rsidRDefault="00132F58" w:rsidP="00132F58">
      <w:r w:rsidRPr="00B74546">
        <w:t xml:space="preserve">Gillborn, David. (2016). Dis/ability as White Property. </w:t>
      </w:r>
      <w:r>
        <w:t xml:space="preserve">Race, Clad and ‘Special Education’ as a Racist Technology. </w:t>
      </w:r>
      <w:r w:rsidRPr="00AB3E86">
        <w:rPr>
          <w:i/>
          <w:iCs/>
        </w:rPr>
        <w:t>World Yearbook of Education 2017</w:t>
      </w:r>
      <w:r>
        <w:t xml:space="preserve">, Assessment Inequalities, </w:t>
      </w:r>
      <w:r w:rsidRPr="00B74546">
        <w:t>London: Routledge, pp. 104-119.</w:t>
      </w:r>
      <w:r>
        <w:t xml:space="preserve"> Available at: </w:t>
      </w:r>
      <w:hyperlink r:id="rId25" w:history="1">
        <w:r w:rsidRPr="00950A6B">
          <w:rPr>
            <w:rStyle w:val="Hyperlink"/>
          </w:rPr>
          <w:t>https://www.researchgate.net/publication/345528809_Disability_as_White_Property</w:t>
        </w:r>
      </w:hyperlink>
      <w:r>
        <w:t xml:space="preserve"> (Accessed: 17 May 2024)</w:t>
      </w:r>
    </w:p>
    <w:p w14:paraId="5FED96DA" w14:textId="77777777" w:rsidR="00270CDE" w:rsidRDefault="00270CDE" w:rsidP="00270CDE">
      <w:r>
        <w:t xml:space="preserve">Gillborn, D., Warmington, P. and Demack, S. (2018). QuantCrit:education, policy, ‘Big Data’ and principles for a critical race theory of statistics, </w:t>
      </w:r>
      <w:r w:rsidRPr="005C16E7">
        <w:rPr>
          <w:i/>
          <w:iCs/>
        </w:rPr>
        <w:t>Race Ethnicity and Education</w:t>
      </w:r>
      <w:r>
        <w:t>, 21:2, 158-179, Available from: https://doi.org/10.1080/13613324.2017.1377417</w:t>
      </w:r>
    </w:p>
    <w:p w14:paraId="598F6CB2" w14:textId="77777777" w:rsidR="00270CDE" w:rsidRDefault="00270CDE" w:rsidP="00270CDE">
      <w:r>
        <w:t xml:space="preserve">Grice, A. (2006). </w:t>
      </w:r>
      <w:r w:rsidRPr="001C2285">
        <w:t>Hutton blames 'Thatcher's legacy' for explosion of incapacity benefit</w:t>
      </w:r>
      <w:r>
        <w:t xml:space="preserve">. </w:t>
      </w:r>
      <w:r w:rsidRPr="001C2285">
        <w:rPr>
          <w:i/>
          <w:iCs/>
        </w:rPr>
        <w:t>The Independent</w:t>
      </w:r>
      <w:r>
        <w:t xml:space="preserve"> January 2006 Available at: </w:t>
      </w:r>
      <w:hyperlink r:id="rId26" w:history="1">
        <w:r w:rsidRPr="00F211A1">
          <w:rPr>
            <w:rStyle w:val="Hyperlink"/>
          </w:rPr>
          <w:t>https://www.independent.co.uk/news/uk/politics/hutton-blames-thatcher-s-legacy-for-explosion-of-incapacity-benefit-6110791.html</w:t>
        </w:r>
      </w:hyperlink>
    </w:p>
    <w:p w14:paraId="1C8C60F6" w14:textId="77777777" w:rsidR="00132F58" w:rsidRDefault="00132F58" w:rsidP="00132F58">
      <w:r w:rsidRPr="009D4970">
        <w:t>Guidance The employment of disabled people: background information and methodology</w:t>
      </w:r>
      <w:r>
        <w:t xml:space="preserve">. (2023) </w:t>
      </w:r>
      <w:r w:rsidRPr="009D4970">
        <w:rPr>
          <w:i/>
          <w:iCs/>
        </w:rPr>
        <w:t>Department for Work and Pensions</w:t>
      </w:r>
      <w:r w:rsidRPr="001D270F">
        <w:t xml:space="preserve"> </w:t>
      </w:r>
      <w:r>
        <w:t xml:space="preserve">Available at: </w:t>
      </w:r>
      <w:hyperlink r:id="rId27" w:history="1">
        <w:r w:rsidRPr="00950A6B">
          <w:rPr>
            <w:rStyle w:val="Hyperlink"/>
          </w:rPr>
          <w:t>https://www.gov.uk/government/publications/the-employment-of-disabled-people-background-information-and-methodology/the-employment-of-disabled-people-background-information-and-methodology</w:t>
        </w:r>
      </w:hyperlink>
      <w:r>
        <w:t xml:space="preserve"> (Accessed: 17 May 2024)</w:t>
      </w:r>
    </w:p>
    <w:p w14:paraId="138EB14C" w14:textId="77777777" w:rsidR="00132F58" w:rsidRDefault="00132F58" w:rsidP="00132F58">
      <w:r w:rsidRPr="007C52C5">
        <w:t xml:space="preserve">Hetey, R. C., </w:t>
      </w:r>
      <w:r>
        <w:t>and</w:t>
      </w:r>
      <w:r w:rsidRPr="007C52C5">
        <w:t xml:space="preserve"> Eberhardt, J. L. (2018). The Numbers Don’t Speak for Themselves: Racial Disparities and the Persistence of Inequality in the Criminal Justice System. </w:t>
      </w:r>
      <w:r w:rsidRPr="00AB3E86">
        <w:rPr>
          <w:i/>
          <w:iCs/>
        </w:rPr>
        <w:t>Current Directions in Psychological Science</w:t>
      </w:r>
      <w:r w:rsidRPr="007C52C5">
        <w:t xml:space="preserve">, 27(3), 183-187. </w:t>
      </w:r>
      <w:r>
        <w:t xml:space="preserve">Available at: </w:t>
      </w:r>
      <w:hyperlink r:id="rId28" w:history="1">
        <w:r w:rsidRPr="00950A6B">
          <w:rPr>
            <w:rStyle w:val="Hyperlink"/>
          </w:rPr>
          <w:t>https://doi.org/10.1177/0963721418763931</w:t>
        </w:r>
      </w:hyperlink>
    </w:p>
    <w:p w14:paraId="3F6B19F6" w14:textId="77777777" w:rsidR="00270CDE" w:rsidRDefault="00270CDE" w:rsidP="00270CDE">
      <w:r>
        <w:t xml:space="preserve">Hubbard, L. (2022). </w:t>
      </w:r>
      <w:r w:rsidRPr="009D4970">
        <w:t>Sick Note—A History of the British Welfare State by Gareth Millward review</w:t>
      </w:r>
      <w:r>
        <w:t xml:space="preserve">. </w:t>
      </w:r>
      <w:r w:rsidRPr="00994F67">
        <w:rPr>
          <w:i/>
          <w:iCs/>
        </w:rPr>
        <w:t xml:space="preserve">Socialist Worker </w:t>
      </w:r>
      <w:r>
        <w:t xml:space="preserve">September 2022 Available at: </w:t>
      </w:r>
      <w:hyperlink r:id="rId29" w:history="1">
        <w:r w:rsidRPr="00F211A1">
          <w:rPr>
            <w:rStyle w:val="Hyperlink"/>
          </w:rPr>
          <w:t>https://socialistworker.co.uk/long-reads/sick-note-a-history-of-the-british-welfare-state-by-gareth-millward-review/</w:t>
        </w:r>
      </w:hyperlink>
      <w:r>
        <w:t xml:space="preserve"> </w:t>
      </w:r>
      <w:r w:rsidRPr="00AB3E86">
        <w:t xml:space="preserve">(Accessed: </w:t>
      </w:r>
      <w:r>
        <w:t>17 May 2024</w:t>
      </w:r>
      <w:r w:rsidRPr="00AB3E86">
        <w:t>)</w:t>
      </w:r>
    </w:p>
    <w:p w14:paraId="035C3FFB" w14:textId="77777777" w:rsidR="00132F58" w:rsidRDefault="00132F58" w:rsidP="00132F58">
      <w:r w:rsidRPr="00B74546">
        <w:lastRenderedPageBreak/>
        <w:t xml:space="preserve">Inayatullah, S. (2022). Anticipation To Emancipation: Toward a Stage Theory of the Uses of the Future. </w:t>
      </w:r>
      <w:r w:rsidRPr="00AB3E86">
        <w:rPr>
          <w:i/>
          <w:iCs/>
        </w:rPr>
        <w:t>Journal of Futures Studies</w:t>
      </w:r>
      <w:r w:rsidRPr="00B74546">
        <w:t>.</w:t>
      </w:r>
      <w:r>
        <w:t xml:space="preserve"> March 2022, Available at: </w:t>
      </w:r>
      <w:hyperlink r:id="rId30" w:history="1">
        <w:r w:rsidRPr="00950A6B">
          <w:rPr>
            <w:rStyle w:val="Hyperlink"/>
          </w:rPr>
          <w:t>http://jfsdigital.org/wp-content/uploads/2022/02/Anticipation_to_Emancipation_Inayatullah-Final.pdf</w:t>
        </w:r>
      </w:hyperlink>
      <w:r>
        <w:t xml:space="preserve"> (Accessed: 17 May 2024)</w:t>
      </w:r>
    </w:p>
    <w:p w14:paraId="6BCAB6C7" w14:textId="77777777" w:rsidR="00270CDE" w:rsidRDefault="00270CDE" w:rsidP="00270CDE">
      <w:r w:rsidRPr="00994F67">
        <w:t>It’s time to talk about ditching statistical significance</w:t>
      </w:r>
      <w:r>
        <w:t xml:space="preserve">. (2019). </w:t>
      </w:r>
      <w:r w:rsidRPr="00994F67">
        <w:rPr>
          <w:i/>
          <w:iCs/>
        </w:rPr>
        <w:t>Nature</w:t>
      </w:r>
      <w:r>
        <w:rPr>
          <w:i/>
          <w:iCs/>
        </w:rPr>
        <w:t xml:space="preserve"> 567, 283</w:t>
      </w:r>
      <w:r>
        <w:t xml:space="preserve"> March 2019 Available at: </w:t>
      </w:r>
      <w:r w:rsidRPr="00994F67">
        <w:t xml:space="preserve">https://doi.org/10.1038/d41586-019-00874-8 </w:t>
      </w:r>
    </w:p>
    <w:p w14:paraId="30630D86" w14:textId="77777777" w:rsidR="00132F58" w:rsidRDefault="00132F58" w:rsidP="00132F58">
      <w:r w:rsidRPr="009D4970">
        <w:t>Labour Force Survey, User Guide, Volume 1 – LFS Background and Methodology</w:t>
      </w:r>
      <w:r>
        <w:t>.</w:t>
      </w:r>
      <w:r w:rsidRPr="009D4970">
        <w:t xml:space="preserve"> </w:t>
      </w:r>
      <w:r>
        <w:t xml:space="preserve">(2023). </w:t>
      </w:r>
      <w:r w:rsidRPr="009D4970">
        <w:rPr>
          <w:i/>
          <w:iCs/>
        </w:rPr>
        <w:t>The Office for National Statistics</w:t>
      </w:r>
      <w:r>
        <w:t xml:space="preserve">  Available at: </w:t>
      </w:r>
      <w:hyperlink r:id="rId31" w:history="1">
        <w:r w:rsidRPr="00F211A1">
          <w:rPr>
            <w:rStyle w:val="Hyperlink"/>
          </w:rPr>
          <w:t>https://www.ons.gov.uk/employmentandlabourmarket/peopleinwork/employmentandemployeetypes/methodologies/labourforcesurveyuserguidance</w:t>
        </w:r>
      </w:hyperlink>
      <w:r>
        <w:t xml:space="preserve"> (Accessed: 17 May 2024)</w:t>
      </w:r>
    </w:p>
    <w:p w14:paraId="05A336C0" w14:textId="77777777" w:rsidR="00270CDE" w:rsidRDefault="00270CDE" w:rsidP="00270CDE">
      <w:r w:rsidRPr="00994F67">
        <w:t xml:space="preserve">Lawson, B., &amp; Lovatt, M. (2021). Towards a rhetorical understanding of statistics in politics: Quantifying the National Health Service ‘Winter Crisis’. European Journal of Communication, 36(2), 110-124. </w:t>
      </w:r>
      <w:hyperlink r:id="rId32" w:history="1">
        <w:r w:rsidRPr="00F211A1">
          <w:rPr>
            <w:rStyle w:val="Hyperlink"/>
          </w:rPr>
          <w:t>https://doi.org/10.1177/0267323120966842</w:t>
        </w:r>
      </w:hyperlink>
    </w:p>
    <w:p w14:paraId="61D4980A" w14:textId="77777777" w:rsidR="00270CDE" w:rsidRDefault="00270CDE" w:rsidP="00270CDE">
      <w:r>
        <w:t xml:space="preserve">Major, J. (1996). </w:t>
      </w:r>
      <w:r w:rsidRPr="00565970">
        <w:t>Mr Major’s 1996 Conservative Party Conference Speech – 11 October 1996</w:t>
      </w:r>
      <w:r>
        <w:t xml:space="preserve">. Sir John Major Archive Available at: </w:t>
      </w:r>
      <w:hyperlink r:id="rId33" w:history="1">
        <w:r w:rsidRPr="00F211A1">
          <w:rPr>
            <w:rStyle w:val="Hyperlink"/>
          </w:rPr>
          <w:t>https://johnmajorarchive.org.uk/1996/10/11/mr-majors-1996-conservative-party-conference-speech-11-october-1996/</w:t>
        </w:r>
      </w:hyperlink>
      <w:r>
        <w:t xml:space="preserve"> </w:t>
      </w:r>
      <w:r w:rsidRPr="00AB3E86">
        <w:t xml:space="preserve">(Accessed: </w:t>
      </w:r>
      <w:r>
        <w:t>17 May 2024</w:t>
      </w:r>
      <w:r w:rsidRPr="00AB3E86">
        <w:t>)</w:t>
      </w:r>
    </w:p>
    <w:p w14:paraId="671B9280" w14:textId="77777777" w:rsidR="00270CDE" w:rsidRDefault="00270CDE" w:rsidP="00270CDE">
      <w:r w:rsidRPr="00994F67">
        <w:t xml:space="preserve">McLaughlin, B., </w:t>
      </w:r>
      <w:r>
        <w:t>and</w:t>
      </w:r>
      <w:r w:rsidRPr="00994F67">
        <w:t xml:space="preserve"> Velez, J. A. (2019). Imagined Politics: How Different Media Platforms Transport Citizens Into Political Narratives. Social Science Computer Review, 37(1), 22-37. </w:t>
      </w:r>
      <w:r>
        <w:t xml:space="preserve">Available at: </w:t>
      </w:r>
      <w:r w:rsidRPr="00994F67">
        <w:t>https://doi.org/10.1177/0894439317746327</w:t>
      </w:r>
    </w:p>
    <w:p w14:paraId="4BBA46F4" w14:textId="77777777" w:rsidR="00132F58" w:rsidRDefault="00132F58" w:rsidP="00132F58">
      <w:r w:rsidRPr="004C31C5">
        <w:t xml:space="preserve">Melnikovas, A. (2018). Towards an explicit research methodology: Adapting research onion model for futures studies. </w:t>
      </w:r>
      <w:r w:rsidRPr="004C31C5">
        <w:rPr>
          <w:i/>
          <w:iCs/>
        </w:rPr>
        <w:t>Journal of Futures Studies</w:t>
      </w:r>
      <w:r w:rsidRPr="004C31C5">
        <w:t>. 23. 29-44.</w:t>
      </w:r>
      <w:r>
        <w:t xml:space="preserve"> Available at: </w:t>
      </w:r>
      <w:hyperlink r:id="rId34" w:history="1">
        <w:r w:rsidRPr="00950A6B">
          <w:rPr>
            <w:rStyle w:val="Hyperlink"/>
          </w:rPr>
          <w:t>http://doi.org/10.6531/JFS.201812_23(2).0003</w:t>
        </w:r>
      </w:hyperlink>
      <w:r w:rsidRPr="004C31C5">
        <w:t>.</w:t>
      </w:r>
    </w:p>
    <w:p w14:paraId="0A2157AA" w14:textId="77777777" w:rsidR="00270CDE" w:rsidRDefault="00270CDE" w:rsidP="00270CDE">
      <w:r>
        <w:t xml:space="preserve">Millward, G. (2022). Sick notes are a waste of time: Doctors' labour and medical certification at the birth of the National Health Service. In C. Jennifer, &amp; H. Jane (Eds.), Posters, Protests, and Prescriptions: </w:t>
      </w:r>
      <w:r w:rsidRPr="00217D52">
        <w:rPr>
          <w:i/>
          <w:iCs/>
        </w:rPr>
        <w:t>Cultural Histories of the National Health Service in Britain</w:t>
      </w:r>
      <w:r>
        <w:t xml:space="preserve"> (pp. 54-75). Manchester University Press. Available at: </w:t>
      </w:r>
      <w:hyperlink r:id="rId35" w:history="1">
        <w:r w:rsidRPr="00F211A1">
          <w:rPr>
            <w:rStyle w:val="Hyperlink"/>
          </w:rPr>
          <w:t>https://doi.org/10.7765/9781526163479.00010</w:t>
        </w:r>
      </w:hyperlink>
    </w:p>
    <w:p w14:paraId="4250BC91" w14:textId="77777777" w:rsidR="00132F58" w:rsidRDefault="00132F58" w:rsidP="00132F58">
      <w:r>
        <w:t xml:space="preserve">Neville, S. (2024). </w:t>
      </w:r>
      <w:r w:rsidRPr="007C52C5">
        <w:t>Sunak’s clampdown on ‘sick note culture’ is Back to Basics 2.0 – and it may end as badly</w:t>
      </w:r>
      <w:r>
        <w:t xml:space="preserve">. </w:t>
      </w:r>
      <w:r w:rsidRPr="00AB3E86">
        <w:rPr>
          <w:i/>
          <w:iCs/>
        </w:rPr>
        <w:t>City A.M.</w:t>
      </w:r>
      <w:r>
        <w:t xml:space="preserve"> May 2024 Available at: </w:t>
      </w:r>
      <w:hyperlink r:id="rId36" w:history="1">
        <w:r w:rsidRPr="00950A6B">
          <w:rPr>
            <w:rStyle w:val="Hyperlink"/>
          </w:rPr>
          <w:t>https://www.cityam.com/sunaks-clampdown-on-sick-note-culture-is-back-to-basics-2-0-and-it-may-end-as-badly/</w:t>
        </w:r>
      </w:hyperlink>
      <w:r>
        <w:t xml:space="preserve"> (Accessed: 17 May 2024)</w:t>
      </w:r>
    </w:p>
    <w:p w14:paraId="2B44F65F" w14:textId="28255B8D" w:rsidR="001E37DE" w:rsidRDefault="001D270F" w:rsidP="001D270F">
      <w:r w:rsidRPr="009D4970">
        <w:t>Official Statistics</w:t>
      </w:r>
      <w:r w:rsidRPr="009D4970">
        <w:t xml:space="preserve"> </w:t>
      </w:r>
      <w:r w:rsidRPr="009D4970">
        <w:t>Employment of disabled people 2022</w:t>
      </w:r>
      <w:r w:rsidR="009D4970">
        <w:t>.</w:t>
      </w:r>
      <w:r>
        <w:t xml:space="preserve"> </w:t>
      </w:r>
      <w:r w:rsidR="009D4970">
        <w:t xml:space="preserve">(2023). </w:t>
      </w:r>
      <w:r w:rsidRPr="009D4970">
        <w:rPr>
          <w:i/>
          <w:iCs/>
        </w:rPr>
        <w:t xml:space="preserve">Available at: </w:t>
      </w:r>
      <w:r w:rsidR="009D4970" w:rsidRPr="009D4970">
        <w:rPr>
          <w:i/>
          <w:iCs/>
        </w:rPr>
        <w:t>Department for Work and Pensions</w:t>
      </w:r>
      <w:r w:rsidR="009D4970">
        <w:t xml:space="preserve"> </w:t>
      </w:r>
      <w:hyperlink r:id="rId37" w:history="1">
        <w:r w:rsidR="009D4970" w:rsidRPr="00F211A1">
          <w:rPr>
            <w:rStyle w:val="Hyperlink"/>
          </w:rPr>
          <w:t>https://www.gov.uk/government/statistics/the-employment-of-disabled-people-2022/employment-of-disabled-people-2022#economic-inactivity</w:t>
        </w:r>
      </w:hyperlink>
      <w:r>
        <w:t xml:space="preserve"> (Accessed: 17 May 2024)</w:t>
      </w:r>
    </w:p>
    <w:p w14:paraId="727EF4AB" w14:textId="77777777" w:rsidR="00270CDE" w:rsidRDefault="00270CDE" w:rsidP="00270CDE">
      <w:r w:rsidRPr="008D13B7">
        <w:t xml:space="preserve">Perloff, </w:t>
      </w:r>
      <w:r>
        <w:t xml:space="preserve">R. M. (1993). </w:t>
      </w:r>
      <w:r w:rsidRPr="008D13B7">
        <w:t xml:space="preserve">Third-Person Effect Research 1983–1992: A Review And Synthesis, </w:t>
      </w:r>
      <w:r w:rsidRPr="008D13B7">
        <w:rPr>
          <w:i/>
          <w:iCs/>
        </w:rPr>
        <w:t>International Journal of Public Opinion Research</w:t>
      </w:r>
      <w:r w:rsidRPr="008D13B7">
        <w:t xml:space="preserve">, Volume 5, Issue 2, Summer 1993, Pages 167–184, </w:t>
      </w:r>
      <w:r>
        <w:t xml:space="preserve">Available at: </w:t>
      </w:r>
      <w:r w:rsidRPr="008D13B7">
        <w:t>https://doi.org/10.1093/ijpor/5.2.167</w:t>
      </w:r>
    </w:p>
    <w:p w14:paraId="4576F700" w14:textId="77777777" w:rsidR="00270CDE" w:rsidRDefault="00270CDE" w:rsidP="00270CDE">
      <w:r w:rsidRPr="000517A4">
        <w:t xml:space="preserve">Reed, A. </w:t>
      </w:r>
      <w:r>
        <w:t xml:space="preserve">(2018). </w:t>
      </w:r>
      <w:r w:rsidRPr="000517A4">
        <w:t xml:space="preserve">Antiracism: a neoliberal alternative to a left. </w:t>
      </w:r>
      <w:r w:rsidRPr="000517A4">
        <w:rPr>
          <w:i/>
          <w:iCs/>
        </w:rPr>
        <w:t>Dialect Anthropol</w:t>
      </w:r>
      <w:r w:rsidRPr="000517A4">
        <w:t xml:space="preserve"> 42, 105–115. </w:t>
      </w:r>
      <w:r>
        <w:t xml:space="preserve">Available at: </w:t>
      </w:r>
      <w:hyperlink r:id="rId38" w:history="1">
        <w:r w:rsidRPr="00F211A1">
          <w:rPr>
            <w:rStyle w:val="Hyperlink"/>
          </w:rPr>
          <w:t>https://doi.org/10.1007/s10624-017-9476-3</w:t>
        </w:r>
      </w:hyperlink>
    </w:p>
    <w:p w14:paraId="4B17CDC8" w14:textId="77777777" w:rsidR="00270CDE" w:rsidRDefault="00270CDE" w:rsidP="00270CDE">
      <w:r>
        <w:t xml:space="preserve">Review of experimental Labour Market Statistics. (2023). The Office for National Statistics Available at: </w:t>
      </w:r>
      <w:hyperlink r:id="rId39" w:history="1">
        <w:r w:rsidRPr="00F211A1">
          <w:rPr>
            <w:rStyle w:val="Hyperlink"/>
          </w:rPr>
          <w:t>https://osr.statisticsauthority.gov.uk/wp-content/uploads/2023/11/Review_of_experimental_labour_market_statistics_produced_by_the_office_for_national_statistics.pdf</w:t>
        </w:r>
      </w:hyperlink>
      <w:r>
        <w:t xml:space="preserve"> </w:t>
      </w:r>
      <w:r w:rsidRPr="00AB3E86">
        <w:t xml:space="preserve">(Accessed: </w:t>
      </w:r>
      <w:r>
        <w:t>17 May 2024</w:t>
      </w:r>
      <w:r w:rsidRPr="00AB3E86">
        <w:t>)</w:t>
      </w:r>
    </w:p>
    <w:p w14:paraId="4829644F" w14:textId="77777777" w:rsidR="00270CDE" w:rsidRDefault="00270CDE" w:rsidP="00270CDE">
      <w:r>
        <w:t xml:space="preserve">Sanson, H. (2023). Our Born Identity The Crisis of Identity in the 21st Century A Systems Perspective </w:t>
      </w:r>
      <w:r w:rsidRPr="00132F58">
        <w:rPr>
          <w:i/>
          <w:iCs/>
        </w:rPr>
        <w:t>Government Operational Society Conference</w:t>
      </w:r>
      <w:r>
        <w:t xml:space="preserve"> February 2023 </w:t>
      </w:r>
    </w:p>
    <w:p w14:paraId="6A5B6F1B" w14:textId="77777777" w:rsidR="00270CDE" w:rsidRDefault="00270CDE" w:rsidP="00270CDE">
      <w:r>
        <w:lastRenderedPageBreak/>
        <w:t>Shelley, M.C. (2019).</w:t>
      </w:r>
      <w:r w:rsidRPr="00DC1C1D">
        <w:t xml:space="preserve"> 3 reasons why people fall for politicians’ lies about statistics</w:t>
      </w:r>
      <w:r>
        <w:t xml:space="preserve">. </w:t>
      </w:r>
      <w:r w:rsidRPr="00DC1C1D">
        <w:rPr>
          <w:i/>
          <w:iCs/>
        </w:rPr>
        <w:t>The Conversation</w:t>
      </w:r>
      <w:r>
        <w:t xml:space="preserve"> February 2019 Available at: </w:t>
      </w:r>
      <w:hyperlink r:id="rId40" w:history="1">
        <w:r w:rsidRPr="00F211A1">
          <w:rPr>
            <w:rStyle w:val="Hyperlink"/>
          </w:rPr>
          <w:t>https://theconversation.com/3-reasons-why-people-fall-for-politicians-lies-about-statistics-110014</w:t>
        </w:r>
      </w:hyperlink>
      <w:r>
        <w:t xml:space="preserve">  </w:t>
      </w:r>
      <w:r w:rsidRPr="00AB3E86">
        <w:t xml:space="preserve">(Accessed: </w:t>
      </w:r>
      <w:r>
        <w:t>17 May 2024</w:t>
      </w:r>
      <w:r w:rsidRPr="00AB3E86">
        <w:t>)</w:t>
      </w:r>
    </w:p>
    <w:p w14:paraId="064ACEC0" w14:textId="77777777" w:rsidR="00270CDE" w:rsidRDefault="00270CDE" w:rsidP="00270CDE">
      <w:r>
        <w:t xml:space="preserve">Simon, H.A. (1957) </w:t>
      </w:r>
      <w:r w:rsidRPr="000517A4">
        <w:t xml:space="preserve">1957a, Administrative Behavior: A Study of Decision-Making Processes in </w:t>
      </w:r>
      <w:r w:rsidRPr="000517A4">
        <w:rPr>
          <w:i/>
          <w:iCs/>
        </w:rPr>
        <w:t>Administrative Organization</w:t>
      </w:r>
      <w:r w:rsidRPr="000517A4">
        <w:t>, second edition, New York: Macmillan.</w:t>
      </w:r>
    </w:p>
    <w:p w14:paraId="736081AF" w14:textId="77777777" w:rsidR="00132F58" w:rsidRDefault="00132F58" w:rsidP="00132F58">
      <w:r>
        <w:t xml:space="preserve">Stewart, M. (2018). </w:t>
      </w:r>
      <w:r w:rsidRPr="00920FCC">
        <w:t>Preventable Harm and the Work Capability Assessment A Discussion Paper From The Centre For Welfare Reform</w:t>
      </w:r>
      <w:r>
        <w:t xml:space="preserve">. Available at: </w:t>
      </w:r>
      <w:hyperlink r:id="rId41" w:history="1">
        <w:r w:rsidRPr="00F211A1">
          <w:rPr>
            <w:rStyle w:val="Hyperlink"/>
          </w:rPr>
          <w:t>https://citizen-network.org/uploads/attachment/618/preventableharm-and-the-work-capability-assessment.pdf</w:t>
        </w:r>
      </w:hyperlink>
      <w:r>
        <w:t xml:space="preserve"> </w:t>
      </w:r>
      <w:r w:rsidRPr="00AB3E86">
        <w:t xml:space="preserve">(Accessed: </w:t>
      </w:r>
      <w:r>
        <w:t>17 May 2024</w:t>
      </w:r>
      <w:r w:rsidRPr="00AB3E86">
        <w:t>)</w:t>
      </w:r>
    </w:p>
    <w:p w14:paraId="585C1307" w14:textId="77777777" w:rsidR="00132F58" w:rsidRDefault="00132F58" w:rsidP="00132F58">
      <w:r>
        <w:t xml:space="preserve">Stewart, M (2018). State Crime by Proxy: Corporate influence on state sanctioned social harm Available at: </w:t>
      </w:r>
      <w:hyperlink r:id="rId42" w:history="1">
        <w:r w:rsidRPr="00F211A1">
          <w:rPr>
            <w:rStyle w:val="Hyperlink"/>
          </w:rPr>
          <w:t>https://www.mostewartresearch.co.uk/wp-content/uploads/2018/12/JCPCP-18-4-M-Stewart-article.pdf</w:t>
        </w:r>
      </w:hyperlink>
      <w:r>
        <w:t xml:space="preserve"> </w:t>
      </w:r>
      <w:r w:rsidRPr="00AB3E86">
        <w:t xml:space="preserve">(Accessed: </w:t>
      </w:r>
      <w:r>
        <w:t>17 May 2024</w:t>
      </w:r>
      <w:r w:rsidRPr="00AB3E86">
        <w:t>)</w:t>
      </w:r>
    </w:p>
    <w:p w14:paraId="7E2AC507" w14:textId="77777777" w:rsidR="00270CDE" w:rsidRDefault="00270CDE" w:rsidP="00270CDE">
      <w:r>
        <w:t>Sunak, R. (2024).</w:t>
      </w:r>
      <w:r w:rsidRPr="00565970">
        <w:t xml:space="preserve"> </w:t>
      </w:r>
      <w:r>
        <w:t xml:space="preserve">Speech Prime Minister’s speech on welfare: 19 April 2024. Gov.UK. Available at: </w:t>
      </w:r>
      <w:hyperlink r:id="rId43" w:history="1">
        <w:r w:rsidRPr="00F211A1">
          <w:rPr>
            <w:rStyle w:val="Hyperlink"/>
          </w:rPr>
          <w:t>https://www.gov.uk/government/speeches/prime-ministers-speech-on-welfare-19-april-2024</w:t>
        </w:r>
      </w:hyperlink>
      <w:r>
        <w:t xml:space="preserve"> </w:t>
      </w:r>
      <w:r w:rsidRPr="00AB3E86">
        <w:t xml:space="preserve">(Accessed: </w:t>
      </w:r>
      <w:r>
        <w:t>17 May 2024</w:t>
      </w:r>
      <w:r w:rsidRPr="00AB3E86">
        <w:t>)</w:t>
      </w:r>
    </w:p>
    <w:p w14:paraId="7A0E5DAD" w14:textId="77777777" w:rsidR="00270CDE" w:rsidRDefault="00270CDE" w:rsidP="00270CDE">
      <w:r>
        <w:t xml:space="preserve">Thatcher, M. (1975). </w:t>
      </w:r>
      <w:r w:rsidRPr="00217D52">
        <w:t>Speech at Young Conservative Conference</w:t>
      </w:r>
      <w:r>
        <w:t xml:space="preserve">. Margaret Thatcher Foundation. Available at: </w:t>
      </w:r>
      <w:hyperlink r:id="rId44" w:history="1">
        <w:r w:rsidRPr="00F211A1">
          <w:rPr>
            <w:rStyle w:val="Hyperlink"/>
          </w:rPr>
          <w:t>https://www.margaretthatcher.org/document/102484</w:t>
        </w:r>
      </w:hyperlink>
      <w:r>
        <w:t xml:space="preserve"> </w:t>
      </w:r>
      <w:r w:rsidRPr="00AB3E86">
        <w:t xml:space="preserve">(Accessed: </w:t>
      </w:r>
      <w:r>
        <w:t>17 May 2024</w:t>
      </w:r>
      <w:r w:rsidRPr="00AB3E86">
        <w:t>)</w:t>
      </w:r>
    </w:p>
    <w:p w14:paraId="0C526B11" w14:textId="77777777" w:rsidR="00132F58" w:rsidRDefault="00132F58" w:rsidP="00132F58">
      <w:r>
        <w:t xml:space="preserve">Watt, N (2013). </w:t>
      </w:r>
      <w:r w:rsidRPr="00920FCC">
        <w:t>Osborne distances himself from Thatcher legacy over disability benefits</w:t>
      </w:r>
      <w:r>
        <w:t xml:space="preserve">. </w:t>
      </w:r>
      <w:r w:rsidRPr="00920FCC">
        <w:rPr>
          <w:i/>
          <w:iCs/>
        </w:rPr>
        <w:t>The Guardian April 2013</w:t>
      </w:r>
      <w:r>
        <w:t xml:space="preserve"> Available at: </w:t>
      </w:r>
      <w:hyperlink r:id="rId45" w:history="1">
        <w:r w:rsidRPr="00F211A1">
          <w:rPr>
            <w:rStyle w:val="Hyperlink"/>
          </w:rPr>
          <w:t>https://www.theguardian.com/politics/2013/apr/02/osborne-thatcher-legacy-disability-benefits</w:t>
        </w:r>
      </w:hyperlink>
      <w:r>
        <w:t xml:space="preserve"> </w:t>
      </w:r>
      <w:r w:rsidRPr="00AB3E86">
        <w:t xml:space="preserve">(Accessed: </w:t>
      </w:r>
      <w:r>
        <w:t>17 May 2024</w:t>
      </w:r>
      <w:r w:rsidRPr="00AB3E86">
        <w:t>)</w:t>
      </w:r>
    </w:p>
    <w:p w14:paraId="515BA03A" w14:textId="1C7B0C65" w:rsidR="00AB3E86" w:rsidRDefault="00AB3E86" w:rsidP="00C266AA">
      <w:r w:rsidRPr="00AB3E86">
        <w:t>The Work Capability Assessment is the adoption of disability denial</w:t>
      </w:r>
      <w:r>
        <w:t>.</w:t>
      </w:r>
      <w:r w:rsidR="009D4970">
        <w:t xml:space="preserve"> (2021)</w:t>
      </w:r>
      <w:r w:rsidR="009D4970">
        <w:t>.</w:t>
      </w:r>
      <w:r>
        <w:t xml:space="preserve"> </w:t>
      </w:r>
      <w:r w:rsidRPr="00AB3E86">
        <w:rPr>
          <w:i/>
          <w:iCs/>
        </w:rPr>
        <w:t>BJGP Life</w:t>
      </w:r>
      <w:r>
        <w:rPr>
          <w:i/>
          <w:iCs/>
        </w:rPr>
        <w:t xml:space="preserve"> </w:t>
      </w:r>
      <w:r w:rsidRPr="00AB3E86">
        <w:t>October 2021</w:t>
      </w:r>
      <w:r>
        <w:t xml:space="preserve">. Available at: </w:t>
      </w:r>
      <w:hyperlink r:id="rId46" w:history="1">
        <w:r w:rsidRPr="00950A6B">
          <w:rPr>
            <w:rStyle w:val="Hyperlink"/>
          </w:rPr>
          <w:t>https://bjgplife.com/the-work-capability-assessment-is-the-adoption-of-disability-denial/</w:t>
        </w:r>
      </w:hyperlink>
      <w:r>
        <w:t xml:space="preserve"> </w:t>
      </w:r>
      <w:r>
        <w:t>(Accessed: 17 May 2024)</w:t>
      </w:r>
    </w:p>
    <w:p w14:paraId="53531B70" w14:textId="0790D0D8" w:rsidR="009E60CC" w:rsidRDefault="00994F67" w:rsidP="00CB7869">
      <w:r w:rsidRPr="00994F67">
        <w:t xml:space="preserve">Zwiener-Collins, N., Jafri, J., Saini, R., </w:t>
      </w:r>
      <w:r w:rsidR="008D13B7">
        <w:t>and</w:t>
      </w:r>
      <w:r w:rsidRPr="00994F67">
        <w:t xml:space="preserve"> Poulter, T. (2023). Decolonising quantitative research methods pedagogy: Teaching contemporary politics to challenge hierarchies from data. </w:t>
      </w:r>
      <w:r w:rsidRPr="008D13B7">
        <w:rPr>
          <w:i/>
          <w:iCs/>
        </w:rPr>
        <w:t>Politics</w:t>
      </w:r>
      <w:r w:rsidRPr="00994F67">
        <w:t xml:space="preserve">, 43(1), 122-138. </w:t>
      </w:r>
      <w:hyperlink r:id="rId47" w:history="1">
        <w:r w:rsidRPr="00F211A1">
          <w:rPr>
            <w:rStyle w:val="Hyperlink"/>
          </w:rPr>
          <w:t>https://doi.org/10.1177/02633957211041449</w:t>
        </w:r>
      </w:hyperlink>
    </w:p>
    <w:p w14:paraId="33FC2943" w14:textId="4BBBC7E0" w:rsidR="00270CDE" w:rsidRPr="00BC2A07" w:rsidRDefault="00270CDE" w:rsidP="00CB7869">
      <w:pPr>
        <w:rPr>
          <w:b/>
          <w:bCs/>
        </w:rPr>
      </w:pPr>
      <w:r w:rsidRPr="00BC2A07">
        <w:rPr>
          <w:b/>
          <w:bCs/>
        </w:rPr>
        <w:t>Appendix</w:t>
      </w:r>
    </w:p>
    <w:p w14:paraId="705C2B95" w14:textId="2B792D1A" w:rsidR="00270CDE" w:rsidRDefault="00BC2A07" w:rsidP="00CB7869">
      <w:r>
        <w:t>Datasets.xlsx</w:t>
      </w:r>
    </w:p>
    <w:sectPr w:rsidR="00270CDE" w:rsidSect="00E568BE">
      <w:pgSz w:w="11906" w:h="16838"/>
      <w:pgMar w:top="1134" w:right="992" w:bottom="1134" w:left="992"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F9E1F41"/>
    <w:multiLevelType w:val="hybridMultilevel"/>
    <w:tmpl w:val="ABBE2EF6"/>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353"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63E103F6"/>
    <w:multiLevelType w:val="hybridMultilevel"/>
    <w:tmpl w:val="64FEBA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2226E1"/>
    <w:multiLevelType w:val="hybridMultilevel"/>
    <w:tmpl w:val="63E272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5087142">
    <w:abstractNumId w:val="0"/>
  </w:num>
  <w:num w:numId="2" w16cid:durableId="806972684">
    <w:abstractNumId w:val="1"/>
  </w:num>
  <w:num w:numId="3" w16cid:durableId="4604586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QyMDU3sDC1NDYyNjBT0lEKTi0uzszPAykwrwUAU2RXHiwAAAA="/>
  </w:docVars>
  <w:rsids>
    <w:rsidRoot w:val="007B1458"/>
    <w:rsid w:val="00005880"/>
    <w:rsid w:val="000319A7"/>
    <w:rsid w:val="00034E71"/>
    <w:rsid w:val="000517A4"/>
    <w:rsid w:val="000554FD"/>
    <w:rsid w:val="00066E4A"/>
    <w:rsid w:val="00067A4D"/>
    <w:rsid w:val="00073F43"/>
    <w:rsid w:val="00080786"/>
    <w:rsid w:val="000A5A06"/>
    <w:rsid w:val="000B1E28"/>
    <w:rsid w:val="000B36DC"/>
    <w:rsid w:val="000C599D"/>
    <w:rsid w:val="000E4D44"/>
    <w:rsid w:val="000F10C6"/>
    <w:rsid w:val="001062FF"/>
    <w:rsid w:val="00132F58"/>
    <w:rsid w:val="00154B96"/>
    <w:rsid w:val="00183659"/>
    <w:rsid w:val="001950F9"/>
    <w:rsid w:val="001C2285"/>
    <w:rsid w:val="001D216A"/>
    <w:rsid w:val="001D270F"/>
    <w:rsid w:val="001E1825"/>
    <w:rsid w:val="001E37DE"/>
    <w:rsid w:val="002033D5"/>
    <w:rsid w:val="002175D0"/>
    <w:rsid w:val="00217D52"/>
    <w:rsid w:val="002224EC"/>
    <w:rsid w:val="002328C3"/>
    <w:rsid w:val="00241CA1"/>
    <w:rsid w:val="00270CDE"/>
    <w:rsid w:val="00282DBA"/>
    <w:rsid w:val="00287757"/>
    <w:rsid w:val="002D4585"/>
    <w:rsid w:val="002F728B"/>
    <w:rsid w:val="00303FFE"/>
    <w:rsid w:val="00312EE6"/>
    <w:rsid w:val="003253FF"/>
    <w:rsid w:val="0034444E"/>
    <w:rsid w:val="003631DF"/>
    <w:rsid w:val="00365C6D"/>
    <w:rsid w:val="0037717D"/>
    <w:rsid w:val="00381135"/>
    <w:rsid w:val="00394E57"/>
    <w:rsid w:val="003B7A03"/>
    <w:rsid w:val="003F23AC"/>
    <w:rsid w:val="0042660D"/>
    <w:rsid w:val="00445C4A"/>
    <w:rsid w:val="00447BDA"/>
    <w:rsid w:val="00453CF9"/>
    <w:rsid w:val="004579DE"/>
    <w:rsid w:val="004757A1"/>
    <w:rsid w:val="004765EE"/>
    <w:rsid w:val="00494286"/>
    <w:rsid w:val="00496BCF"/>
    <w:rsid w:val="004C31C5"/>
    <w:rsid w:val="004D4FA8"/>
    <w:rsid w:val="00514171"/>
    <w:rsid w:val="005265F4"/>
    <w:rsid w:val="0053654D"/>
    <w:rsid w:val="0053720E"/>
    <w:rsid w:val="005516DE"/>
    <w:rsid w:val="00557F2D"/>
    <w:rsid w:val="00565970"/>
    <w:rsid w:val="00573C66"/>
    <w:rsid w:val="005814C5"/>
    <w:rsid w:val="005C16E7"/>
    <w:rsid w:val="005E1F63"/>
    <w:rsid w:val="005E441B"/>
    <w:rsid w:val="005E501C"/>
    <w:rsid w:val="005E6E9D"/>
    <w:rsid w:val="0061130C"/>
    <w:rsid w:val="00632EC7"/>
    <w:rsid w:val="00647AA4"/>
    <w:rsid w:val="006558EB"/>
    <w:rsid w:val="00673CD1"/>
    <w:rsid w:val="006855A9"/>
    <w:rsid w:val="0068570D"/>
    <w:rsid w:val="00696E2C"/>
    <w:rsid w:val="006A4A6F"/>
    <w:rsid w:val="006D6355"/>
    <w:rsid w:val="006E3E77"/>
    <w:rsid w:val="00713544"/>
    <w:rsid w:val="00756469"/>
    <w:rsid w:val="007610C1"/>
    <w:rsid w:val="00765293"/>
    <w:rsid w:val="00774E45"/>
    <w:rsid w:val="007B1458"/>
    <w:rsid w:val="007C4DEE"/>
    <w:rsid w:val="007C52C5"/>
    <w:rsid w:val="007D49FD"/>
    <w:rsid w:val="007F7196"/>
    <w:rsid w:val="008010A2"/>
    <w:rsid w:val="008032DB"/>
    <w:rsid w:val="0081508D"/>
    <w:rsid w:val="00815DB1"/>
    <w:rsid w:val="008163F3"/>
    <w:rsid w:val="00833539"/>
    <w:rsid w:val="008428F6"/>
    <w:rsid w:val="00862624"/>
    <w:rsid w:val="00864F35"/>
    <w:rsid w:val="008877DF"/>
    <w:rsid w:val="00896D15"/>
    <w:rsid w:val="008B444B"/>
    <w:rsid w:val="008D13B7"/>
    <w:rsid w:val="009051F9"/>
    <w:rsid w:val="0091215A"/>
    <w:rsid w:val="00916AAD"/>
    <w:rsid w:val="00920FCC"/>
    <w:rsid w:val="00942894"/>
    <w:rsid w:val="009464EE"/>
    <w:rsid w:val="0097356C"/>
    <w:rsid w:val="0097650F"/>
    <w:rsid w:val="00981E24"/>
    <w:rsid w:val="00982FE2"/>
    <w:rsid w:val="00994F67"/>
    <w:rsid w:val="00995FE2"/>
    <w:rsid w:val="009A0E3C"/>
    <w:rsid w:val="009D4970"/>
    <w:rsid w:val="009E58E2"/>
    <w:rsid w:val="009E6061"/>
    <w:rsid w:val="009E60CC"/>
    <w:rsid w:val="009F2B46"/>
    <w:rsid w:val="00A15206"/>
    <w:rsid w:val="00A22799"/>
    <w:rsid w:val="00A43CB3"/>
    <w:rsid w:val="00A46230"/>
    <w:rsid w:val="00A77AFC"/>
    <w:rsid w:val="00A856CA"/>
    <w:rsid w:val="00AA249F"/>
    <w:rsid w:val="00AA6E84"/>
    <w:rsid w:val="00AB3E86"/>
    <w:rsid w:val="00B00E2A"/>
    <w:rsid w:val="00B01605"/>
    <w:rsid w:val="00B24540"/>
    <w:rsid w:val="00B258A3"/>
    <w:rsid w:val="00B26D87"/>
    <w:rsid w:val="00B27727"/>
    <w:rsid w:val="00B30718"/>
    <w:rsid w:val="00B30E15"/>
    <w:rsid w:val="00B626E7"/>
    <w:rsid w:val="00B63B4D"/>
    <w:rsid w:val="00B74546"/>
    <w:rsid w:val="00BB4EA9"/>
    <w:rsid w:val="00BC2A07"/>
    <w:rsid w:val="00BC39B3"/>
    <w:rsid w:val="00BD7CBC"/>
    <w:rsid w:val="00BE19E8"/>
    <w:rsid w:val="00BF4D5C"/>
    <w:rsid w:val="00C13DAD"/>
    <w:rsid w:val="00C266AA"/>
    <w:rsid w:val="00C26AD0"/>
    <w:rsid w:val="00C57C46"/>
    <w:rsid w:val="00C62C9F"/>
    <w:rsid w:val="00C71BA1"/>
    <w:rsid w:val="00C96EAE"/>
    <w:rsid w:val="00CB7869"/>
    <w:rsid w:val="00CC4408"/>
    <w:rsid w:val="00CD35D9"/>
    <w:rsid w:val="00CF148C"/>
    <w:rsid w:val="00D01199"/>
    <w:rsid w:val="00D072D6"/>
    <w:rsid w:val="00D12C5D"/>
    <w:rsid w:val="00D451DB"/>
    <w:rsid w:val="00D55D37"/>
    <w:rsid w:val="00D64EF2"/>
    <w:rsid w:val="00DA0C9D"/>
    <w:rsid w:val="00DA1BE6"/>
    <w:rsid w:val="00DB3A71"/>
    <w:rsid w:val="00DB5C79"/>
    <w:rsid w:val="00DB60DC"/>
    <w:rsid w:val="00DC1C1D"/>
    <w:rsid w:val="00DC2D24"/>
    <w:rsid w:val="00E0464B"/>
    <w:rsid w:val="00E25131"/>
    <w:rsid w:val="00E27833"/>
    <w:rsid w:val="00E454E2"/>
    <w:rsid w:val="00E521FF"/>
    <w:rsid w:val="00E568BE"/>
    <w:rsid w:val="00E6247B"/>
    <w:rsid w:val="00EC7366"/>
    <w:rsid w:val="00EF14FD"/>
    <w:rsid w:val="00F0218A"/>
    <w:rsid w:val="00F1315A"/>
    <w:rsid w:val="00F37725"/>
    <w:rsid w:val="00F67C7F"/>
    <w:rsid w:val="00F8144B"/>
    <w:rsid w:val="00F82FA3"/>
    <w:rsid w:val="00F91121"/>
    <w:rsid w:val="00FA6591"/>
    <w:rsid w:val="00FA7C44"/>
    <w:rsid w:val="00FB4485"/>
    <w:rsid w:val="00FC012A"/>
    <w:rsid w:val="00FF2658"/>
    <w:rsid w:val="00FF35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CD669B"/>
  <w15:chartTrackingRefBased/>
  <w15:docId w15:val="{56513349-E880-435C-976C-7CA53BFC40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13B7"/>
  </w:style>
  <w:style w:type="paragraph" w:styleId="Heading1">
    <w:name w:val="heading 1"/>
    <w:basedOn w:val="Normal"/>
    <w:next w:val="Normal"/>
    <w:link w:val="Heading1Char"/>
    <w:uiPriority w:val="9"/>
    <w:qFormat/>
    <w:rsid w:val="007B14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14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14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B14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14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14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14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14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14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14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14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14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B14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14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14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14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14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1458"/>
    <w:rPr>
      <w:rFonts w:eastAsiaTheme="majorEastAsia" w:cstheme="majorBidi"/>
      <w:color w:val="272727" w:themeColor="text1" w:themeTint="D8"/>
    </w:rPr>
  </w:style>
  <w:style w:type="paragraph" w:styleId="Title">
    <w:name w:val="Title"/>
    <w:basedOn w:val="Normal"/>
    <w:next w:val="Normal"/>
    <w:link w:val="TitleChar"/>
    <w:uiPriority w:val="10"/>
    <w:qFormat/>
    <w:rsid w:val="007B14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14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14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14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1458"/>
    <w:pPr>
      <w:spacing w:before="160"/>
      <w:jc w:val="center"/>
    </w:pPr>
    <w:rPr>
      <w:i/>
      <w:iCs/>
      <w:color w:val="404040" w:themeColor="text1" w:themeTint="BF"/>
    </w:rPr>
  </w:style>
  <w:style w:type="character" w:customStyle="1" w:styleId="QuoteChar">
    <w:name w:val="Quote Char"/>
    <w:basedOn w:val="DefaultParagraphFont"/>
    <w:link w:val="Quote"/>
    <w:uiPriority w:val="29"/>
    <w:rsid w:val="007B1458"/>
    <w:rPr>
      <w:i/>
      <w:iCs/>
      <w:color w:val="404040" w:themeColor="text1" w:themeTint="BF"/>
    </w:rPr>
  </w:style>
  <w:style w:type="paragraph" w:styleId="ListParagraph">
    <w:name w:val="List Paragraph"/>
    <w:basedOn w:val="Normal"/>
    <w:uiPriority w:val="34"/>
    <w:qFormat/>
    <w:rsid w:val="007B1458"/>
    <w:pPr>
      <w:ind w:left="720"/>
      <w:contextualSpacing/>
    </w:pPr>
  </w:style>
  <w:style w:type="character" w:styleId="IntenseEmphasis">
    <w:name w:val="Intense Emphasis"/>
    <w:basedOn w:val="DefaultParagraphFont"/>
    <w:uiPriority w:val="21"/>
    <w:qFormat/>
    <w:rsid w:val="007B1458"/>
    <w:rPr>
      <w:i/>
      <w:iCs/>
      <w:color w:val="0F4761" w:themeColor="accent1" w:themeShade="BF"/>
    </w:rPr>
  </w:style>
  <w:style w:type="paragraph" w:styleId="IntenseQuote">
    <w:name w:val="Intense Quote"/>
    <w:basedOn w:val="Normal"/>
    <w:next w:val="Normal"/>
    <w:link w:val="IntenseQuoteChar"/>
    <w:uiPriority w:val="30"/>
    <w:qFormat/>
    <w:rsid w:val="007B14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1458"/>
    <w:rPr>
      <w:i/>
      <w:iCs/>
      <w:color w:val="0F4761" w:themeColor="accent1" w:themeShade="BF"/>
    </w:rPr>
  </w:style>
  <w:style w:type="character" w:styleId="IntenseReference">
    <w:name w:val="Intense Reference"/>
    <w:basedOn w:val="DefaultParagraphFont"/>
    <w:uiPriority w:val="32"/>
    <w:qFormat/>
    <w:rsid w:val="007B1458"/>
    <w:rPr>
      <w:b/>
      <w:bCs/>
      <w:smallCaps/>
      <w:color w:val="0F4761" w:themeColor="accent1" w:themeShade="BF"/>
      <w:spacing w:val="5"/>
    </w:rPr>
  </w:style>
  <w:style w:type="paragraph" w:customStyle="1" w:styleId="xmsonormal">
    <w:name w:val="x_msonormal"/>
    <w:basedOn w:val="Normal"/>
    <w:rsid w:val="006855A9"/>
    <w:pPr>
      <w:spacing w:after="0" w:line="240" w:lineRule="auto"/>
    </w:pPr>
    <w:rPr>
      <w:rFonts w:ascii="Aptos" w:hAnsi="Aptos" w:cs="Aptos"/>
      <w:kern w:val="0"/>
      <w:lang w:eastAsia="en-GB"/>
      <w14:ligatures w14:val="none"/>
    </w:rPr>
  </w:style>
  <w:style w:type="character" w:customStyle="1" w:styleId="bulletChar">
    <w:name w:val="bullet Char"/>
    <w:link w:val="bullet"/>
    <w:locked/>
    <w:rsid w:val="001062FF"/>
    <w:rPr>
      <w:sz w:val="24"/>
      <w:lang w:eastAsia="en-GB"/>
    </w:rPr>
  </w:style>
  <w:style w:type="paragraph" w:customStyle="1" w:styleId="bullet">
    <w:name w:val="bullet"/>
    <w:link w:val="bulletChar"/>
    <w:rsid w:val="001062FF"/>
    <w:pPr>
      <w:overflowPunct w:val="0"/>
      <w:autoSpaceDE w:val="0"/>
      <w:autoSpaceDN w:val="0"/>
      <w:adjustRightInd w:val="0"/>
      <w:spacing w:before="120" w:after="0" w:line="240" w:lineRule="auto"/>
      <w:ind w:left="1004" w:hanging="284"/>
      <w:jc w:val="both"/>
    </w:pPr>
    <w:rPr>
      <w:sz w:val="24"/>
      <w:lang w:eastAsia="en-GB"/>
    </w:rPr>
  </w:style>
  <w:style w:type="character" w:styleId="CommentReference">
    <w:name w:val="annotation reference"/>
    <w:basedOn w:val="DefaultParagraphFont"/>
    <w:uiPriority w:val="99"/>
    <w:semiHidden/>
    <w:unhideWhenUsed/>
    <w:rsid w:val="00E6247B"/>
    <w:rPr>
      <w:sz w:val="16"/>
      <w:szCs w:val="16"/>
    </w:rPr>
  </w:style>
  <w:style w:type="paragraph" w:styleId="CommentText">
    <w:name w:val="annotation text"/>
    <w:basedOn w:val="Normal"/>
    <w:link w:val="CommentTextChar"/>
    <w:uiPriority w:val="99"/>
    <w:unhideWhenUsed/>
    <w:rsid w:val="00E6247B"/>
    <w:pPr>
      <w:spacing w:line="240" w:lineRule="auto"/>
    </w:pPr>
    <w:rPr>
      <w:sz w:val="20"/>
      <w:szCs w:val="20"/>
    </w:rPr>
  </w:style>
  <w:style w:type="character" w:customStyle="1" w:styleId="CommentTextChar">
    <w:name w:val="Comment Text Char"/>
    <w:basedOn w:val="DefaultParagraphFont"/>
    <w:link w:val="CommentText"/>
    <w:uiPriority w:val="99"/>
    <w:rsid w:val="00E6247B"/>
    <w:rPr>
      <w:sz w:val="20"/>
      <w:szCs w:val="20"/>
    </w:rPr>
  </w:style>
  <w:style w:type="paragraph" w:styleId="CommentSubject">
    <w:name w:val="annotation subject"/>
    <w:basedOn w:val="CommentText"/>
    <w:next w:val="CommentText"/>
    <w:link w:val="CommentSubjectChar"/>
    <w:uiPriority w:val="99"/>
    <w:semiHidden/>
    <w:unhideWhenUsed/>
    <w:rsid w:val="00E6247B"/>
    <w:rPr>
      <w:b/>
      <w:bCs/>
    </w:rPr>
  </w:style>
  <w:style w:type="character" w:customStyle="1" w:styleId="CommentSubjectChar">
    <w:name w:val="Comment Subject Char"/>
    <w:basedOn w:val="CommentTextChar"/>
    <w:link w:val="CommentSubject"/>
    <w:uiPriority w:val="99"/>
    <w:semiHidden/>
    <w:rsid w:val="00E6247B"/>
    <w:rPr>
      <w:b/>
      <w:bCs/>
      <w:sz w:val="20"/>
      <w:szCs w:val="20"/>
    </w:rPr>
  </w:style>
  <w:style w:type="character" w:styleId="Hyperlink">
    <w:name w:val="Hyperlink"/>
    <w:basedOn w:val="DefaultParagraphFont"/>
    <w:uiPriority w:val="99"/>
    <w:unhideWhenUsed/>
    <w:rsid w:val="001D270F"/>
    <w:rPr>
      <w:color w:val="467886" w:themeColor="hyperlink"/>
      <w:u w:val="single"/>
    </w:rPr>
  </w:style>
  <w:style w:type="character" w:styleId="UnresolvedMention">
    <w:name w:val="Unresolved Mention"/>
    <w:basedOn w:val="DefaultParagraphFont"/>
    <w:uiPriority w:val="99"/>
    <w:semiHidden/>
    <w:unhideWhenUsed/>
    <w:rsid w:val="001D27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2151913">
      <w:bodyDiv w:val="1"/>
      <w:marLeft w:val="0"/>
      <w:marRight w:val="0"/>
      <w:marTop w:val="0"/>
      <w:marBottom w:val="0"/>
      <w:divBdr>
        <w:top w:val="none" w:sz="0" w:space="0" w:color="auto"/>
        <w:left w:val="none" w:sz="0" w:space="0" w:color="auto"/>
        <w:bottom w:val="none" w:sz="0" w:space="0" w:color="auto"/>
        <w:right w:val="none" w:sz="0" w:space="0" w:color="auto"/>
      </w:divBdr>
    </w:div>
    <w:div w:id="541357602">
      <w:bodyDiv w:val="1"/>
      <w:marLeft w:val="0"/>
      <w:marRight w:val="0"/>
      <w:marTop w:val="0"/>
      <w:marBottom w:val="0"/>
      <w:divBdr>
        <w:top w:val="none" w:sz="0" w:space="0" w:color="auto"/>
        <w:left w:val="none" w:sz="0" w:space="0" w:color="auto"/>
        <w:bottom w:val="none" w:sz="0" w:space="0" w:color="auto"/>
        <w:right w:val="none" w:sz="0" w:space="0" w:color="auto"/>
      </w:divBdr>
    </w:div>
    <w:div w:id="679430091">
      <w:bodyDiv w:val="1"/>
      <w:marLeft w:val="0"/>
      <w:marRight w:val="0"/>
      <w:marTop w:val="0"/>
      <w:marBottom w:val="0"/>
      <w:divBdr>
        <w:top w:val="none" w:sz="0" w:space="0" w:color="auto"/>
        <w:left w:val="none" w:sz="0" w:space="0" w:color="auto"/>
        <w:bottom w:val="none" w:sz="0" w:space="0" w:color="auto"/>
        <w:right w:val="none" w:sz="0" w:space="0" w:color="auto"/>
      </w:divBdr>
    </w:div>
    <w:div w:id="1031418662">
      <w:bodyDiv w:val="1"/>
      <w:marLeft w:val="0"/>
      <w:marRight w:val="0"/>
      <w:marTop w:val="0"/>
      <w:marBottom w:val="0"/>
      <w:divBdr>
        <w:top w:val="none" w:sz="0" w:space="0" w:color="auto"/>
        <w:left w:val="none" w:sz="0" w:space="0" w:color="auto"/>
        <w:bottom w:val="none" w:sz="0" w:space="0" w:color="auto"/>
        <w:right w:val="none" w:sz="0" w:space="0" w:color="auto"/>
      </w:divBdr>
    </w:div>
    <w:div w:id="1086532451">
      <w:bodyDiv w:val="1"/>
      <w:marLeft w:val="0"/>
      <w:marRight w:val="0"/>
      <w:marTop w:val="0"/>
      <w:marBottom w:val="0"/>
      <w:divBdr>
        <w:top w:val="none" w:sz="0" w:space="0" w:color="auto"/>
        <w:left w:val="none" w:sz="0" w:space="0" w:color="auto"/>
        <w:bottom w:val="none" w:sz="0" w:space="0" w:color="auto"/>
        <w:right w:val="none" w:sz="0" w:space="0" w:color="auto"/>
      </w:divBdr>
    </w:div>
    <w:div w:id="1139809682">
      <w:bodyDiv w:val="1"/>
      <w:marLeft w:val="0"/>
      <w:marRight w:val="0"/>
      <w:marTop w:val="0"/>
      <w:marBottom w:val="0"/>
      <w:divBdr>
        <w:top w:val="none" w:sz="0" w:space="0" w:color="auto"/>
        <w:left w:val="none" w:sz="0" w:space="0" w:color="auto"/>
        <w:bottom w:val="none" w:sz="0" w:space="0" w:color="auto"/>
        <w:right w:val="none" w:sz="0" w:space="0" w:color="auto"/>
      </w:divBdr>
    </w:div>
    <w:div w:id="1156149048">
      <w:bodyDiv w:val="1"/>
      <w:marLeft w:val="0"/>
      <w:marRight w:val="0"/>
      <w:marTop w:val="0"/>
      <w:marBottom w:val="0"/>
      <w:divBdr>
        <w:top w:val="none" w:sz="0" w:space="0" w:color="auto"/>
        <w:left w:val="none" w:sz="0" w:space="0" w:color="auto"/>
        <w:bottom w:val="none" w:sz="0" w:space="0" w:color="auto"/>
        <w:right w:val="none" w:sz="0" w:space="0" w:color="auto"/>
      </w:divBdr>
    </w:div>
    <w:div w:id="1208880116">
      <w:bodyDiv w:val="1"/>
      <w:marLeft w:val="0"/>
      <w:marRight w:val="0"/>
      <w:marTop w:val="0"/>
      <w:marBottom w:val="0"/>
      <w:divBdr>
        <w:top w:val="none" w:sz="0" w:space="0" w:color="auto"/>
        <w:left w:val="none" w:sz="0" w:space="0" w:color="auto"/>
        <w:bottom w:val="none" w:sz="0" w:space="0" w:color="auto"/>
        <w:right w:val="none" w:sz="0" w:space="0" w:color="auto"/>
      </w:divBdr>
    </w:div>
    <w:div w:id="1354108771">
      <w:bodyDiv w:val="1"/>
      <w:marLeft w:val="0"/>
      <w:marRight w:val="0"/>
      <w:marTop w:val="0"/>
      <w:marBottom w:val="0"/>
      <w:divBdr>
        <w:top w:val="none" w:sz="0" w:space="0" w:color="auto"/>
        <w:left w:val="none" w:sz="0" w:space="0" w:color="auto"/>
        <w:bottom w:val="none" w:sz="0" w:space="0" w:color="auto"/>
        <w:right w:val="none" w:sz="0" w:space="0" w:color="auto"/>
      </w:divBdr>
    </w:div>
    <w:div w:id="1487358928">
      <w:bodyDiv w:val="1"/>
      <w:marLeft w:val="0"/>
      <w:marRight w:val="0"/>
      <w:marTop w:val="0"/>
      <w:marBottom w:val="0"/>
      <w:divBdr>
        <w:top w:val="none" w:sz="0" w:space="0" w:color="auto"/>
        <w:left w:val="none" w:sz="0" w:space="0" w:color="auto"/>
        <w:bottom w:val="none" w:sz="0" w:space="0" w:color="auto"/>
        <w:right w:val="none" w:sz="0" w:space="0" w:color="auto"/>
      </w:divBdr>
    </w:div>
    <w:div w:id="1632637300">
      <w:bodyDiv w:val="1"/>
      <w:marLeft w:val="0"/>
      <w:marRight w:val="0"/>
      <w:marTop w:val="0"/>
      <w:marBottom w:val="0"/>
      <w:divBdr>
        <w:top w:val="none" w:sz="0" w:space="0" w:color="auto"/>
        <w:left w:val="none" w:sz="0" w:space="0" w:color="auto"/>
        <w:bottom w:val="none" w:sz="0" w:space="0" w:color="auto"/>
        <w:right w:val="none" w:sz="0" w:space="0" w:color="auto"/>
      </w:divBdr>
    </w:div>
    <w:div w:id="1942494156">
      <w:bodyDiv w:val="1"/>
      <w:marLeft w:val="0"/>
      <w:marRight w:val="0"/>
      <w:marTop w:val="0"/>
      <w:marBottom w:val="0"/>
      <w:divBdr>
        <w:top w:val="none" w:sz="0" w:space="0" w:color="auto"/>
        <w:left w:val="none" w:sz="0" w:space="0" w:color="auto"/>
        <w:bottom w:val="none" w:sz="0" w:space="0" w:color="auto"/>
        <w:right w:val="none" w:sz="0" w:space="0" w:color="auto"/>
      </w:divBdr>
    </w:div>
    <w:div w:id="1944268156">
      <w:bodyDiv w:val="1"/>
      <w:marLeft w:val="0"/>
      <w:marRight w:val="0"/>
      <w:marTop w:val="0"/>
      <w:marBottom w:val="0"/>
      <w:divBdr>
        <w:top w:val="none" w:sz="0" w:space="0" w:color="auto"/>
        <w:left w:val="none" w:sz="0" w:space="0" w:color="auto"/>
        <w:bottom w:val="none" w:sz="0" w:space="0" w:color="auto"/>
        <w:right w:val="none" w:sz="0" w:space="0" w:color="auto"/>
      </w:divBdr>
    </w:div>
    <w:div w:id="2060786937">
      <w:bodyDiv w:val="1"/>
      <w:marLeft w:val="0"/>
      <w:marRight w:val="0"/>
      <w:marTop w:val="0"/>
      <w:marBottom w:val="0"/>
      <w:divBdr>
        <w:top w:val="none" w:sz="0" w:space="0" w:color="auto"/>
        <w:left w:val="none" w:sz="0" w:space="0" w:color="auto"/>
        <w:bottom w:val="none" w:sz="0" w:space="0" w:color="auto"/>
        <w:right w:val="none" w:sz="0" w:space="0" w:color="auto"/>
      </w:divBdr>
    </w:div>
    <w:div w:id="2082635112">
      <w:bodyDiv w:val="1"/>
      <w:marLeft w:val="0"/>
      <w:marRight w:val="0"/>
      <w:marTop w:val="0"/>
      <w:marBottom w:val="0"/>
      <w:divBdr>
        <w:top w:val="none" w:sz="0" w:space="0" w:color="auto"/>
        <w:left w:val="none" w:sz="0" w:space="0" w:color="auto"/>
        <w:bottom w:val="none" w:sz="0" w:space="0" w:color="auto"/>
        <w:right w:val="none" w:sz="0" w:space="0" w:color="auto"/>
      </w:divBdr>
    </w:div>
    <w:div w:id="2135176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Social_amnesia#cite_note-3" TargetMode="External"/><Relationship Id="rId18" Type="http://schemas.openxmlformats.org/officeDocument/2006/relationships/hyperlink" Target="https://doi.org/10.1086/268763" TargetMode="External"/><Relationship Id="rId26" Type="http://schemas.openxmlformats.org/officeDocument/2006/relationships/hyperlink" Target="https://www.independent.co.uk/news/uk/politics/hutton-blames-thatcher-s-legacy-for-explosion-of-incapacity-benefit-6110791.html" TargetMode="External"/><Relationship Id="rId39" Type="http://schemas.openxmlformats.org/officeDocument/2006/relationships/hyperlink" Target="https://osr.statisticsauthority.gov.uk/wp-content/uploads/2023/11/Review_of_experimental_labour_market_statistics_produced_by_the_office_for_national_statistics.pdf" TargetMode="External"/><Relationship Id="rId3" Type="http://schemas.openxmlformats.org/officeDocument/2006/relationships/settings" Target="settings.xml"/><Relationship Id="rId21" Type="http://schemas.openxmlformats.org/officeDocument/2006/relationships/hyperlink" Target="https://bigthink.com/the-well/what-is-reality/" TargetMode="External"/><Relationship Id="rId34" Type="http://schemas.openxmlformats.org/officeDocument/2006/relationships/hyperlink" Target="http://doi.org/10.6531/JFS.201812_23(2).0003" TargetMode="External"/><Relationship Id="rId42" Type="http://schemas.openxmlformats.org/officeDocument/2006/relationships/hyperlink" Target="https://www.mostewartresearch.co.uk/wp-content/uploads/2018/12/JCPCP-18-4-M-Stewart-article.pdf" TargetMode="External"/><Relationship Id="rId47" Type="http://schemas.openxmlformats.org/officeDocument/2006/relationships/hyperlink" Target="https://doi.org/10.1177/02633957211041449" TargetMode="External"/><Relationship Id="rId7" Type="http://schemas.openxmlformats.org/officeDocument/2006/relationships/image" Target="media/image3.png"/><Relationship Id="rId12" Type="http://schemas.openxmlformats.org/officeDocument/2006/relationships/hyperlink" Target="http://news.bbc.co.uk/1/hi/uk_politics/2035808.stm" TargetMode="External"/><Relationship Id="rId17" Type="http://schemas.openxmlformats.org/officeDocument/2006/relationships/hyperlink" Target="https://gateleyplc.com/insight/article/long-covid-recognised-as-a-disability-what-this-means-for-the-workplace/" TargetMode="External"/><Relationship Id="rId25" Type="http://schemas.openxmlformats.org/officeDocument/2006/relationships/hyperlink" Target="https://www.researchgate.net/publication/345528809_Disability_as_White_Property" TargetMode="External"/><Relationship Id="rId33" Type="http://schemas.openxmlformats.org/officeDocument/2006/relationships/hyperlink" Target="https://johnmajorarchive.org.uk/1996/10/11/mr-majors-1996-conservative-party-conference-speech-11-october-1996/" TargetMode="External"/><Relationship Id="rId38" Type="http://schemas.openxmlformats.org/officeDocument/2006/relationships/hyperlink" Target="https://doi.org/10.1007/s10624-017-9476-3" TargetMode="External"/><Relationship Id="rId46" Type="http://schemas.openxmlformats.org/officeDocument/2006/relationships/hyperlink" Target="https://bjgplife.com/the-work-capability-assessment-is-the-adoption-of-disability-denial/" TargetMode="External"/><Relationship Id="rId2" Type="http://schemas.openxmlformats.org/officeDocument/2006/relationships/styles" Target="styles.xml"/><Relationship Id="rId16" Type="http://schemas.openxmlformats.org/officeDocument/2006/relationships/hyperlink" Target="https://doi.org/10.1037/h0086006" TargetMode="External"/><Relationship Id="rId20" Type="http://schemas.openxmlformats.org/officeDocument/2006/relationships/hyperlink" Target="https://www.communitysolutions.com/resources/data-without-context-can-dangerous" TargetMode="External"/><Relationship Id="rId29" Type="http://schemas.openxmlformats.org/officeDocument/2006/relationships/hyperlink" Target="https://socialistworker.co.uk/long-reads/sick-note-a-history-of-the-british-welfare-state-by-gareth-millward-review/" TargetMode="External"/><Relationship Id="rId41" Type="http://schemas.openxmlformats.org/officeDocument/2006/relationships/hyperlink" Target="https://citizen-network.org/uploads/attachment/618/preventableharm-and-the-work-capability-assessment.pdf"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samedifference1.com/2014/02/17/atos-may-lose-fit-for-work-test-contract-after-2015/" TargetMode="External"/><Relationship Id="rId24" Type="http://schemas.openxmlformats.org/officeDocument/2006/relationships/hyperlink" Target="https://www.theguardian.com/politics/2011/jul/26/fit-to-work-tests-flawed" TargetMode="External"/><Relationship Id="rId32" Type="http://schemas.openxmlformats.org/officeDocument/2006/relationships/hyperlink" Target="https://doi.org/10.1177/0267323120966842" TargetMode="External"/><Relationship Id="rId37" Type="http://schemas.openxmlformats.org/officeDocument/2006/relationships/hyperlink" Target="https://www.gov.uk/government/statistics/the-employment-of-disabled-people-2022/employment-of-disabled-people-2022#economic-inactivity" TargetMode="External"/><Relationship Id="rId40" Type="http://schemas.openxmlformats.org/officeDocument/2006/relationships/hyperlink" Target="https://theconversation.com/3-reasons-why-people-fall-for-politicians-lies-about-statistics-110014" TargetMode="External"/><Relationship Id="rId45" Type="http://schemas.openxmlformats.org/officeDocument/2006/relationships/hyperlink" Target="https://www.theguardian.com/politics/2013/apr/02/osborne-thatcher-legacy-disability-benefits" TargetMode="External"/><Relationship Id="rId5" Type="http://schemas.openxmlformats.org/officeDocument/2006/relationships/image" Target="media/image1.png"/><Relationship Id="rId15" Type="http://schemas.openxmlformats.org/officeDocument/2006/relationships/hyperlink" Target="https://www.bigissue.com/opinion/tories-disabled-people-poor-carol-vorderman-benefits/" TargetMode="External"/><Relationship Id="rId23" Type="http://schemas.openxmlformats.org/officeDocument/2006/relationships/hyperlink" Target="https://www.theguardian.com/society/2002/jun/10/socialexclusion.politics1" TargetMode="External"/><Relationship Id="rId28" Type="http://schemas.openxmlformats.org/officeDocument/2006/relationships/hyperlink" Target="https://doi.org/10.1177/0963721418763931" TargetMode="External"/><Relationship Id="rId36" Type="http://schemas.openxmlformats.org/officeDocument/2006/relationships/hyperlink" Target="https://www.cityam.com/sunaks-clampdown-on-sick-note-culture-is-back-to-basics-2-0-and-it-may-end-as-badly/" TargetMode="External"/><Relationship Id="rId49" Type="http://schemas.openxmlformats.org/officeDocument/2006/relationships/theme" Target="theme/theme1.xml"/><Relationship Id="rId10" Type="http://schemas.openxmlformats.org/officeDocument/2006/relationships/hyperlink" Target="https://www.unescap.org/sites/default/d8files/Chapter9-Disability-Statistics-E.pdf" TargetMode="External"/><Relationship Id="rId19" Type="http://schemas.openxmlformats.org/officeDocument/2006/relationships/hyperlink" Target="https://assets.publishing.service.gov.uk/media/63d149e4d3bf7f3c48942533/employment-of-disabled-people-2022.xlsx" TargetMode="External"/><Relationship Id="rId31" Type="http://schemas.openxmlformats.org/officeDocument/2006/relationships/hyperlink" Target="https://www.ons.gov.uk/employmentandlabourmarket/peopleinwork/employmentandemployeetypes/methodologies/labourforcesurveyuserguidance" TargetMode="External"/><Relationship Id="rId44" Type="http://schemas.openxmlformats.org/officeDocument/2006/relationships/hyperlink" Target="https://www.margaretthatcher.org/document/102484" TargetMode="Externa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hyperlink" Target="https://doi.org/10.1177/0146167291176015" TargetMode="External"/><Relationship Id="rId22" Type="http://schemas.openxmlformats.org/officeDocument/2006/relationships/hyperlink" Target="https://bigthink.com/the-well/what-is-reality/" TargetMode="External"/><Relationship Id="rId27" Type="http://schemas.openxmlformats.org/officeDocument/2006/relationships/hyperlink" Target="https://www.gov.uk/government/publications/the-employment-of-disabled-people-background-information-and-methodology/the-employment-of-disabled-people-background-information-and-methodology" TargetMode="External"/><Relationship Id="rId30" Type="http://schemas.openxmlformats.org/officeDocument/2006/relationships/hyperlink" Target="http://jfsdigital.org/wp-content/uploads/2022/02/Anticipation_to_Emancipation_Inayatullah-Final.pdf" TargetMode="External"/><Relationship Id="rId35" Type="http://schemas.openxmlformats.org/officeDocument/2006/relationships/hyperlink" Target="https://doi.org/10.7765/9781526163479.00010" TargetMode="External"/><Relationship Id="rId43" Type="http://schemas.openxmlformats.org/officeDocument/2006/relationships/hyperlink" Target="https://www.gov.uk/government/speeches/prime-ministers-speech-on-welfare-19-april-2024" TargetMode="External"/><Relationship Id="rId48" Type="http://schemas.openxmlformats.org/officeDocument/2006/relationships/fontTable" Target="fontTable.xml"/><Relationship Id="rId8" Type="http://schemas.openxmlformats.org/officeDocument/2006/relationships/image" Target="media/image4.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hsans\Downloads\Copy%20of%20Datasets%20for%20essay.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Number of People v Conditions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'POP001'!$C$8</c:f>
              <c:strCache>
                <c:ptCount val="1"/>
                <c:pt idx="0">
                  <c:v>Number of 
people with 
a long-term
health condition
[note 11]</c:v>
                </c:pt>
              </c:strCache>
            </c:strRef>
          </c:tx>
          <c:spPr>
            <a:ln w="38100" cap="rnd">
              <a:noFill/>
              <a:round/>
            </a:ln>
            <a:effectLst/>
          </c:spPr>
          <c:marker>
            <c:symbol val="circle"/>
            <c:size val="5"/>
            <c:spPr>
              <a:solidFill>
                <a:schemeClr val="accent1"/>
              </a:solidFill>
              <a:ln w="9525">
                <a:solidFill>
                  <a:schemeClr val="accent1"/>
                </a:solidFill>
              </a:ln>
              <a:effectLst/>
            </c:spPr>
          </c:marker>
          <c:xVal>
            <c:numRef>
              <c:f>'POP001'!$B$9:$B$17</c:f>
              <c:numCache>
                <c:formatCode>#,###,</c:formatCode>
                <c:ptCount val="9"/>
                <c:pt idx="0">
                  <c:v>40560154</c:v>
                </c:pt>
                <c:pt idx="1">
                  <c:v>40703482</c:v>
                </c:pt>
                <c:pt idx="2">
                  <c:v>40903909</c:v>
                </c:pt>
                <c:pt idx="3">
                  <c:v>41080006</c:v>
                </c:pt>
                <c:pt idx="4">
                  <c:v>41180447</c:v>
                </c:pt>
                <c:pt idx="5">
                  <c:v>41270074</c:v>
                </c:pt>
                <c:pt idx="6">
                  <c:v>41357380</c:v>
                </c:pt>
                <c:pt idx="7">
                  <c:v>41361254</c:v>
                </c:pt>
                <c:pt idx="8">
                  <c:v>41405159</c:v>
                </c:pt>
              </c:numCache>
            </c:numRef>
          </c:xVal>
          <c:yVal>
            <c:numRef>
              <c:f>'POP001'!$C$9:$C$17</c:f>
              <c:numCache>
                <c:formatCode>#,###,</c:formatCode>
                <c:ptCount val="9"/>
                <c:pt idx="0">
                  <c:v>11672531</c:v>
                </c:pt>
                <c:pt idx="1">
                  <c:v>11814978</c:v>
                </c:pt>
                <c:pt idx="2">
                  <c:v>12069406</c:v>
                </c:pt>
                <c:pt idx="3">
                  <c:v>12116516</c:v>
                </c:pt>
                <c:pt idx="4">
                  <c:v>12390037</c:v>
                </c:pt>
                <c:pt idx="5">
                  <c:v>12771707</c:v>
                </c:pt>
                <c:pt idx="6">
                  <c:v>13299055</c:v>
                </c:pt>
                <c:pt idx="7">
                  <c:v>13680389</c:v>
                </c:pt>
                <c:pt idx="8">
                  <c:v>14288911</c:v>
                </c:pt>
              </c:numCache>
            </c:numRef>
          </c:yVal>
          <c:smooth val="0"/>
          <c:extLst>
            <c:ext xmlns:c16="http://schemas.microsoft.com/office/drawing/2014/chart" uri="{C3380CC4-5D6E-409C-BE32-E72D297353CC}">
              <c16:uniqueId val="{00000000-3A11-4167-B09A-6A3FE7832DCB}"/>
            </c:ext>
          </c:extLst>
        </c:ser>
        <c:ser>
          <c:idx val="1"/>
          <c:order val="1"/>
          <c:tx>
            <c:strRef>
              <c:f>'POP001'!$D$8</c:f>
              <c:strCache>
                <c:ptCount val="1"/>
                <c:pt idx="0">
                  <c:v>Number of 
disabled people
[note 2]</c:v>
                </c:pt>
              </c:strCache>
            </c:strRef>
          </c:tx>
          <c:spPr>
            <a:ln w="38100" cap="rnd">
              <a:noFill/>
              <a:round/>
            </a:ln>
            <a:effectLst/>
          </c:spPr>
          <c:marker>
            <c:symbol val="circle"/>
            <c:size val="5"/>
            <c:spPr>
              <a:solidFill>
                <a:schemeClr val="accent2"/>
              </a:solidFill>
              <a:ln w="9525">
                <a:solidFill>
                  <a:schemeClr val="accent2"/>
                </a:solidFill>
              </a:ln>
              <a:effectLst/>
            </c:spPr>
          </c:marker>
          <c:xVal>
            <c:numRef>
              <c:f>'POP001'!$B$9:$B$17</c:f>
              <c:numCache>
                <c:formatCode>#,###,</c:formatCode>
                <c:ptCount val="9"/>
                <c:pt idx="0">
                  <c:v>40560154</c:v>
                </c:pt>
                <c:pt idx="1">
                  <c:v>40703482</c:v>
                </c:pt>
                <c:pt idx="2">
                  <c:v>40903909</c:v>
                </c:pt>
                <c:pt idx="3">
                  <c:v>41080006</c:v>
                </c:pt>
                <c:pt idx="4">
                  <c:v>41180447</c:v>
                </c:pt>
                <c:pt idx="5">
                  <c:v>41270074</c:v>
                </c:pt>
                <c:pt idx="6">
                  <c:v>41357380</c:v>
                </c:pt>
                <c:pt idx="7">
                  <c:v>41361254</c:v>
                </c:pt>
                <c:pt idx="8">
                  <c:v>41405159</c:v>
                </c:pt>
              </c:numCache>
            </c:numRef>
          </c:xVal>
          <c:yVal>
            <c:numRef>
              <c:f>'POP001'!$D$9:$D$17</c:f>
              <c:numCache>
                <c:formatCode>#,###,</c:formatCode>
                <c:ptCount val="9"/>
                <c:pt idx="0">
                  <c:v>6892207</c:v>
                </c:pt>
                <c:pt idx="1">
                  <c:v>7099533</c:v>
                </c:pt>
                <c:pt idx="2">
                  <c:v>7331505</c:v>
                </c:pt>
                <c:pt idx="3">
                  <c:v>7411360</c:v>
                </c:pt>
                <c:pt idx="4">
                  <c:v>7472739</c:v>
                </c:pt>
                <c:pt idx="5">
                  <c:v>7815201</c:v>
                </c:pt>
                <c:pt idx="6">
                  <c:v>8272967</c:v>
                </c:pt>
                <c:pt idx="7">
                  <c:v>8276543</c:v>
                </c:pt>
                <c:pt idx="8">
                  <c:v>9006083</c:v>
                </c:pt>
              </c:numCache>
            </c:numRef>
          </c:yVal>
          <c:smooth val="0"/>
          <c:extLst>
            <c:ext xmlns:c16="http://schemas.microsoft.com/office/drawing/2014/chart" uri="{C3380CC4-5D6E-409C-BE32-E72D297353CC}">
              <c16:uniqueId val="{00000001-3A11-4167-B09A-6A3FE7832DCB}"/>
            </c:ext>
          </c:extLst>
        </c:ser>
        <c:ser>
          <c:idx val="2"/>
          <c:order val="2"/>
          <c:tx>
            <c:strRef>
              <c:f>'POP001'!$E$8</c:f>
              <c:strCache>
                <c:ptCount val="1"/>
                <c:pt idx="0">
                  <c:v>Number of 
disabled people, 
limited a lot
[note 12]</c:v>
                </c:pt>
              </c:strCache>
            </c:strRef>
          </c:tx>
          <c:spPr>
            <a:ln w="38100" cap="rnd">
              <a:noFill/>
              <a:round/>
            </a:ln>
            <a:effectLst/>
          </c:spPr>
          <c:marker>
            <c:symbol val="circle"/>
            <c:size val="5"/>
            <c:spPr>
              <a:solidFill>
                <a:schemeClr val="accent3"/>
              </a:solidFill>
              <a:ln w="9525">
                <a:solidFill>
                  <a:schemeClr val="accent3"/>
                </a:solidFill>
              </a:ln>
              <a:effectLst/>
            </c:spPr>
          </c:marker>
          <c:xVal>
            <c:numRef>
              <c:f>'POP001'!$B$9:$B$17</c:f>
              <c:numCache>
                <c:formatCode>#,###,</c:formatCode>
                <c:ptCount val="9"/>
                <c:pt idx="0">
                  <c:v>40560154</c:v>
                </c:pt>
                <c:pt idx="1">
                  <c:v>40703482</c:v>
                </c:pt>
                <c:pt idx="2">
                  <c:v>40903909</c:v>
                </c:pt>
                <c:pt idx="3">
                  <c:v>41080006</c:v>
                </c:pt>
                <c:pt idx="4">
                  <c:v>41180447</c:v>
                </c:pt>
                <c:pt idx="5">
                  <c:v>41270074</c:v>
                </c:pt>
                <c:pt idx="6">
                  <c:v>41357380</c:v>
                </c:pt>
                <c:pt idx="7">
                  <c:v>41361254</c:v>
                </c:pt>
                <c:pt idx="8">
                  <c:v>41405159</c:v>
                </c:pt>
              </c:numCache>
            </c:numRef>
          </c:xVal>
          <c:yVal>
            <c:numRef>
              <c:f>'POP001'!$E$9:$E$17</c:f>
              <c:numCache>
                <c:formatCode>#,###,</c:formatCode>
                <c:ptCount val="9"/>
                <c:pt idx="0">
                  <c:v>2852811</c:v>
                </c:pt>
                <c:pt idx="1">
                  <c:v>3067514</c:v>
                </c:pt>
                <c:pt idx="2">
                  <c:v>3180998</c:v>
                </c:pt>
                <c:pt idx="3">
                  <c:v>3176277</c:v>
                </c:pt>
                <c:pt idx="4">
                  <c:v>3184819</c:v>
                </c:pt>
                <c:pt idx="5">
                  <c:v>3314593</c:v>
                </c:pt>
                <c:pt idx="6">
                  <c:v>3468225</c:v>
                </c:pt>
                <c:pt idx="7">
                  <c:v>3297786</c:v>
                </c:pt>
                <c:pt idx="8">
                  <c:v>3703413</c:v>
                </c:pt>
              </c:numCache>
            </c:numRef>
          </c:yVal>
          <c:smooth val="0"/>
          <c:extLst>
            <c:ext xmlns:c16="http://schemas.microsoft.com/office/drawing/2014/chart" uri="{C3380CC4-5D6E-409C-BE32-E72D297353CC}">
              <c16:uniqueId val="{00000002-3A11-4167-B09A-6A3FE7832DCB}"/>
            </c:ext>
          </c:extLst>
        </c:ser>
        <c:dLbls>
          <c:showLegendKey val="0"/>
          <c:showVal val="0"/>
          <c:showCatName val="0"/>
          <c:showSerName val="0"/>
          <c:showPercent val="0"/>
          <c:showBubbleSize val="0"/>
        </c:dLbls>
        <c:axId val="920497160"/>
        <c:axId val="920494280"/>
      </c:scatterChart>
      <c:valAx>
        <c:axId val="920497160"/>
        <c:scaling>
          <c:orientation val="minMax"/>
        </c:scaling>
        <c:delete val="0"/>
        <c:axPos val="b"/>
        <c:majorGridlines>
          <c:spPr>
            <a:ln w="9525" cap="flat" cmpd="sng" algn="ctr">
              <a:solidFill>
                <a:schemeClr val="tx1">
                  <a:lumMod val="15000"/>
                  <a:lumOff val="85000"/>
                </a:schemeClr>
              </a:solidFill>
              <a:round/>
            </a:ln>
            <a:effectLst/>
          </c:spPr>
        </c:majorGridlines>
        <c:numFmt formatCode="#,###,"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0494280"/>
        <c:crosses val="autoZero"/>
        <c:crossBetween val="midCat"/>
      </c:valAx>
      <c:valAx>
        <c:axId val="920494280"/>
        <c:scaling>
          <c:orientation val="minMax"/>
        </c:scaling>
        <c:delete val="0"/>
        <c:axPos val="l"/>
        <c:majorGridlines>
          <c:spPr>
            <a:ln w="9525" cap="flat" cmpd="sng" algn="ctr">
              <a:solidFill>
                <a:schemeClr val="tx1">
                  <a:lumMod val="15000"/>
                  <a:lumOff val="85000"/>
                </a:schemeClr>
              </a:solidFill>
              <a:round/>
            </a:ln>
            <a:effectLst/>
          </c:spPr>
        </c:majorGridlines>
        <c:numFmt formatCode="#,###,"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049716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2673</TotalTime>
  <Pages>15</Pages>
  <Words>7867</Words>
  <Characters>45013</Characters>
  <Application>Microsoft Office Word</Application>
  <DocSecurity>0</DocSecurity>
  <Lines>582</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Sanson</dc:creator>
  <cp:keywords/>
  <dc:description/>
  <cp:lastModifiedBy>Helen Sanson</cp:lastModifiedBy>
  <cp:revision>41</cp:revision>
  <dcterms:created xsi:type="dcterms:W3CDTF">2024-05-02T17:44:00Z</dcterms:created>
  <dcterms:modified xsi:type="dcterms:W3CDTF">2024-05-17T19:29:00Z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ad758e95-13bc-4572-a3c0-4dd604a905f7</vt:lpwstr>
  </property>
</Properties>
</file>