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53DC5" w14:textId="04234018" w:rsidR="00996553" w:rsidRDefault="00996553" w:rsidP="00270540">
      <w:pPr>
        <w:pStyle w:val="Title"/>
      </w:pPr>
    </w:p>
    <w:p w14:paraId="6D3CFF88" w14:textId="54CAA2C6" w:rsidR="00B96E2D" w:rsidRDefault="00B96E2D" w:rsidP="00B96E2D">
      <w:pPr>
        <w:rPr>
          <w:lang w:val="en-GB"/>
        </w:rPr>
      </w:pPr>
      <w:r>
        <w:rPr>
          <w:lang w:val="en-GB"/>
        </w:rPr>
        <w:t xml:space="preserve">Module name: Living </w:t>
      </w:r>
      <w:r w:rsidR="004E3629">
        <w:rPr>
          <w:lang w:val="en-GB"/>
        </w:rPr>
        <w:t>with care: Old Age</w:t>
      </w:r>
    </w:p>
    <w:p w14:paraId="578EB1E3" w14:textId="38BA92A1" w:rsidR="004E3629" w:rsidRDefault="00DC76B5" w:rsidP="00B96E2D">
      <w:pPr>
        <w:rPr>
          <w:lang w:val="en-GB"/>
        </w:rPr>
      </w:pPr>
      <w:r>
        <w:rPr>
          <w:lang w:val="en-GB"/>
        </w:rPr>
        <w:t xml:space="preserve">Module code: </w:t>
      </w:r>
      <w:r w:rsidR="00C87674">
        <w:rPr>
          <w:lang w:val="en-GB"/>
        </w:rPr>
        <w:t>BMHP6006</w:t>
      </w:r>
    </w:p>
    <w:p w14:paraId="2A4CC34D" w14:textId="7DBDC5C9" w:rsidR="00C87674" w:rsidRDefault="00C87674" w:rsidP="00B96E2D">
      <w:pPr>
        <w:rPr>
          <w:lang w:val="en-GB"/>
        </w:rPr>
      </w:pPr>
      <w:r>
        <w:rPr>
          <w:lang w:val="en-GB"/>
        </w:rPr>
        <w:t xml:space="preserve">Student name and id: Ana Corcan; </w:t>
      </w:r>
      <w:r w:rsidR="0024363A">
        <w:rPr>
          <w:lang w:val="en-GB"/>
        </w:rPr>
        <w:t>2133068</w:t>
      </w:r>
    </w:p>
    <w:p w14:paraId="2ED5F75F" w14:textId="01A58BE0" w:rsidR="0024363A" w:rsidRPr="00B96E2D" w:rsidRDefault="0024363A" w:rsidP="00B96E2D">
      <w:pPr>
        <w:rPr>
          <w:lang w:val="en-GB"/>
        </w:rPr>
      </w:pPr>
      <w:r>
        <w:rPr>
          <w:lang w:val="en-GB"/>
        </w:rPr>
        <w:t>Lecturer name: Joanne Davies</w:t>
      </w:r>
    </w:p>
    <w:p w14:paraId="4CAF34C2" w14:textId="6C33F789" w:rsidR="00AF2A1C" w:rsidRDefault="00AF2A1C"/>
    <w:p w14:paraId="12F3B9EA" w14:textId="77777777" w:rsidR="00856EE2" w:rsidRPr="00856EE2" w:rsidRDefault="00856EE2" w:rsidP="00856EE2">
      <w:pPr>
        <w:spacing w:after="0" w:line="240" w:lineRule="auto"/>
        <w:contextualSpacing/>
        <w:jc w:val="center"/>
        <w:rPr>
          <w:rFonts w:eastAsiaTheme="majorEastAsia" w:cstheme="majorBidi"/>
          <w:b/>
          <w:bCs/>
          <w:caps/>
          <w:spacing w:val="-10"/>
          <w:kern w:val="28"/>
          <w:sz w:val="36"/>
          <w:szCs w:val="56"/>
          <w:u w:val="single"/>
          <w:shd w:val="clear" w:color="auto" w:fill="FFFFFF"/>
        </w:rPr>
      </w:pPr>
      <w:r w:rsidRPr="00856EE2">
        <w:rPr>
          <w:rFonts w:eastAsiaTheme="majorEastAsia" w:cstheme="majorBidi"/>
          <w:b/>
          <w:bCs/>
          <w:caps/>
          <w:spacing w:val="-10"/>
          <w:kern w:val="28"/>
          <w:sz w:val="36"/>
          <w:szCs w:val="56"/>
          <w:u w:val="single"/>
          <w:shd w:val="clear" w:color="auto" w:fill="FFFFFF"/>
        </w:rPr>
        <w:t xml:space="preserve">Elderly POPULATION </w:t>
      </w:r>
    </w:p>
    <w:p w14:paraId="0700F839" w14:textId="77777777" w:rsidR="00AF2A1C" w:rsidRPr="00AF2A1C" w:rsidRDefault="00AF2A1C" w:rsidP="00AF2A1C"/>
    <w:p w14:paraId="6E65E55E" w14:textId="77777777" w:rsidR="00996553" w:rsidRDefault="00996553">
      <w:pPr>
        <w:spacing w:line="259" w:lineRule="auto"/>
        <w:jc w:val="left"/>
        <w:rPr>
          <w:rFonts w:eastAsiaTheme="majorEastAsia" w:cstheme="majorBidi"/>
          <w:b/>
          <w:bCs/>
          <w:caps/>
          <w:color w:val="auto"/>
          <w:spacing w:val="-10"/>
          <w:kern w:val="28"/>
          <w:sz w:val="36"/>
          <w:szCs w:val="56"/>
          <w:u w:val="single"/>
          <w:shd w:val="clear" w:color="auto" w:fill="FFFFFF"/>
          <w:lang w:val="en-US"/>
        </w:rPr>
      </w:pPr>
      <w:r>
        <w:br w:type="page"/>
      </w:r>
    </w:p>
    <w:bookmarkStart w:id="0" w:name="_Toc170830503" w:displacedByCustomXml="next"/>
    <w:sdt>
      <w:sdtPr>
        <w:rPr>
          <w:rFonts w:ascii="Times New Roman" w:eastAsiaTheme="minorHAnsi" w:hAnsi="Times New Roman" w:cstheme="minorBidi"/>
          <w:color w:val="000000" w:themeColor="text1"/>
          <w:kern w:val="2"/>
          <w:sz w:val="24"/>
          <w:szCs w:val="22"/>
          <w14:ligatures w14:val="standardContextual"/>
        </w:rPr>
        <w:id w:val="2060746268"/>
        <w:docPartObj>
          <w:docPartGallery w:val="Table of Contents"/>
          <w:docPartUnique/>
        </w:docPartObj>
      </w:sdtPr>
      <w:sdtEndPr>
        <w:rPr>
          <w:b/>
          <w:bCs/>
          <w:noProof/>
        </w:rPr>
      </w:sdtEndPr>
      <w:sdtContent>
        <w:p w14:paraId="07A71626" w14:textId="2439186C" w:rsidR="00AF2A1C" w:rsidRPr="00AF2A1C" w:rsidRDefault="00AF2A1C" w:rsidP="00AF2A1C">
          <w:pPr>
            <w:pStyle w:val="TOCHeading"/>
            <w:jc w:val="center"/>
            <w:rPr>
              <w:rStyle w:val="Heading1Char"/>
            </w:rPr>
          </w:pPr>
          <w:r w:rsidRPr="00AF2A1C">
            <w:rPr>
              <w:rStyle w:val="Heading1Char"/>
            </w:rPr>
            <w:t>Table of Contents</w:t>
          </w:r>
        </w:p>
        <w:p w14:paraId="44A4FF43" w14:textId="2DFB032C" w:rsidR="006A2FF5" w:rsidRDefault="00AF2A1C">
          <w:pPr>
            <w:pStyle w:val="TOC1"/>
            <w:tabs>
              <w:tab w:val="right" w:leader="dot" w:pos="9016"/>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171087972" w:history="1">
            <w:r w:rsidR="006A2FF5" w:rsidRPr="0066276F">
              <w:rPr>
                <w:rStyle w:val="Hyperlink"/>
                <w:noProof/>
              </w:rPr>
              <w:t>Introduction</w:t>
            </w:r>
            <w:r w:rsidR="006A2FF5">
              <w:rPr>
                <w:noProof/>
                <w:webHidden/>
              </w:rPr>
              <w:tab/>
            </w:r>
            <w:r w:rsidR="006A2FF5">
              <w:rPr>
                <w:noProof/>
                <w:webHidden/>
              </w:rPr>
              <w:fldChar w:fldCharType="begin"/>
            </w:r>
            <w:r w:rsidR="006A2FF5">
              <w:rPr>
                <w:noProof/>
                <w:webHidden/>
              </w:rPr>
              <w:instrText xml:space="preserve"> PAGEREF _Toc171087972 \h </w:instrText>
            </w:r>
            <w:r w:rsidR="006A2FF5">
              <w:rPr>
                <w:noProof/>
                <w:webHidden/>
              </w:rPr>
            </w:r>
            <w:r w:rsidR="006A2FF5">
              <w:rPr>
                <w:noProof/>
                <w:webHidden/>
              </w:rPr>
              <w:fldChar w:fldCharType="separate"/>
            </w:r>
            <w:r w:rsidR="006A2FF5">
              <w:rPr>
                <w:noProof/>
                <w:webHidden/>
              </w:rPr>
              <w:t>3</w:t>
            </w:r>
            <w:r w:rsidR="006A2FF5">
              <w:rPr>
                <w:noProof/>
                <w:webHidden/>
              </w:rPr>
              <w:fldChar w:fldCharType="end"/>
            </w:r>
          </w:hyperlink>
        </w:p>
        <w:p w14:paraId="08E17619" w14:textId="478305DD" w:rsidR="006A2FF5" w:rsidRDefault="00000000">
          <w:pPr>
            <w:pStyle w:val="TOC2"/>
            <w:tabs>
              <w:tab w:val="right" w:leader="dot" w:pos="9016"/>
            </w:tabs>
            <w:rPr>
              <w:rFonts w:asciiTheme="minorHAnsi" w:eastAsiaTheme="minorEastAsia" w:hAnsiTheme="minorHAnsi"/>
              <w:noProof/>
              <w:color w:val="auto"/>
              <w:sz w:val="22"/>
              <w:lang w:val="en-GB" w:eastAsia="en-GB"/>
            </w:rPr>
          </w:pPr>
          <w:hyperlink w:anchor="_Toc171087974" w:history="1">
            <w:r w:rsidR="006A2FF5" w:rsidRPr="0066276F">
              <w:rPr>
                <w:rStyle w:val="Hyperlink"/>
                <w:noProof/>
              </w:rPr>
              <w:t>Case study</w:t>
            </w:r>
            <w:r w:rsidR="006A2FF5">
              <w:rPr>
                <w:noProof/>
                <w:webHidden/>
              </w:rPr>
              <w:tab/>
            </w:r>
            <w:r w:rsidR="006A2FF5">
              <w:rPr>
                <w:noProof/>
                <w:webHidden/>
              </w:rPr>
              <w:fldChar w:fldCharType="begin"/>
            </w:r>
            <w:r w:rsidR="006A2FF5">
              <w:rPr>
                <w:noProof/>
                <w:webHidden/>
              </w:rPr>
              <w:instrText xml:space="preserve"> PAGEREF _Toc171087974 \h </w:instrText>
            </w:r>
            <w:r w:rsidR="006A2FF5">
              <w:rPr>
                <w:noProof/>
                <w:webHidden/>
              </w:rPr>
            </w:r>
            <w:r w:rsidR="006A2FF5">
              <w:rPr>
                <w:noProof/>
                <w:webHidden/>
              </w:rPr>
              <w:fldChar w:fldCharType="separate"/>
            </w:r>
            <w:r w:rsidR="006A2FF5">
              <w:rPr>
                <w:noProof/>
                <w:webHidden/>
              </w:rPr>
              <w:t>4</w:t>
            </w:r>
            <w:r w:rsidR="006A2FF5">
              <w:rPr>
                <w:noProof/>
                <w:webHidden/>
              </w:rPr>
              <w:fldChar w:fldCharType="end"/>
            </w:r>
          </w:hyperlink>
        </w:p>
        <w:p w14:paraId="4C7C5EDE" w14:textId="0A8A900F" w:rsidR="006A2FF5" w:rsidRDefault="00000000">
          <w:pPr>
            <w:pStyle w:val="TOC2"/>
            <w:tabs>
              <w:tab w:val="right" w:leader="dot" w:pos="9016"/>
            </w:tabs>
            <w:rPr>
              <w:rFonts w:asciiTheme="minorHAnsi" w:eastAsiaTheme="minorEastAsia" w:hAnsiTheme="minorHAnsi"/>
              <w:noProof/>
              <w:color w:val="auto"/>
              <w:sz w:val="22"/>
              <w:lang w:val="en-GB" w:eastAsia="en-GB"/>
            </w:rPr>
          </w:pPr>
          <w:hyperlink w:anchor="_Toc171087975" w:history="1">
            <w:r w:rsidR="006A2FF5" w:rsidRPr="0066276F">
              <w:rPr>
                <w:rStyle w:val="Hyperlink"/>
                <w:noProof/>
              </w:rPr>
              <w:t>Health and Social Care Needs of the Individual</w:t>
            </w:r>
            <w:r w:rsidR="006A2FF5">
              <w:rPr>
                <w:noProof/>
                <w:webHidden/>
              </w:rPr>
              <w:tab/>
            </w:r>
            <w:r w:rsidR="006A2FF5">
              <w:rPr>
                <w:noProof/>
                <w:webHidden/>
              </w:rPr>
              <w:fldChar w:fldCharType="begin"/>
            </w:r>
            <w:r w:rsidR="006A2FF5">
              <w:rPr>
                <w:noProof/>
                <w:webHidden/>
              </w:rPr>
              <w:instrText xml:space="preserve"> PAGEREF _Toc171087975 \h </w:instrText>
            </w:r>
            <w:r w:rsidR="006A2FF5">
              <w:rPr>
                <w:noProof/>
                <w:webHidden/>
              </w:rPr>
            </w:r>
            <w:r w:rsidR="006A2FF5">
              <w:rPr>
                <w:noProof/>
                <w:webHidden/>
              </w:rPr>
              <w:fldChar w:fldCharType="separate"/>
            </w:r>
            <w:r w:rsidR="006A2FF5">
              <w:rPr>
                <w:noProof/>
                <w:webHidden/>
              </w:rPr>
              <w:t>5</w:t>
            </w:r>
            <w:r w:rsidR="006A2FF5">
              <w:rPr>
                <w:noProof/>
                <w:webHidden/>
              </w:rPr>
              <w:fldChar w:fldCharType="end"/>
            </w:r>
          </w:hyperlink>
        </w:p>
        <w:p w14:paraId="5A5056EB" w14:textId="796CE239" w:rsidR="006A2FF5" w:rsidRDefault="00000000">
          <w:pPr>
            <w:pStyle w:val="TOC2"/>
            <w:tabs>
              <w:tab w:val="right" w:leader="dot" w:pos="9016"/>
            </w:tabs>
            <w:rPr>
              <w:rFonts w:asciiTheme="minorHAnsi" w:eastAsiaTheme="minorEastAsia" w:hAnsiTheme="minorHAnsi"/>
              <w:noProof/>
              <w:color w:val="auto"/>
              <w:sz w:val="22"/>
              <w:lang w:val="en-GB" w:eastAsia="en-GB"/>
            </w:rPr>
          </w:pPr>
          <w:hyperlink w:anchor="_Toc171087976" w:history="1">
            <w:r w:rsidR="006A2FF5" w:rsidRPr="0066276F">
              <w:rPr>
                <w:rStyle w:val="Hyperlink"/>
                <w:noProof/>
              </w:rPr>
              <w:t>What relevant support and intervention does your individual need?</w:t>
            </w:r>
            <w:r w:rsidR="006A2FF5">
              <w:rPr>
                <w:noProof/>
                <w:webHidden/>
              </w:rPr>
              <w:tab/>
            </w:r>
            <w:r w:rsidR="006A2FF5">
              <w:rPr>
                <w:noProof/>
                <w:webHidden/>
              </w:rPr>
              <w:fldChar w:fldCharType="begin"/>
            </w:r>
            <w:r w:rsidR="006A2FF5">
              <w:rPr>
                <w:noProof/>
                <w:webHidden/>
              </w:rPr>
              <w:instrText xml:space="preserve"> PAGEREF _Toc171087976 \h </w:instrText>
            </w:r>
            <w:r w:rsidR="006A2FF5">
              <w:rPr>
                <w:noProof/>
                <w:webHidden/>
              </w:rPr>
            </w:r>
            <w:r w:rsidR="006A2FF5">
              <w:rPr>
                <w:noProof/>
                <w:webHidden/>
              </w:rPr>
              <w:fldChar w:fldCharType="separate"/>
            </w:r>
            <w:r w:rsidR="006A2FF5">
              <w:rPr>
                <w:noProof/>
                <w:webHidden/>
              </w:rPr>
              <w:t>6</w:t>
            </w:r>
            <w:r w:rsidR="006A2FF5">
              <w:rPr>
                <w:noProof/>
                <w:webHidden/>
              </w:rPr>
              <w:fldChar w:fldCharType="end"/>
            </w:r>
          </w:hyperlink>
        </w:p>
        <w:p w14:paraId="57236144" w14:textId="6601071C" w:rsidR="006A2FF5" w:rsidRDefault="00000000">
          <w:pPr>
            <w:pStyle w:val="TOC2"/>
            <w:tabs>
              <w:tab w:val="right" w:leader="dot" w:pos="9016"/>
            </w:tabs>
            <w:rPr>
              <w:rFonts w:asciiTheme="minorHAnsi" w:eastAsiaTheme="minorEastAsia" w:hAnsiTheme="minorHAnsi"/>
              <w:noProof/>
              <w:color w:val="auto"/>
              <w:sz w:val="22"/>
              <w:lang w:val="en-GB" w:eastAsia="en-GB"/>
            </w:rPr>
          </w:pPr>
          <w:hyperlink w:anchor="_Toc171087977" w:history="1">
            <w:r w:rsidR="006A2FF5" w:rsidRPr="0066276F">
              <w:rPr>
                <w:rStyle w:val="Hyperlink"/>
                <w:noProof/>
              </w:rPr>
              <w:t>Relevant Policy and Legislation</w:t>
            </w:r>
            <w:r w:rsidR="006A2FF5">
              <w:rPr>
                <w:noProof/>
                <w:webHidden/>
              </w:rPr>
              <w:tab/>
            </w:r>
            <w:r w:rsidR="006A2FF5">
              <w:rPr>
                <w:noProof/>
                <w:webHidden/>
              </w:rPr>
              <w:fldChar w:fldCharType="begin"/>
            </w:r>
            <w:r w:rsidR="006A2FF5">
              <w:rPr>
                <w:noProof/>
                <w:webHidden/>
              </w:rPr>
              <w:instrText xml:space="preserve"> PAGEREF _Toc171087977 \h </w:instrText>
            </w:r>
            <w:r w:rsidR="006A2FF5">
              <w:rPr>
                <w:noProof/>
                <w:webHidden/>
              </w:rPr>
            </w:r>
            <w:r w:rsidR="006A2FF5">
              <w:rPr>
                <w:noProof/>
                <w:webHidden/>
              </w:rPr>
              <w:fldChar w:fldCharType="separate"/>
            </w:r>
            <w:r w:rsidR="006A2FF5">
              <w:rPr>
                <w:noProof/>
                <w:webHidden/>
              </w:rPr>
              <w:t>7</w:t>
            </w:r>
            <w:r w:rsidR="006A2FF5">
              <w:rPr>
                <w:noProof/>
                <w:webHidden/>
              </w:rPr>
              <w:fldChar w:fldCharType="end"/>
            </w:r>
          </w:hyperlink>
        </w:p>
        <w:p w14:paraId="03575D20" w14:textId="3D8518AD" w:rsidR="006A2FF5" w:rsidRDefault="00000000">
          <w:pPr>
            <w:pStyle w:val="TOC1"/>
            <w:tabs>
              <w:tab w:val="right" w:leader="dot" w:pos="9016"/>
            </w:tabs>
            <w:rPr>
              <w:rFonts w:asciiTheme="minorHAnsi" w:eastAsiaTheme="minorEastAsia" w:hAnsiTheme="minorHAnsi"/>
              <w:noProof/>
              <w:color w:val="auto"/>
              <w:sz w:val="22"/>
              <w:lang w:val="en-GB" w:eastAsia="en-GB"/>
            </w:rPr>
          </w:pPr>
          <w:hyperlink w:anchor="_Toc171087978" w:history="1">
            <w:r w:rsidR="006A2FF5" w:rsidRPr="0066276F">
              <w:rPr>
                <w:rStyle w:val="Hyperlink"/>
                <w:noProof/>
              </w:rPr>
              <w:t>Theory</w:t>
            </w:r>
            <w:r w:rsidR="006A2FF5">
              <w:rPr>
                <w:noProof/>
                <w:webHidden/>
              </w:rPr>
              <w:tab/>
            </w:r>
            <w:r w:rsidR="006A2FF5">
              <w:rPr>
                <w:noProof/>
                <w:webHidden/>
              </w:rPr>
              <w:fldChar w:fldCharType="begin"/>
            </w:r>
            <w:r w:rsidR="006A2FF5">
              <w:rPr>
                <w:noProof/>
                <w:webHidden/>
              </w:rPr>
              <w:instrText xml:space="preserve"> PAGEREF _Toc171087978 \h </w:instrText>
            </w:r>
            <w:r w:rsidR="006A2FF5">
              <w:rPr>
                <w:noProof/>
                <w:webHidden/>
              </w:rPr>
            </w:r>
            <w:r w:rsidR="006A2FF5">
              <w:rPr>
                <w:noProof/>
                <w:webHidden/>
              </w:rPr>
              <w:fldChar w:fldCharType="separate"/>
            </w:r>
            <w:r w:rsidR="006A2FF5">
              <w:rPr>
                <w:noProof/>
                <w:webHidden/>
              </w:rPr>
              <w:t>9</w:t>
            </w:r>
            <w:r w:rsidR="006A2FF5">
              <w:rPr>
                <w:noProof/>
                <w:webHidden/>
              </w:rPr>
              <w:fldChar w:fldCharType="end"/>
            </w:r>
          </w:hyperlink>
        </w:p>
        <w:p w14:paraId="499C4BEC" w14:textId="77E31931" w:rsidR="006A2FF5" w:rsidRDefault="00000000">
          <w:pPr>
            <w:pStyle w:val="TOC1"/>
            <w:tabs>
              <w:tab w:val="right" w:leader="dot" w:pos="9016"/>
            </w:tabs>
            <w:rPr>
              <w:rFonts w:asciiTheme="minorHAnsi" w:eastAsiaTheme="minorEastAsia" w:hAnsiTheme="minorHAnsi"/>
              <w:noProof/>
              <w:color w:val="auto"/>
              <w:sz w:val="22"/>
              <w:lang w:val="en-GB" w:eastAsia="en-GB"/>
            </w:rPr>
          </w:pPr>
          <w:hyperlink w:anchor="_Toc171087979" w:history="1">
            <w:r w:rsidR="006A2FF5" w:rsidRPr="0066276F">
              <w:rPr>
                <w:rStyle w:val="Hyperlink"/>
                <w:noProof/>
              </w:rPr>
              <w:t>Conclusion</w:t>
            </w:r>
            <w:r w:rsidR="006A2FF5">
              <w:rPr>
                <w:noProof/>
                <w:webHidden/>
              </w:rPr>
              <w:tab/>
            </w:r>
            <w:r w:rsidR="006A2FF5">
              <w:rPr>
                <w:noProof/>
                <w:webHidden/>
              </w:rPr>
              <w:fldChar w:fldCharType="begin"/>
            </w:r>
            <w:r w:rsidR="006A2FF5">
              <w:rPr>
                <w:noProof/>
                <w:webHidden/>
              </w:rPr>
              <w:instrText xml:space="preserve"> PAGEREF _Toc171087979 \h </w:instrText>
            </w:r>
            <w:r w:rsidR="006A2FF5">
              <w:rPr>
                <w:noProof/>
                <w:webHidden/>
              </w:rPr>
            </w:r>
            <w:r w:rsidR="006A2FF5">
              <w:rPr>
                <w:noProof/>
                <w:webHidden/>
              </w:rPr>
              <w:fldChar w:fldCharType="separate"/>
            </w:r>
            <w:r w:rsidR="006A2FF5">
              <w:rPr>
                <w:noProof/>
                <w:webHidden/>
              </w:rPr>
              <w:t>11</w:t>
            </w:r>
            <w:r w:rsidR="006A2FF5">
              <w:rPr>
                <w:noProof/>
                <w:webHidden/>
              </w:rPr>
              <w:fldChar w:fldCharType="end"/>
            </w:r>
          </w:hyperlink>
        </w:p>
        <w:p w14:paraId="0C197886" w14:textId="3BD4E72D" w:rsidR="006A2FF5" w:rsidRDefault="00000000">
          <w:pPr>
            <w:pStyle w:val="TOC1"/>
            <w:tabs>
              <w:tab w:val="right" w:leader="dot" w:pos="9016"/>
            </w:tabs>
            <w:rPr>
              <w:rFonts w:asciiTheme="minorHAnsi" w:eastAsiaTheme="minorEastAsia" w:hAnsiTheme="minorHAnsi"/>
              <w:noProof/>
              <w:color w:val="auto"/>
              <w:sz w:val="22"/>
              <w:lang w:val="en-GB" w:eastAsia="en-GB"/>
            </w:rPr>
          </w:pPr>
          <w:hyperlink w:anchor="_Toc171087980" w:history="1">
            <w:r w:rsidR="006A2FF5" w:rsidRPr="0066276F">
              <w:rPr>
                <w:rStyle w:val="Hyperlink"/>
                <w:noProof/>
              </w:rPr>
              <w:t>Recommendation</w:t>
            </w:r>
            <w:r w:rsidR="006A2FF5">
              <w:rPr>
                <w:noProof/>
                <w:webHidden/>
              </w:rPr>
              <w:tab/>
            </w:r>
            <w:r w:rsidR="006A2FF5">
              <w:rPr>
                <w:noProof/>
                <w:webHidden/>
              </w:rPr>
              <w:fldChar w:fldCharType="begin"/>
            </w:r>
            <w:r w:rsidR="006A2FF5">
              <w:rPr>
                <w:noProof/>
                <w:webHidden/>
              </w:rPr>
              <w:instrText xml:space="preserve"> PAGEREF _Toc171087980 \h </w:instrText>
            </w:r>
            <w:r w:rsidR="006A2FF5">
              <w:rPr>
                <w:noProof/>
                <w:webHidden/>
              </w:rPr>
            </w:r>
            <w:r w:rsidR="006A2FF5">
              <w:rPr>
                <w:noProof/>
                <w:webHidden/>
              </w:rPr>
              <w:fldChar w:fldCharType="separate"/>
            </w:r>
            <w:r w:rsidR="006A2FF5">
              <w:rPr>
                <w:noProof/>
                <w:webHidden/>
              </w:rPr>
              <w:t>12</w:t>
            </w:r>
            <w:r w:rsidR="006A2FF5">
              <w:rPr>
                <w:noProof/>
                <w:webHidden/>
              </w:rPr>
              <w:fldChar w:fldCharType="end"/>
            </w:r>
          </w:hyperlink>
        </w:p>
        <w:p w14:paraId="483173B6" w14:textId="7C653EF2" w:rsidR="006A2FF5" w:rsidRDefault="00000000">
          <w:pPr>
            <w:pStyle w:val="TOC1"/>
            <w:tabs>
              <w:tab w:val="right" w:leader="dot" w:pos="9016"/>
            </w:tabs>
            <w:rPr>
              <w:rFonts w:asciiTheme="minorHAnsi" w:eastAsiaTheme="minorEastAsia" w:hAnsiTheme="minorHAnsi"/>
              <w:noProof/>
              <w:color w:val="auto"/>
              <w:sz w:val="22"/>
              <w:lang w:val="en-GB" w:eastAsia="en-GB"/>
            </w:rPr>
          </w:pPr>
          <w:hyperlink w:anchor="_Toc171087981" w:history="1">
            <w:r w:rsidR="006A2FF5" w:rsidRPr="0066276F">
              <w:rPr>
                <w:rStyle w:val="Hyperlink"/>
                <w:noProof/>
              </w:rPr>
              <w:t>Reference</w:t>
            </w:r>
            <w:r w:rsidR="006A2FF5">
              <w:rPr>
                <w:noProof/>
                <w:webHidden/>
              </w:rPr>
              <w:tab/>
            </w:r>
            <w:r w:rsidR="006A2FF5">
              <w:rPr>
                <w:noProof/>
                <w:webHidden/>
              </w:rPr>
              <w:fldChar w:fldCharType="begin"/>
            </w:r>
            <w:r w:rsidR="006A2FF5">
              <w:rPr>
                <w:noProof/>
                <w:webHidden/>
              </w:rPr>
              <w:instrText xml:space="preserve"> PAGEREF _Toc171087981 \h </w:instrText>
            </w:r>
            <w:r w:rsidR="006A2FF5">
              <w:rPr>
                <w:noProof/>
                <w:webHidden/>
              </w:rPr>
            </w:r>
            <w:r w:rsidR="006A2FF5">
              <w:rPr>
                <w:noProof/>
                <w:webHidden/>
              </w:rPr>
              <w:fldChar w:fldCharType="separate"/>
            </w:r>
            <w:r w:rsidR="006A2FF5">
              <w:rPr>
                <w:noProof/>
                <w:webHidden/>
              </w:rPr>
              <w:t>13</w:t>
            </w:r>
            <w:r w:rsidR="006A2FF5">
              <w:rPr>
                <w:noProof/>
                <w:webHidden/>
              </w:rPr>
              <w:fldChar w:fldCharType="end"/>
            </w:r>
          </w:hyperlink>
        </w:p>
        <w:p w14:paraId="2C30EE73" w14:textId="568C9508" w:rsidR="006A2FF5" w:rsidRDefault="00000000">
          <w:pPr>
            <w:pStyle w:val="TOC1"/>
            <w:tabs>
              <w:tab w:val="right" w:leader="dot" w:pos="9016"/>
            </w:tabs>
            <w:rPr>
              <w:rFonts w:asciiTheme="minorHAnsi" w:eastAsiaTheme="minorEastAsia" w:hAnsiTheme="minorHAnsi"/>
              <w:noProof/>
              <w:color w:val="auto"/>
              <w:sz w:val="22"/>
              <w:lang w:val="en-GB" w:eastAsia="en-GB"/>
            </w:rPr>
          </w:pPr>
          <w:hyperlink w:anchor="_Toc171087982" w:history="1">
            <w:r w:rsidR="006A2FF5" w:rsidRPr="0066276F">
              <w:rPr>
                <w:rStyle w:val="Hyperlink"/>
                <w:noProof/>
              </w:rPr>
              <w:t>Appendices</w:t>
            </w:r>
            <w:r w:rsidR="006A2FF5">
              <w:rPr>
                <w:noProof/>
                <w:webHidden/>
              </w:rPr>
              <w:tab/>
            </w:r>
            <w:r w:rsidR="006A2FF5">
              <w:rPr>
                <w:noProof/>
                <w:webHidden/>
              </w:rPr>
              <w:fldChar w:fldCharType="begin"/>
            </w:r>
            <w:r w:rsidR="006A2FF5">
              <w:rPr>
                <w:noProof/>
                <w:webHidden/>
              </w:rPr>
              <w:instrText xml:space="preserve"> PAGEREF _Toc171087982 \h </w:instrText>
            </w:r>
            <w:r w:rsidR="006A2FF5">
              <w:rPr>
                <w:noProof/>
                <w:webHidden/>
              </w:rPr>
            </w:r>
            <w:r w:rsidR="006A2FF5">
              <w:rPr>
                <w:noProof/>
                <w:webHidden/>
              </w:rPr>
              <w:fldChar w:fldCharType="separate"/>
            </w:r>
            <w:r w:rsidR="006A2FF5">
              <w:rPr>
                <w:noProof/>
                <w:webHidden/>
              </w:rPr>
              <w:t>15</w:t>
            </w:r>
            <w:r w:rsidR="006A2FF5">
              <w:rPr>
                <w:noProof/>
                <w:webHidden/>
              </w:rPr>
              <w:fldChar w:fldCharType="end"/>
            </w:r>
          </w:hyperlink>
        </w:p>
        <w:p w14:paraId="30096A7A" w14:textId="6C3889BE" w:rsidR="00AF2A1C" w:rsidRDefault="00AF2A1C">
          <w:r>
            <w:rPr>
              <w:b/>
              <w:bCs/>
              <w:noProof/>
            </w:rPr>
            <w:fldChar w:fldCharType="end"/>
          </w:r>
        </w:p>
      </w:sdtContent>
    </w:sdt>
    <w:p w14:paraId="08CEFC06" w14:textId="77777777" w:rsidR="00AF2A1C" w:rsidRDefault="00AF2A1C">
      <w:pPr>
        <w:spacing w:line="259" w:lineRule="auto"/>
        <w:jc w:val="left"/>
        <w:rPr>
          <w:rFonts w:eastAsiaTheme="majorEastAsia" w:cstheme="majorBidi"/>
          <w:b/>
          <w:sz w:val="28"/>
          <w:szCs w:val="32"/>
        </w:rPr>
      </w:pPr>
      <w:r>
        <w:br w:type="page"/>
      </w:r>
    </w:p>
    <w:p w14:paraId="5E8E7EB8" w14:textId="20AC308B" w:rsidR="00FB00BD" w:rsidRDefault="00996553" w:rsidP="00996553">
      <w:pPr>
        <w:pStyle w:val="Heading1"/>
      </w:pPr>
      <w:bookmarkStart w:id="1" w:name="_Toc171087972"/>
      <w:r>
        <w:t>Introduction</w:t>
      </w:r>
      <w:bookmarkEnd w:id="0"/>
      <w:bookmarkEnd w:id="1"/>
    </w:p>
    <w:p w14:paraId="0343366B" w14:textId="72CBF4D7" w:rsidR="006260CB" w:rsidRDefault="006260CB" w:rsidP="006260CB">
      <w:r>
        <w:t xml:space="preserve">This paper aims to analyze the health and social care requirements of an elderly man John, a resident of Sunderland, with changes in his status due to his wife’s death. It will analyze his current status and review all the factors he experiences as difficulties such as loneliness or social isolation. Such problems are rather widespread in regards to many elderly people, including those, who are single and have no people around them whom they could communicate with on a daily basis. Measures that will be described in the report include the strategies and assistance that Age UK Sunderland offers to John or other clients to enhance the aging experience. </w:t>
      </w:r>
    </w:p>
    <w:p w14:paraId="1C299B9A" w14:textId="4F3FBB30" w:rsidR="006260CB" w:rsidRPr="006260CB" w:rsidRDefault="006260CB" w:rsidP="006260CB">
      <w:r>
        <w:t>In modern society, the meaning of ‘old age’ is not fixed because of the developments in the medical field, better living standards, and changes in people’s interactions. Currently, the United Kingdom alongside several other developed countries is challenged by an aging population as a result of life expectancy and birth rates</w:t>
      </w:r>
      <w:r w:rsidR="006D0EFE">
        <w:t xml:space="preserve"> (</w:t>
      </w:r>
      <w:r w:rsidR="006D0EFE" w:rsidRPr="006D0EFE">
        <w:t>Zietlow and Wong</w:t>
      </w:r>
      <w:r w:rsidR="006D0EFE">
        <w:t>, 2022)</w:t>
      </w:r>
      <w:r>
        <w:t>. The changing demography of the population also requires this target group to be addressed appropriately through the provision of resources that allow them to successfully age. John’s case shows that appropriate support services and programs for the elderly population are critical for the promotion of healthy aging and Integration.</w:t>
      </w:r>
    </w:p>
    <w:p w14:paraId="0C3C5138" w14:textId="77777777" w:rsidR="00D20FF6" w:rsidRPr="00D20FF6" w:rsidRDefault="00D20FF6" w:rsidP="00D20FF6"/>
    <w:p w14:paraId="40125A2E" w14:textId="3321185C" w:rsidR="00996553" w:rsidRPr="003A3CC3" w:rsidRDefault="00A94AA3" w:rsidP="003A3CC3">
      <w:pPr>
        <w:spacing w:line="259" w:lineRule="auto"/>
        <w:jc w:val="left"/>
        <w:rPr>
          <w:rFonts w:eastAsiaTheme="majorEastAsia" w:cstheme="majorBidi"/>
          <w:b/>
          <w:sz w:val="28"/>
          <w:szCs w:val="32"/>
        </w:rPr>
      </w:pPr>
      <w:r>
        <w:br w:type="page"/>
      </w:r>
    </w:p>
    <w:p w14:paraId="09BC00CB" w14:textId="333C56B0" w:rsidR="006260CB" w:rsidRDefault="006260CB" w:rsidP="004471D3">
      <w:pPr>
        <w:pStyle w:val="Heading2"/>
      </w:pPr>
      <w:bookmarkStart w:id="2" w:name="_Toc170830505"/>
      <w:bookmarkStart w:id="3" w:name="_Toc171087974"/>
      <w:r w:rsidRPr="006260CB">
        <w:t>Case study</w:t>
      </w:r>
      <w:bookmarkEnd w:id="2"/>
      <w:bookmarkEnd w:id="3"/>
    </w:p>
    <w:p w14:paraId="72DF9981" w14:textId="6B3065C7" w:rsidR="00563D4D" w:rsidRDefault="00563D4D" w:rsidP="00563D4D">
      <w:r>
        <w:t xml:space="preserve">John a </w:t>
      </w:r>
      <w:r w:rsidR="008B00C4">
        <w:t>severely</w:t>
      </w:r>
      <w:r>
        <w:t xml:space="preserve"> lonely and socially isolated patient from Sunderland, lost his wife recently at </w:t>
      </w:r>
      <w:r w:rsidR="008B00C4">
        <w:t>the</w:t>
      </w:r>
      <w:r>
        <w:t xml:space="preserve"> age of 80. Being a widower caring for himself, with occasional visits from his daughter and granddaughter, John’s home environment is socially barren – loneliness being a major determinant of poor quality of life and increased morbidity and mortality in later life. John is emotionally unanchored after the </w:t>
      </w:r>
      <w:r w:rsidR="008B00C4">
        <w:t>death</w:t>
      </w:r>
      <w:r>
        <w:t xml:space="preserve"> of his wife and the support that she used to lend him a helping hand. This emotional burden has increased because of the need to re-learn all basic tasks from scratch, which demonstrates how his loss influenced the character’s life and the level of his self-sufficiency. John’s case puts him at a high risk of developing deterioration in his mental as well as his emotional health</w:t>
      </w:r>
      <w:r w:rsidR="004506A9">
        <w:t xml:space="preserve"> (</w:t>
      </w:r>
      <w:proofErr w:type="spellStart"/>
      <w:r w:rsidR="004506A9" w:rsidRPr="004506A9">
        <w:t>Switsers</w:t>
      </w:r>
      <w:proofErr w:type="spellEnd"/>
      <w:r w:rsidR="004506A9">
        <w:t xml:space="preserve"> </w:t>
      </w:r>
      <w:r w:rsidR="004506A9" w:rsidRPr="004506A9">
        <w:rPr>
          <w:i/>
          <w:iCs/>
        </w:rPr>
        <w:t>et al</w:t>
      </w:r>
      <w:r w:rsidR="004506A9">
        <w:t>., 2021)</w:t>
      </w:r>
      <w:r>
        <w:t xml:space="preserve">. Loneliness among elderly people often increases the likelihood of experiencing depression, anxiety, </w:t>
      </w:r>
      <w:r w:rsidR="008B00C4">
        <w:t>and</w:t>
      </w:r>
      <w:r>
        <w:t xml:space="preserve"> cognitive disorders. These risks may be especially magnified for John due to the limited social contacts, which </w:t>
      </w:r>
      <w:r w:rsidR="008B00C4">
        <w:t>in turn</w:t>
      </w:r>
      <w:r>
        <w:t xml:space="preserve"> negates his access to a supportive community to lean on in the course of taking the needed measures that may alter his general welfare status for the worse. COVID-19, probably, significantly amplified John’s loneliness when it emerged. In light of this, measures such as government-imposed </w:t>
      </w:r>
      <w:r w:rsidR="008B00C4">
        <w:t>lockdowns</w:t>
      </w:r>
      <w:r>
        <w:t xml:space="preserve"> and limitations </w:t>
      </w:r>
      <w:r w:rsidR="008B00C4">
        <w:t>that</w:t>
      </w:r>
      <w:r>
        <w:t xml:space="preserve"> promote social distancing would have limited his chances of related interactions even further, thus increasing his tendency </w:t>
      </w:r>
      <w:r w:rsidR="008B00C4">
        <w:t>to</w:t>
      </w:r>
      <w:r>
        <w:t xml:space="preserve"> loneliness. However, the </w:t>
      </w:r>
      <w:proofErr w:type="spellStart"/>
      <w:r w:rsidR="008B00C4">
        <w:t>favorable</w:t>
      </w:r>
      <w:proofErr w:type="spellEnd"/>
      <w:r>
        <w:t xml:space="preserve"> assistance by Age UK Sunderland has been helpful in decreasing these risks. </w:t>
      </w:r>
    </w:p>
    <w:p w14:paraId="644774FD" w14:textId="68743319" w:rsidR="00563D4D" w:rsidRDefault="00563D4D" w:rsidP="00563D4D">
      <w:r>
        <w:t>It has been of help that Age UK Sunderland offer the Front Door Service and the appointment of a Living Well Link Worker as appropriate for John</w:t>
      </w:r>
      <w:r w:rsidR="004506A9">
        <w:t xml:space="preserve"> (</w:t>
      </w:r>
      <w:r w:rsidR="004506A9" w:rsidRPr="004506A9">
        <w:t>Carter</w:t>
      </w:r>
      <w:r w:rsidR="004506A9">
        <w:t>, 2021)</w:t>
      </w:r>
      <w:r>
        <w:t xml:space="preserve">. In enabling John </w:t>
      </w:r>
      <w:r w:rsidR="008B00C4">
        <w:t xml:space="preserve">to </w:t>
      </w:r>
      <w:r>
        <w:t xml:space="preserve">attend social activities and providing him with a volunteer to spend time with regularly, Age UK Sunderland has been able </w:t>
      </w:r>
      <w:r w:rsidR="008B00C4">
        <w:t xml:space="preserve">to </w:t>
      </w:r>
      <w:r>
        <w:t xml:space="preserve">erase the feeling of loneliness in John to some extent. Using the Pit Yard Group and the account of his social activities, the degree of socialization and general </w:t>
      </w:r>
      <w:r w:rsidR="008B00C4">
        <w:t>well-being</w:t>
      </w:r>
      <w:r>
        <w:t xml:space="preserve"> shows considerable enhancement. John expressly stated lately he is </w:t>
      </w:r>
      <w:r w:rsidR="008B00C4">
        <w:t xml:space="preserve">a </w:t>
      </w:r>
      <w:r>
        <w:t xml:space="preserve">‘happier man’ and ‘feeling more connected’ as to the notion delivered by a participatory observation, therefore it can be argued that interventions address the feelings of loneliness of elderly people by using the facility and provisions dedicated to them only. Thus, despite numerous threats in John’s case concerning the levels of loneliness and the changes that occurred after his wife’s death, targeted interventions by Age UK Sunderland have reduced the likelihood of the situation’s deterioration. Some of these positive results are likely to diminish as the therapy process comes to an end, thus, the </w:t>
      </w:r>
      <w:r w:rsidR="008B00C4">
        <w:t>implementation</w:t>
      </w:r>
      <w:r>
        <w:t xml:space="preserve"> of follow-up strategies will be crucial for making sure that John becomes and remains steady after losing his parents.</w:t>
      </w:r>
    </w:p>
    <w:p w14:paraId="37AA4267" w14:textId="3E7F0CC6" w:rsidR="006260CB" w:rsidRDefault="006260CB" w:rsidP="004471D3">
      <w:pPr>
        <w:pStyle w:val="Heading2"/>
      </w:pPr>
      <w:bookmarkStart w:id="4" w:name="_Toc170830506"/>
      <w:bookmarkStart w:id="5" w:name="_Toc171087975"/>
      <w:r w:rsidRPr="006260CB">
        <w:t>Health and Social Care Needs of the Individual</w:t>
      </w:r>
      <w:bookmarkEnd w:id="4"/>
      <w:bookmarkEnd w:id="5"/>
    </w:p>
    <w:p w14:paraId="7F0FAFED" w14:textId="45230C83" w:rsidR="008B00C4" w:rsidRDefault="008B00C4" w:rsidP="008B00C4">
      <w:r>
        <w:t>John is an eighty-year-old man and a widower; recently, he lost his wife and due to loneliness and isolation, his health and social needs surfaced. Although John’s situation most concerns social and emotional desire as opposed to the necessity for intense medical intervention, his quality of life can be divided into certain aspects</w:t>
      </w:r>
      <w:r w:rsidR="004506A9">
        <w:t xml:space="preserve"> (</w:t>
      </w:r>
      <w:proofErr w:type="spellStart"/>
      <w:r w:rsidR="004506A9" w:rsidRPr="004506A9">
        <w:t>Tragantzopoulou</w:t>
      </w:r>
      <w:proofErr w:type="spellEnd"/>
      <w:r w:rsidR="004506A9">
        <w:t xml:space="preserve"> </w:t>
      </w:r>
      <w:r w:rsidR="004506A9" w:rsidRPr="004506A9">
        <w:t xml:space="preserve">and </w:t>
      </w:r>
      <w:proofErr w:type="spellStart"/>
      <w:r w:rsidR="004506A9" w:rsidRPr="004506A9">
        <w:t>Giannouli</w:t>
      </w:r>
      <w:proofErr w:type="spellEnd"/>
      <w:r w:rsidR="004506A9">
        <w:t>, 2021)</w:t>
      </w:r>
      <w:r>
        <w:t xml:space="preserve">. First of all, John himself does not have any urgent health issues described in the given case. However, prolonged loneliness and grief after the wife’s death may lead him to develop mental health-related problems such as depression and anxiety. These mental health disorders are important as they may greatly affect His quality of life as well as his ability to deal with activities of daily living. The fact that John is suffering from the described issues clearly indicates that his need for support and interventions by Age UK Sunderland must be constant in order to avoid the deterioration of the mentioned problems. </w:t>
      </w:r>
    </w:p>
    <w:p w14:paraId="3FAC68ED" w14:textId="379E71AC" w:rsidR="008B00C4" w:rsidRDefault="008B00C4" w:rsidP="008B00C4">
      <w:r>
        <w:t xml:space="preserve">Regarding the aspect of self-preservation, John’s strength and interaction with basic needs such as hygiene and dressing are not highlighted in the case study. But, the emotional consequences of such a loss and loneliness might influence, negatively, his motivation, or capacity to perform basic tasks, such as personal grooming. Caring for the caregivers or volunteers apart from the periods of observations can alert John not to miss these basic personal care requirements. There is no suggestive alibi in this case that John is unable to mobilize on his own and therefore, he does not need assistance </w:t>
      </w:r>
      <w:r w:rsidR="00827E5A">
        <w:t>with</w:t>
      </w:r>
      <w:r>
        <w:t xml:space="preserve"> issues to do with his mobility</w:t>
      </w:r>
      <w:r w:rsidR="00827E5A">
        <w:t xml:space="preserve"> (NAP, 2020)</w:t>
      </w:r>
      <w:r>
        <w:t xml:space="preserve">. Nevertheless, attaining physical exercise through the support of social relations and group participation, which Age UK Sunderland supports, may prove helpful in enhancing the man’s mobility and general health. Evidently, the major social need John has is social relationships since he lost his wife and evidently was deprived of company. These social needs have been met through Age UK Sunderland’s interventions in ensuring that John was referred to a Living Well Link Worker, a Friendly Faces volunteer, and the Pit Yard Group. These programs have not only reduced the aspect of loneliness in John’s life but also improved his participation in communal activities which can be considered as crucial parts of successful aging. </w:t>
      </w:r>
    </w:p>
    <w:p w14:paraId="5442269C" w14:textId="6F6B1A81" w:rsidR="008B00C4" w:rsidRDefault="008B00C4" w:rsidP="008B00C4">
      <w:r>
        <w:t>In conclusion, it is evident that John does not fall into the category of requiring urgent medical attention or the need for help with their needful activities and movement respectively as a result of physical disability or impaired functionality; however, the major facets of health and social care for John include loneliness, assuring his psychological well-being and involvement in social relations</w:t>
      </w:r>
      <w:r w:rsidR="00F40163">
        <w:t xml:space="preserve"> (</w:t>
      </w:r>
      <w:r w:rsidR="00F40163" w:rsidRPr="00F40163">
        <w:t>Jovicic and McPherson</w:t>
      </w:r>
      <w:r w:rsidR="00F40163">
        <w:t>, 2020)</w:t>
      </w:r>
      <w:r>
        <w:t xml:space="preserve">. If Age UK Sunderland’s support ceases and his psychological state is not monitored afterward, it would be crucial to maintain the changes John has undergone and guarantee his quality of life without his wife. </w:t>
      </w:r>
    </w:p>
    <w:p w14:paraId="05CBA0BF" w14:textId="6B0EF71A" w:rsidR="006260CB" w:rsidRDefault="006260CB" w:rsidP="004471D3">
      <w:pPr>
        <w:pStyle w:val="Heading2"/>
      </w:pPr>
      <w:bookmarkStart w:id="6" w:name="_Toc170830507"/>
      <w:bookmarkStart w:id="7" w:name="_Toc171087976"/>
      <w:r w:rsidRPr="006260CB">
        <w:t>What relevant support and intervention does your individual need?</w:t>
      </w:r>
      <w:bookmarkEnd w:id="6"/>
      <w:bookmarkEnd w:id="7"/>
    </w:p>
    <w:p w14:paraId="1AF2D39A" w14:textId="4515FE39" w:rsidR="008B00C4" w:rsidRDefault="008B00C4" w:rsidP="008B00C4">
      <w:r>
        <w:t xml:space="preserve">John’s situation underlines the importance of identifying patient-specific resources and appropriate intervention to tackle the stalwart loneliness and the psychological consequences of widowhood. Thus, as far as the question of domiciliary or nursing care is concerned, John does not fit within this frame, according to the information provided In turn, he receives crucial assistance from Age UK Sunderland and other third-sector </w:t>
      </w:r>
      <w:r w:rsidR="00763304">
        <w:t>organizations</w:t>
      </w:r>
      <w:r>
        <w:t xml:space="preserve"> in the form of a range of services aimed at preserving an individual’s wellbeing</w:t>
      </w:r>
      <w:r w:rsidR="00827E5A">
        <w:t xml:space="preserve"> (</w:t>
      </w:r>
      <w:r w:rsidR="00827E5A" w:rsidRPr="00827E5A">
        <w:t>Eccles and Qualter</w:t>
      </w:r>
      <w:r w:rsidR="00827E5A">
        <w:t>, 2021)</w:t>
      </w:r>
      <w:r>
        <w:t xml:space="preserve">. First of all, John needs constant care in terms of </w:t>
      </w:r>
      <w:r w:rsidR="00763304">
        <w:t>his</w:t>
      </w:r>
      <w:r>
        <w:t xml:space="preserve"> psychological state due to the loss of a wife and, therefore, feels lonely. Sunderland’s Aging Well has benefited from a Living Well Link Worker and continued conversations with a Friendly Faces volunteer. These people can provide John with affection, someone to talk to</w:t>
      </w:r>
      <w:r w:rsidR="00763304">
        <w:t>,</w:t>
      </w:r>
      <w:r>
        <w:t xml:space="preserve"> and instances of getting out of the home which are all important in helping to solve John’s loneliness issue and enhance his emotional health. This support is </w:t>
      </w:r>
      <w:proofErr w:type="spellStart"/>
      <w:r w:rsidR="00763304">
        <w:t>person-centered</w:t>
      </w:r>
      <w:proofErr w:type="spellEnd"/>
      <w:r>
        <w:t xml:space="preserve"> because Carey identifies what John likes to do and what makes him happy and </w:t>
      </w:r>
      <w:r w:rsidR="00763304">
        <w:t>organizes</w:t>
      </w:r>
      <w:r>
        <w:t xml:space="preserve"> his schedule and interaction with him to be geared towards such activities. Also, advocacy could help John in a way by giving him the power </w:t>
      </w:r>
      <w:r w:rsidR="00763304">
        <w:t>to</w:t>
      </w:r>
      <w:r>
        <w:t xml:space="preserve"> </w:t>
      </w:r>
      <w:r w:rsidR="00763304">
        <w:t>participate</w:t>
      </w:r>
      <w:r>
        <w:t xml:space="preserve"> in related decisions about his own care. The mentioned advocacy services could help John with such issues as legal and policy navigation in healthcare entities as well as with regard to entitlements; advocating for John’s choice regarding social and community activities. </w:t>
      </w:r>
    </w:p>
    <w:p w14:paraId="3E72FE4A" w14:textId="2D78ACCA" w:rsidR="008B00C4" w:rsidRDefault="008B00C4" w:rsidP="008B00C4">
      <w:r>
        <w:t xml:space="preserve">However, John is currently in touch with Age UK Sunderland </w:t>
      </w:r>
      <w:r w:rsidR="00763304">
        <w:t>which</w:t>
      </w:r>
      <w:r>
        <w:t xml:space="preserve"> provides adequate support to him, although such services may not be easily accessible hence competition rises to meet the high demand with innovative service delivery as the elderly population increases. Hence, the social need and supply </w:t>
      </w:r>
      <w:r w:rsidR="00763304">
        <w:t xml:space="preserve">are </w:t>
      </w:r>
      <w:r>
        <w:t xml:space="preserve">never </w:t>
      </w:r>
      <w:r w:rsidR="00763304">
        <w:t>met,</w:t>
      </w:r>
      <w:r>
        <w:t xml:space="preserve"> this is why investment in </w:t>
      </w:r>
      <w:r w:rsidR="00763304">
        <w:t>community-based</w:t>
      </w:r>
      <w:r>
        <w:t xml:space="preserve"> services and programs should not be stopped</w:t>
      </w:r>
      <w:r w:rsidR="006456A8">
        <w:t xml:space="preserve"> (</w:t>
      </w:r>
      <w:r w:rsidR="006456A8" w:rsidRPr="006456A8">
        <w:t>Käll</w:t>
      </w:r>
      <w:r w:rsidR="006456A8">
        <w:t xml:space="preserve"> </w:t>
      </w:r>
      <w:r w:rsidR="006456A8" w:rsidRPr="006456A8">
        <w:rPr>
          <w:i/>
          <w:iCs/>
        </w:rPr>
        <w:t>et al</w:t>
      </w:r>
      <w:r w:rsidR="006456A8">
        <w:t>., 2020)</w:t>
      </w:r>
      <w:r>
        <w:t xml:space="preserve">. Future provision should ensure that it has plans to cover these gaps so that the elderly persons as in the case of John should be supported in the best possible way to improve their </w:t>
      </w:r>
      <w:r w:rsidR="00763304">
        <w:t>living</w:t>
      </w:r>
      <w:r>
        <w:t xml:space="preserve"> standards. To message the future, constant funding for organizations in the third sector and cooperative relationships between health and social care departments are the ways to close these gaps. Through increased collaboration in the provision of services to seniors, the challenges often experienced as the demography evolves can be well solved. Besides, it enhances the protection aspects as well as the quality of life of all the aging members, therefore increasing the sustainability and diversity of the communities. </w:t>
      </w:r>
    </w:p>
    <w:p w14:paraId="093583B1" w14:textId="78A0DF23" w:rsidR="008B00C4" w:rsidRPr="008B00C4" w:rsidRDefault="008B00C4" w:rsidP="008B00C4">
      <w:r>
        <w:t>Therefore, the findings show that although John does not need medical or intensive care services, he needs significant social and emotional care because loneliness and grief have adverse impacts on the patient</w:t>
      </w:r>
      <w:r w:rsidR="006A05B3">
        <w:t xml:space="preserve"> (</w:t>
      </w:r>
      <w:proofErr w:type="spellStart"/>
      <w:r w:rsidR="006A05B3" w:rsidRPr="006A05B3">
        <w:t>Bessaha</w:t>
      </w:r>
      <w:proofErr w:type="spellEnd"/>
      <w:r w:rsidR="006A05B3">
        <w:t xml:space="preserve"> </w:t>
      </w:r>
      <w:r w:rsidR="006A05B3" w:rsidRPr="006A05B3">
        <w:rPr>
          <w:i/>
          <w:iCs/>
        </w:rPr>
        <w:t>et al</w:t>
      </w:r>
      <w:r w:rsidR="006A05B3">
        <w:t>., 2020)</w:t>
      </w:r>
      <w:r>
        <w:t xml:space="preserve">. The topicality of the service that is offered to John by Age UK Sunderland, as well as a potential advocacy service, is the </w:t>
      </w:r>
      <w:proofErr w:type="spellStart"/>
      <w:r>
        <w:t>person-centered</w:t>
      </w:r>
      <w:proofErr w:type="spellEnd"/>
      <w:r>
        <w:t xml:space="preserve"> systematic support. </w:t>
      </w:r>
    </w:p>
    <w:p w14:paraId="56A9AEBE" w14:textId="3D307214" w:rsidR="006260CB" w:rsidRDefault="006260CB" w:rsidP="004471D3">
      <w:pPr>
        <w:pStyle w:val="Heading2"/>
      </w:pPr>
      <w:bookmarkStart w:id="8" w:name="_Toc170830508"/>
      <w:bookmarkStart w:id="9" w:name="_Toc171087977"/>
      <w:r w:rsidRPr="006260CB">
        <w:t>Relevant Policy and Legislation</w:t>
      </w:r>
      <w:bookmarkEnd w:id="8"/>
      <w:bookmarkEnd w:id="9"/>
    </w:p>
    <w:p w14:paraId="371DD875" w14:textId="40D0644A" w:rsidR="00763304" w:rsidRDefault="00763304" w:rsidP="00763304">
      <w:r>
        <w:t>In the case of John from Sunderland, 80 years old, widower, with chronic loneliness after the death of his wife, it is important to have a closer look at the policy/legislative regimes pertaining to older persons using H&amp;SC services in the UK with the specific focus on the Care Act 2014. The Empowerment Act of the year 2014 is a core piece of legislation in England that provides for the duties of local governments in relation to the care and support of adults</w:t>
      </w:r>
      <w:r w:rsidR="001269FB">
        <w:t xml:space="preserve"> (</w:t>
      </w:r>
      <w:r w:rsidR="001269FB" w:rsidRPr="001269FB">
        <w:t>Shannon and O’Leary</w:t>
      </w:r>
      <w:r w:rsidR="001269FB">
        <w:t>, 2020)</w:t>
      </w:r>
      <w:r>
        <w:t xml:space="preserve">. These are the principles of the oppression free, care Act; being </w:t>
      </w:r>
      <w:proofErr w:type="spellStart"/>
      <w:r>
        <w:t>person-centered</w:t>
      </w:r>
      <w:proofErr w:type="spellEnd"/>
      <w:r>
        <w:t xml:space="preserve"> care, preventive concern, teamed care, and people shaping their care. All these principles resonate with the case of John because they focus on eradicating loneliness, and social isolation, and increasing the quality of life of elderly people. The responsibility to prevent the circumstance from arising is one of the features of the Care Act 2014 that cannot be overlooked. This principle is clearly identified in John’s case with Age UK Sunderland’s Front Door Service</w:t>
      </w:r>
      <w:r w:rsidR="001269FB">
        <w:t xml:space="preserve"> (</w:t>
      </w:r>
      <w:r w:rsidR="001269FB" w:rsidRPr="000C6A45">
        <w:t>Kangasniemi</w:t>
      </w:r>
      <w:r w:rsidR="001269FB">
        <w:t xml:space="preserve"> </w:t>
      </w:r>
      <w:r w:rsidR="001269FB" w:rsidRPr="000C6A45">
        <w:rPr>
          <w:i/>
          <w:iCs/>
        </w:rPr>
        <w:t>et al</w:t>
      </w:r>
      <w:r w:rsidR="001269FB">
        <w:t>., 2022)</w:t>
      </w:r>
      <w:r>
        <w:t xml:space="preserve">. Although John did not go to seek assistance for loneliness, he enrolled in a bereavement service and this later brought him to Age UK Sunderland. The Front Door Living Well Link Worker engaged with John early on and undertook an initial needs evaluation before linking the patient to community support in the form of the Friendly Faces volunteer and social groups including the Pit Yard Group. Besides alleviating John’s loneliness at that particular time, it also offered preventive measures to further loss of mental and emotional stability. </w:t>
      </w:r>
    </w:p>
    <w:p w14:paraId="7910D18D" w14:textId="5D2E98B7" w:rsidR="004471D3" w:rsidRPr="00760BA3" w:rsidRDefault="00763304" w:rsidP="00760BA3">
      <w:r>
        <w:t>In addition, According to the Care Act 2014, it is the responsibility of the Local Authorities to support older persons and carers to achieve their maximum potential. The emotional upgrades, which result in John’s engagement within his community, and the overcoming of loneliness through social relatedness as facilitated by Age UK Sunderland can all speak to the manner in which his quality of life has been enhanced</w:t>
      </w:r>
      <w:r w:rsidR="001269FB">
        <w:t xml:space="preserve"> (</w:t>
      </w:r>
      <w:r w:rsidR="001269FB" w:rsidRPr="001269FB">
        <w:t>Hunter</w:t>
      </w:r>
      <w:r w:rsidR="001269FB">
        <w:t xml:space="preserve"> </w:t>
      </w:r>
      <w:r w:rsidR="001269FB" w:rsidRPr="001269FB">
        <w:rPr>
          <w:i/>
          <w:iCs/>
        </w:rPr>
        <w:t>et al</w:t>
      </w:r>
      <w:r w:rsidR="001269FB">
        <w:t>., 2020)</w:t>
      </w:r>
      <w:r>
        <w:t>. Mingling in social-related activities and also receiving regular phone calls has helped John attain purpose and interpersonal relationships components which are vital towards individual health. One of the most important requirements for fulfilling the principles and objectives of the Care Act 2014 is the procedure that is carried out regarding the personalization of care and support planning for services. Initially, the Living Well Link Worker considered John’s voiced complaint and his choice of preferred activity, thus, appropriate interventions were found</w:t>
      </w:r>
      <w:r w:rsidR="00760BA3">
        <w:t xml:space="preserve"> (</w:t>
      </w:r>
      <w:r w:rsidR="00760BA3" w:rsidRPr="001269FB">
        <w:t xml:space="preserve">Idriss, Allen and </w:t>
      </w:r>
      <w:proofErr w:type="spellStart"/>
      <w:r w:rsidR="00760BA3" w:rsidRPr="001269FB">
        <w:t>Alderwick</w:t>
      </w:r>
      <w:proofErr w:type="spellEnd"/>
      <w:r w:rsidR="00760BA3">
        <w:t>, 2020)</w:t>
      </w:r>
      <w:r>
        <w:t>.</w:t>
      </w:r>
      <w:r w:rsidR="004471D3">
        <w:br w:type="page"/>
      </w:r>
    </w:p>
    <w:p w14:paraId="18F84C8A" w14:textId="6467D381" w:rsidR="00996553" w:rsidRDefault="00996553" w:rsidP="00C24B09">
      <w:pPr>
        <w:pStyle w:val="Heading1"/>
      </w:pPr>
      <w:bookmarkStart w:id="10" w:name="_Toc171087978"/>
      <w:bookmarkStart w:id="11" w:name="_Toc170830509"/>
      <w:r>
        <w:t>Theory</w:t>
      </w:r>
      <w:bookmarkEnd w:id="10"/>
      <w:r w:rsidR="00937182">
        <w:t xml:space="preserve"> </w:t>
      </w:r>
      <w:bookmarkEnd w:id="11"/>
    </w:p>
    <w:p w14:paraId="54BB9710" w14:textId="77777777" w:rsidR="00BA51CE" w:rsidRDefault="00BA51CE" w:rsidP="00BA51CE">
      <w:r>
        <w:t xml:space="preserve">The </w:t>
      </w:r>
      <w:r w:rsidRPr="0029155B">
        <w:rPr>
          <w:b/>
          <w:bCs/>
          <w:i/>
          <w:iCs/>
        </w:rPr>
        <w:t>activity theory</w:t>
      </w:r>
      <w:r>
        <w:t xml:space="preserve"> is the theory based on the psychological state of an individual that describes their situations in personal and social life that encourage satisfaction and happiness when people experience a variety of challenges (Burkitt, 2021). These challenges could be physical, emotional, and social. In the case of John who is 80 years 80-year-old person from Sunderland became widowed after the death of his wife which was emotionally challenging for him. The activity theory is also known as the lay theory of aging or the implicit theory of aging. According to the activity theory preserving is more aligned to positive aging in adults which may include the attitude and activities that one uses to keep during middle age (Burkitt, 2021). The theory states that when older people choose to remain active while aging by maintaining their social relationships and embracing their positive roles in the community, they are more likely to age happily and successfully (Russell, 2024). These include participating in community group activities or volunteering. When Mr., John lost his wife instead of being disengaged from the community and isolating himself, he chose to stay active and connected socially. </w:t>
      </w:r>
    </w:p>
    <w:p w14:paraId="3B9F2764" w14:textId="4834F917" w:rsidR="00BA51CE" w:rsidRDefault="00BA51CE" w:rsidP="00BA51CE">
      <w:r>
        <w:t xml:space="preserve">The study suggests that when someone, specifically an older adult can easily adjust and accept the loss of their soulmate when they engage in the activities. They find better coping techniques for the grief in less stressful ways and more seamlessly (Himango, 2022). This theory of activity in the case of </w:t>
      </w:r>
      <w:r w:rsidR="0029155B">
        <w:t>ageing</w:t>
      </w:r>
      <w:r>
        <w:t xml:space="preserve"> people explains how individuals accept the changing situation typically related to </w:t>
      </w:r>
      <w:r w:rsidR="0029155B">
        <w:t>ageing</w:t>
      </w:r>
      <w:r>
        <w:t xml:space="preserve"> and foresee whether it is contributing to the successful </w:t>
      </w:r>
      <w:r w:rsidR="0029155B">
        <w:t>ageing</w:t>
      </w:r>
      <w:r>
        <w:t xml:space="preserve"> journey. The process of bereavement encompasses dramatic changes in the person’s connections and life experiences after the death of a spouse which the person ought to accept and continue aging successfully (Russell, 2024). </w:t>
      </w:r>
    </w:p>
    <w:p w14:paraId="63B6F45A" w14:textId="77777777" w:rsidR="00BA51CE" w:rsidRDefault="00BA51CE" w:rsidP="00BA51CE">
      <w:r>
        <w:t>When the journey of John is described through the implementation of this activity theory it shows a significant effect on his social as well as personal life. When John started engaging in the significant changes in the way of living after the death of his spouse there were profound changes observed in his emotional, social, and psychological well-being. Initially, he was suffering from loneliness due to a feeling of lacking companionship which made him isolate himself from social activities which eventually impacted his everyday living. Though there were so many challenges John decided to actively restart his journey towards aging and started seeking opportunities for reengaging in the social interactions. He started taking trips to be among people which was even facilitated by the Living Well Link Worker by improving his access to social engagement resources.</w:t>
      </w:r>
    </w:p>
    <w:p w14:paraId="22BE93EE" w14:textId="7CC91667" w:rsidR="004471D3" w:rsidRDefault="00BA51CE" w:rsidP="00BA51CE">
      <w:pPr>
        <w:rPr>
          <w:rFonts w:eastAsiaTheme="majorEastAsia" w:cstheme="majorBidi"/>
          <w:b/>
          <w:sz w:val="28"/>
          <w:szCs w:val="32"/>
        </w:rPr>
      </w:pPr>
      <w:r>
        <w:t>With the support he received from Age UK Sunderland, he started engaging in new activities which helped him to enhance his social activities, express his emotions, and stay happy.  These things helped him to cope with the grief and come out of loneliness. When John expressed his gratitude for the support he received from this service saying that he is feeling very happy and motivated to live further life. He started feeling positive changes when he connected with the benefits and support of the service. Previously he had limited connections and sources of happiness however his expression showed that he got new sources of happiness and motivation which resulted in successful aging. Overall, this experience of John highlights the significant influence of activity in older people’s lives particularly those who are suffering from grief of losing a loved one.</w:t>
      </w:r>
      <w:r w:rsidR="004471D3">
        <w:br w:type="page"/>
      </w:r>
    </w:p>
    <w:p w14:paraId="0A1A119C" w14:textId="5233A7F0" w:rsidR="00C24B09" w:rsidRDefault="00C24B09" w:rsidP="00C24B09">
      <w:pPr>
        <w:pStyle w:val="Heading1"/>
      </w:pPr>
      <w:bookmarkStart w:id="12" w:name="_Toc170830510"/>
      <w:bookmarkStart w:id="13" w:name="_Toc171087979"/>
      <w:r>
        <w:t>Conclusion</w:t>
      </w:r>
      <w:bookmarkEnd w:id="12"/>
      <w:bookmarkEnd w:id="13"/>
    </w:p>
    <w:p w14:paraId="7FF3C205" w14:textId="77777777" w:rsidR="0029155B" w:rsidRDefault="00763304" w:rsidP="004471D3">
      <w:r>
        <w:t>Therefore, examining the story of John one can understand that residing in loneliness and isolation puts the elderly people at risk</w:t>
      </w:r>
      <w:r w:rsidR="006D0EFE">
        <w:t>,</w:t>
      </w:r>
      <w:r>
        <w:t xml:space="preserve"> and ever-worsening bereavement situations can lead to critical outcomes. Having lost companionship, John suffered major emotional and social deterioration, as his life prior to that was focused on forming a family. Sadly, the depressed boy was left alone without any social interaction and it turned out that he had great difficulty solving routine tasks and needed people around. Approaching Age UK Sunderland Front Door Service helped to solve the problem of John’s health and social care. The physical company of the Living Well Link Worker and the Friendly Faces volunteer helped decrease the extent of his loneliness significantly. John being their client; they were able to offer him social-related activities befitting his choices hence providing him or a purpose and a feeling of belonging.</w:t>
      </w:r>
    </w:p>
    <w:p w14:paraId="0D7D006C" w14:textId="1C6C4084" w:rsidR="00763304" w:rsidRPr="00763304" w:rsidRDefault="004471D3" w:rsidP="004471D3">
      <w:r>
        <w:t>The weekly Pit Yard Group &amp; local social, activities at the Hetton New Dawn and SHARP contributed much in the rehabilitating of John into the community. The specific treatments also helped to reduce John’s loneliness and increase his holistic level of happiness as well as perceived quality of life. This can be seen from John’s statement were he briefly noted how grateful he is to have a social life he never thought he would have. This case underlines the significance of individual and local approaches for elders’ support and successful aging and better quality of their lives.</w:t>
      </w:r>
    </w:p>
    <w:p w14:paraId="122F0111" w14:textId="54EC0C7E" w:rsidR="004471D3" w:rsidRDefault="004471D3">
      <w:pPr>
        <w:spacing w:line="259" w:lineRule="auto"/>
        <w:jc w:val="left"/>
        <w:rPr>
          <w:rFonts w:eastAsiaTheme="majorEastAsia" w:cstheme="majorBidi"/>
          <w:b/>
          <w:sz w:val="28"/>
          <w:szCs w:val="32"/>
        </w:rPr>
      </w:pPr>
      <w:r>
        <w:br w:type="page"/>
      </w:r>
    </w:p>
    <w:p w14:paraId="60A1FD92" w14:textId="184748F1" w:rsidR="004471D3" w:rsidRDefault="004471D3" w:rsidP="00C24B09">
      <w:pPr>
        <w:pStyle w:val="Heading1"/>
      </w:pPr>
      <w:bookmarkStart w:id="14" w:name="_Toc171087980"/>
      <w:bookmarkStart w:id="15" w:name="_Toc170830511"/>
      <w:r>
        <w:t>Recommendation</w:t>
      </w:r>
      <w:bookmarkEnd w:id="14"/>
      <w:r>
        <w:t xml:space="preserve"> </w:t>
      </w:r>
      <w:bookmarkEnd w:id="15"/>
    </w:p>
    <w:p w14:paraId="515B7346" w14:textId="77777777" w:rsidR="0029155B" w:rsidRDefault="00BA51CE" w:rsidP="00BA51CE">
      <w:r>
        <w:t>In the future, there are chances that John may face difficulties and resistance through multiple factors which can lead to his disengagement from the services leading to reduced social engagement. One of the difficulties could be his access to the travelling service which can affect his participation in the community activities. Interventions such as local transportation services only for older people or the participants of the activity can help in maintaining his regular participation (</w:t>
      </w:r>
      <w:proofErr w:type="spellStart"/>
      <w:r w:rsidRPr="00074291">
        <w:t>Aroogh</w:t>
      </w:r>
      <w:proofErr w:type="spellEnd"/>
      <w:r>
        <w:t xml:space="preserve"> </w:t>
      </w:r>
      <w:r w:rsidRPr="00074291">
        <w:t xml:space="preserve">and </w:t>
      </w:r>
      <w:proofErr w:type="spellStart"/>
      <w:r w:rsidRPr="00074291">
        <w:t>Shahboulaghi</w:t>
      </w:r>
      <w:proofErr w:type="spellEnd"/>
      <w:r>
        <w:t xml:space="preserve">, </w:t>
      </w:r>
      <w:r w:rsidRPr="00074291">
        <w:t>2020</w:t>
      </w:r>
      <w:r>
        <w:t xml:space="preserve">). The supporting services can help John by introducing new technologies that may ease the communication of John with everyone. This may also help in improving his social interaction. </w:t>
      </w:r>
    </w:p>
    <w:p w14:paraId="491BC098" w14:textId="401DC6AB" w:rsidR="00BA51CE" w:rsidRDefault="00BA51CE" w:rsidP="00BA51CE">
      <w:r>
        <w:t>John should be involved in social and environmental activities regularly and should not neglect to enhance his happiness through networking. This can help him to make new connections, and friendships, and coordinate supportive bonding with others (</w:t>
      </w:r>
      <w:proofErr w:type="spellStart"/>
      <w:r w:rsidRPr="00074291">
        <w:t>Aroogh</w:t>
      </w:r>
      <w:proofErr w:type="spellEnd"/>
      <w:r>
        <w:t xml:space="preserve"> </w:t>
      </w:r>
      <w:r w:rsidRPr="00074291">
        <w:t xml:space="preserve">and </w:t>
      </w:r>
      <w:proofErr w:type="spellStart"/>
      <w:r w:rsidRPr="00074291">
        <w:t>Shahboulaghi</w:t>
      </w:r>
      <w:proofErr w:type="spellEnd"/>
      <w:r>
        <w:t xml:space="preserve">, </w:t>
      </w:r>
      <w:r w:rsidRPr="00074291">
        <w:t>2020</w:t>
      </w:r>
      <w:r>
        <w:t xml:space="preserve">). John expressed positive results and his feeling about the services that are effective indicates that more tailored and holistic strategies can help him more in the further journey of his life. The intervention that services are implementing his support should be regularly updated according to the changing needs of John. Services should explore his needs and potential barriers coming his way to access the service which could be emotional, psychological, or physical </w:t>
      </w:r>
      <w:r>
        <w:rPr>
          <w:lang w:val="en-US"/>
        </w:rPr>
        <w:t>(</w:t>
      </w:r>
      <w:r w:rsidRPr="00074291">
        <w:t>Travers</w:t>
      </w:r>
      <w:r>
        <w:t xml:space="preserve"> </w:t>
      </w:r>
      <w:r w:rsidRPr="00074291">
        <w:rPr>
          <w:i/>
        </w:rPr>
        <w:t>et al</w:t>
      </w:r>
      <w:r>
        <w:t>., 2020</w:t>
      </w:r>
      <w:r>
        <w:rPr>
          <w:lang w:val="en-US"/>
        </w:rPr>
        <w:t>)</w:t>
      </w:r>
      <w:r>
        <w:t>.</w:t>
      </w:r>
    </w:p>
    <w:p w14:paraId="48B85B83" w14:textId="77777777" w:rsidR="00BA51CE" w:rsidRDefault="00BA51CE" w:rsidP="00BA51CE">
      <w:r>
        <w:t>The Age UK Sunderland can implement the holistic method by considering his current support strategies and suggestive obstacles in the way. They must ensure all the volunteers working for not only John but also all older people should behave ethically. They should have respect for them and help them with happiness. This will be helpful in marinating trustworthiness and giving a sense of companionship to everyone. When workers keep their attitude positive for older people this will prevent them from getting through of isolating themselves (</w:t>
      </w:r>
      <w:r w:rsidRPr="00074291">
        <w:t>Kim</w:t>
      </w:r>
      <w:r>
        <w:t xml:space="preserve"> </w:t>
      </w:r>
      <w:r w:rsidRPr="00074291">
        <w:rPr>
          <w:i/>
        </w:rPr>
        <w:t>et al.,</w:t>
      </w:r>
      <w:r>
        <w:t xml:space="preserve"> 2020).</w:t>
      </w:r>
    </w:p>
    <w:p w14:paraId="639B97B0" w14:textId="77777777" w:rsidR="00BA51CE" w:rsidRDefault="00BA51CE" w:rsidP="00BA51CE">
      <w:r>
        <w:t>Organizing workshops or spiritual sessions for older people can help them stay positive in their lives and keep their mental peace alive. Also, another method to support them is organizing health monitoring sessions to regularly conduct health check-ups and screening for risk factors (</w:t>
      </w:r>
      <w:proofErr w:type="spellStart"/>
      <w:r w:rsidRPr="00074291">
        <w:t>Juthavantana</w:t>
      </w:r>
      <w:proofErr w:type="spellEnd"/>
      <w:r>
        <w:t xml:space="preserve"> </w:t>
      </w:r>
      <w:r w:rsidRPr="00755D62">
        <w:rPr>
          <w:i/>
        </w:rPr>
        <w:t>et al</w:t>
      </w:r>
      <w:r>
        <w:t xml:space="preserve">., 2021). Providing him </w:t>
      </w:r>
      <w:proofErr w:type="spellStart"/>
      <w:r>
        <w:t>counseling</w:t>
      </w:r>
      <w:proofErr w:type="spellEnd"/>
      <w:r>
        <w:t xml:space="preserve"> on his health and appreciating his willingness to participate in social activities regularly is essential to keep him engaged during successful aging.</w:t>
      </w:r>
    </w:p>
    <w:p w14:paraId="5C3D93EC" w14:textId="77777777" w:rsidR="004471D3" w:rsidRDefault="004471D3">
      <w:pPr>
        <w:spacing w:line="259" w:lineRule="auto"/>
        <w:jc w:val="left"/>
        <w:rPr>
          <w:rFonts w:eastAsiaTheme="majorEastAsia" w:cstheme="majorBidi"/>
          <w:b/>
          <w:sz w:val="28"/>
          <w:szCs w:val="32"/>
        </w:rPr>
      </w:pPr>
      <w:r>
        <w:br w:type="page"/>
      </w:r>
    </w:p>
    <w:p w14:paraId="7C5C1B65" w14:textId="4189BDA7" w:rsidR="00C24B09" w:rsidRDefault="00C24B09" w:rsidP="00C24B09">
      <w:pPr>
        <w:pStyle w:val="Heading1"/>
      </w:pPr>
      <w:bookmarkStart w:id="16" w:name="_Toc170830512"/>
      <w:bookmarkStart w:id="17" w:name="_Toc171087981"/>
      <w:r>
        <w:t>Reference</w:t>
      </w:r>
      <w:bookmarkEnd w:id="16"/>
      <w:bookmarkEnd w:id="17"/>
    </w:p>
    <w:p w14:paraId="0EBF3BDC" w14:textId="54E325A3" w:rsidR="006E099F" w:rsidRDefault="006E099F" w:rsidP="006E099F">
      <w:pPr>
        <w:ind w:left="720" w:hanging="720"/>
      </w:pPr>
      <w:proofErr w:type="spellStart"/>
      <w:r>
        <w:t>Aroogh</w:t>
      </w:r>
      <w:proofErr w:type="spellEnd"/>
      <w:r>
        <w:t xml:space="preserve">, M.D. and </w:t>
      </w:r>
      <w:proofErr w:type="spellStart"/>
      <w:r>
        <w:t>Shahboulaghi</w:t>
      </w:r>
      <w:proofErr w:type="spellEnd"/>
      <w:r>
        <w:t xml:space="preserve">, F.M., </w:t>
      </w:r>
      <w:r w:rsidR="00C73D07">
        <w:t>(</w:t>
      </w:r>
      <w:r>
        <w:t>2020</w:t>
      </w:r>
      <w:r w:rsidR="00C73D07">
        <w:t>)</w:t>
      </w:r>
      <w:r>
        <w:t xml:space="preserve">. Social participation of older adults: A concept analysis. International journal of community based nursing and midwifery, 8(1), p.55. </w:t>
      </w:r>
    </w:p>
    <w:p w14:paraId="59681B85" w14:textId="77777777" w:rsidR="006E099F" w:rsidRDefault="006E099F" w:rsidP="006E099F">
      <w:pPr>
        <w:ind w:left="720" w:hanging="720"/>
      </w:pPr>
      <w:proofErr w:type="spellStart"/>
      <w:r w:rsidRPr="006A05B3">
        <w:t>Bessaha</w:t>
      </w:r>
      <w:proofErr w:type="spellEnd"/>
      <w:r w:rsidRPr="006A05B3">
        <w:t xml:space="preserve">, M.L., Sabbath, E.L., Morris, Z., Malik, S., Scheinfeld, L. and </w:t>
      </w:r>
      <w:proofErr w:type="spellStart"/>
      <w:r w:rsidRPr="006A05B3">
        <w:t>Saragossi</w:t>
      </w:r>
      <w:proofErr w:type="spellEnd"/>
      <w:r w:rsidRPr="006A05B3">
        <w:t xml:space="preserve">, J., </w:t>
      </w:r>
      <w:r>
        <w:t>(</w:t>
      </w:r>
      <w:r w:rsidRPr="006A05B3">
        <w:t>2020</w:t>
      </w:r>
      <w:r>
        <w:t>)</w:t>
      </w:r>
      <w:r w:rsidRPr="006A05B3">
        <w:t>. A systematic review of loneliness interventions among non-elderly adults. Clinical Social Work Journal, 48(1), pp.110-125.</w:t>
      </w:r>
    </w:p>
    <w:p w14:paraId="09F4AACA" w14:textId="74AA18CC" w:rsidR="006E099F" w:rsidRDefault="006E099F" w:rsidP="006E099F">
      <w:pPr>
        <w:ind w:left="720" w:hanging="720"/>
      </w:pPr>
      <w:r>
        <w:t xml:space="preserve">Burkitt, I., </w:t>
      </w:r>
      <w:r w:rsidR="00C73D07">
        <w:t>(</w:t>
      </w:r>
      <w:r>
        <w:t>2021</w:t>
      </w:r>
      <w:r w:rsidR="00C73D07">
        <w:t>)</w:t>
      </w:r>
      <w:r>
        <w:t xml:space="preserve">. The emotions in cultural-historical activity theory: Personality, emotion and motivation in social relations and activity. Integrative Psychological and </w:t>
      </w:r>
      <w:proofErr w:type="spellStart"/>
      <w:r>
        <w:t>Behavioral</w:t>
      </w:r>
      <w:proofErr w:type="spellEnd"/>
      <w:r>
        <w:t xml:space="preserve"> Science, 55(4), pp.797-820.</w:t>
      </w:r>
    </w:p>
    <w:p w14:paraId="0A48C953" w14:textId="77777777" w:rsidR="006E099F" w:rsidRDefault="006E099F" w:rsidP="006E099F">
      <w:pPr>
        <w:ind w:left="720" w:hanging="720"/>
      </w:pPr>
      <w:r w:rsidRPr="004506A9">
        <w:t xml:space="preserve">Carter, J., </w:t>
      </w:r>
      <w:r>
        <w:t>(</w:t>
      </w:r>
      <w:r w:rsidRPr="004506A9">
        <w:t>2021</w:t>
      </w:r>
      <w:r>
        <w:t>)</w:t>
      </w:r>
      <w:r w:rsidRPr="004506A9">
        <w:t>. The elderly. In Day Services for Adults (pp. 22-43). Routledge.</w:t>
      </w:r>
    </w:p>
    <w:p w14:paraId="256022A3" w14:textId="77777777" w:rsidR="006E099F" w:rsidRDefault="006E099F" w:rsidP="006E099F">
      <w:pPr>
        <w:ind w:left="720" w:hanging="720"/>
      </w:pPr>
      <w:r w:rsidRPr="00827E5A">
        <w:t xml:space="preserve">Eccles, A.M. and Qualter, P., </w:t>
      </w:r>
      <w:r>
        <w:t>(</w:t>
      </w:r>
      <w:r w:rsidRPr="00827E5A">
        <w:t>2021</w:t>
      </w:r>
      <w:r>
        <w:t>)</w:t>
      </w:r>
      <w:r w:rsidRPr="00827E5A">
        <w:t>. Alleviating loneliness in young people–a meta‐analysis of interventions. Child and Adolescent Mental Health, 26(1), pp.17-33.</w:t>
      </w:r>
    </w:p>
    <w:p w14:paraId="741D8481" w14:textId="35C02B52" w:rsidR="006E099F" w:rsidRDefault="006E099F" w:rsidP="006E099F">
      <w:pPr>
        <w:ind w:left="720" w:hanging="720"/>
      </w:pPr>
      <w:r>
        <w:t xml:space="preserve">Himango, P., </w:t>
      </w:r>
      <w:r w:rsidR="00C73D07">
        <w:t>(</w:t>
      </w:r>
      <w:r>
        <w:t>2022</w:t>
      </w:r>
      <w:r w:rsidR="00C73D07">
        <w:t>)</w:t>
      </w:r>
      <w:r>
        <w:t>. A Study to Investigate the Relationship Between Relationship Theories, Dependency, and Self-Esteem.</w:t>
      </w:r>
    </w:p>
    <w:p w14:paraId="2B713908" w14:textId="77777777" w:rsidR="006E099F" w:rsidRDefault="006E099F" w:rsidP="006E099F">
      <w:pPr>
        <w:ind w:left="720" w:hanging="720"/>
      </w:pPr>
      <w:r w:rsidRPr="001269FB">
        <w:t xml:space="preserve">Hunter, D.J., Redgate, S., Hudson, B. and Peckham, S., </w:t>
      </w:r>
      <w:r>
        <w:t>(</w:t>
      </w:r>
      <w:r w:rsidRPr="001269FB">
        <w:t>2020</w:t>
      </w:r>
      <w:r>
        <w:t>)</w:t>
      </w:r>
      <w:r w:rsidRPr="001269FB">
        <w:t>. Do policy implementation support programmes work? The case of the Care Act 2014. Journal of Long Term Care, 2020, pp.196-207.</w:t>
      </w:r>
    </w:p>
    <w:p w14:paraId="31A5BE99" w14:textId="77777777" w:rsidR="006E099F" w:rsidRPr="001269FB" w:rsidRDefault="006E099F" w:rsidP="006E099F">
      <w:pPr>
        <w:ind w:left="720" w:hanging="720"/>
      </w:pPr>
      <w:r w:rsidRPr="001269FB">
        <w:t xml:space="preserve">Idriss, O., Allen, L. and </w:t>
      </w:r>
      <w:proofErr w:type="spellStart"/>
      <w:r w:rsidRPr="001269FB">
        <w:t>Alderwick</w:t>
      </w:r>
      <w:proofErr w:type="spellEnd"/>
      <w:r w:rsidRPr="001269FB">
        <w:t xml:space="preserve">, H., </w:t>
      </w:r>
      <w:r>
        <w:t>(</w:t>
      </w:r>
      <w:r w:rsidRPr="001269FB">
        <w:t>2020</w:t>
      </w:r>
      <w:r>
        <w:t>)</w:t>
      </w:r>
      <w:r w:rsidRPr="001269FB">
        <w:t>. Social care for adults aged 18–64. Health Foundation.</w:t>
      </w:r>
    </w:p>
    <w:p w14:paraId="3E8DD37E" w14:textId="77777777" w:rsidR="006E099F" w:rsidRPr="006D0EFE" w:rsidRDefault="006E099F" w:rsidP="006E099F">
      <w:pPr>
        <w:ind w:left="720" w:hanging="720"/>
      </w:pPr>
      <w:r w:rsidRPr="00F40163">
        <w:t xml:space="preserve">Jovicic, A. and McPherson, S., </w:t>
      </w:r>
      <w:r>
        <w:t>(</w:t>
      </w:r>
      <w:r w:rsidRPr="00F40163">
        <w:t>2020</w:t>
      </w:r>
      <w:r>
        <w:t>)</w:t>
      </w:r>
      <w:r w:rsidRPr="00F40163">
        <w:t>. To support and not to cure: general practitioner management of loneliness. Health &amp; Social Care in the Community, 28(2), pp.376-384.</w:t>
      </w:r>
    </w:p>
    <w:p w14:paraId="61F74F6E" w14:textId="053CE3A4" w:rsidR="006E099F" w:rsidRDefault="006E099F" w:rsidP="006E099F">
      <w:pPr>
        <w:ind w:left="720" w:hanging="720"/>
      </w:pPr>
      <w:proofErr w:type="spellStart"/>
      <w:r>
        <w:t>Juthavantana</w:t>
      </w:r>
      <w:proofErr w:type="spellEnd"/>
      <w:r>
        <w:t xml:space="preserve">, J., </w:t>
      </w:r>
      <w:proofErr w:type="spellStart"/>
      <w:r>
        <w:t>Sakunpong</w:t>
      </w:r>
      <w:proofErr w:type="spellEnd"/>
      <w:r>
        <w:t xml:space="preserve">, N., </w:t>
      </w:r>
      <w:proofErr w:type="spellStart"/>
      <w:r>
        <w:t>Prasertsin</w:t>
      </w:r>
      <w:proofErr w:type="spellEnd"/>
      <w:r>
        <w:t xml:space="preserve">, U., </w:t>
      </w:r>
      <w:proofErr w:type="spellStart"/>
      <w:r>
        <w:t>Charupheng</w:t>
      </w:r>
      <w:proofErr w:type="spellEnd"/>
      <w:r>
        <w:t xml:space="preserve">, M. and Lau, S.H., </w:t>
      </w:r>
      <w:r w:rsidR="00C73D07">
        <w:t>(</w:t>
      </w:r>
      <w:r>
        <w:t>2021</w:t>
      </w:r>
      <w:r w:rsidR="00C73D07">
        <w:t>)</w:t>
      </w:r>
      <w:r>
        <w:t>. An integrative counselling program to promote active ageing for older people in Thai nursing homes: an intervention mixed methods design. BMC psychology, 9, pp.1-13</w:t>
      </w:r>
    </w:p>
    <w:p w14:paraId="67AF13D0" w14:textId="77777777" w:rsidR="006E099F" w:rsidRDefault="006E099F" w:rsidP="006E099F">
      <w:pPr>
        <w:ind w:left="720" w:hanging="720"/>
      </w:pPr>
      <w:r w:rsidRPr="006456A8">
        <w:t xml:space="preserve">Käll, A., Shafran, R., Lindegaard, T., Bennett, S., Cooper, Z., </w:t>
      </w:r>
      <w:proofErr w:type="spellStart"/>
      <w:r w:rsidRPr="006456A8">
        <w:t>Coughtrey</w:t>
      </w:r>
      <w:proofErr w:type="spellEnd"/>
      <w:r w:rsidRPr="006456A8">
        <w:t xml:space="preserve">, A. and Andersson, G., </w:t>
      </w:r>
      <w:r>
        <w:t>(</w:t>
      </w:r>
      <w:r w:rsidRPr="006456A8">
        <w:t>2020</w:t>
      </w:r>
      <w:r>
        <w:t>)</w:t>
      </w:r>
      <w:r w:rsidRPr="006456A8">
        <w:t xml:space="preserve">. A common elements approach to the development of a modular cognitive </w:t>
      </w:r>
      <w:proofErr w:type="spellStart"/>
      <w:r w:rsidRPr="006456A8">
        <w:t>behavioral</w:t>
      </w:r>
      <w:proofErr w:type="spellEnd"/>
      <w:r w:rsidRPr="006456A8">
        <w:t xml:space="preserve"> theory for chronic loneliness. Journal of Consulting and Clinical Psychology, 88(3), p.269.</w:t>
      </w:r>
    </w:p>
    <w:p w14:paraId="4297FF22" w14:textId="77777777" w:rsidR="006E099F" w:rsidRDefault="006E099F" w:rsidP="006E099F">
      <w:pPr>
        <w:ind w:left="720" w:hanging="720"/>
      </w:pPr>
      <w:r w:rsidRPr="000C6A45">
        <w:t xml:space="preserve">Kangasniemi, M., </w:t>
      </w:r>
      <w:proofErr w:type="spellStart"/>
      <w:r w:rsidRPr="000C6A45">
        <w:t>Papinaho</w:t>
      </w:r>
      <w:proofErr w:type="spellEnd"/>
      <w:r w:rsidRPr="000C6A45">
        <w:t xml:space="preserve">, O., Moilanen, T., </w:t>
      </w:r>
      <w:proofErr w:type="spellStart"/>
      <w:r w:rsidRPr="000C6A45">
        <w:t>Leino‐Kilpi</w:t>
      </w:r>
      <w:proofErr w:type="spellEnd"/>
      <w:r w:rsidRPr="000C6A45">
        <w:t xml:space="preserve">, H., </w:t>
      </w:r>
      <w:proofErr w:type="spellStart"/>
      <w:r w:rsidRPr="000C6A45">
        <w:t>Siipi</w:t>
      </w:r>
      <w:proofErr w:type="spellEnd"/>
      <w:r w:rsidRPr="000C6A45">
        <w:t xml:space="preserve">, H., Suominen, S. and Suhonen, R., </w:t>
      </w:r>
      <w:r>
        <w:t>(</w:t>
      </w:r>
      <w:r w:rsidRPr="000C6A45">
        <w:t>2022</w:t>
      </w:r>
      <w:r>
        <w:t>)</w:t>
      </w:r>
      <w:r w:rsidRPr="000C6A45">
        <w:t>. Neglecting the care of older people in residential care settings: A national document analysis of complaints reported to the Finnish supervisory authority. Health &amp; Social Care in the Community, 30(4), pp.e1313-e1324.</w:t>
      </w:r>
    </w:p>
    <w:p w14:paraId="5C239CC2" w14:textId="6D1E958A" w:rsidR="006E099F" w:rsidRDefault="006E099F" w:rsidP="006E099F">
      <w:pPr>
        <w:ind w:left="720" w:hanging="720"/>
      </w:pPr>
      <w:r>
        <w:t xml:space="preserve">Kim, E.S., Whillans, A.V., Lee, M.T., Chen, Y. and VanderWeele, T.J., </w:t>
      </w:r>
      <w:r w:rsidR="00C73D07">
        <w:t>(</w:t>
      </w:r>
      <w:r>
        <w:t>2020</w:t>
      </w:r>
      <w:r w:rsidR="00C73D07">
        <w:t>)</w:t>
      </w:r>
      <w:r>
        <w:t xml:space="preserve">. Volunteering and subsequent health and well-being in older adults: An outcome-wide longitudinal approach. American Journal of Preventive Medicine, 59(2), pp.176-186. </w:t>
      </w:r>
    </w:p>
    <w:p w14:paraId="5D419D69" w14:textId="77777777" w:rsidR="006E099F" w:rsidRDefault="006E099F" w:rsidP="006E099F">
      <w:pPr>
        <w:ind w:left="720" w:hanging="720"/>
      </w:pPr>
      <w:r w:rsidRPr="004506A9">
        <w:t xml:space="preserve">National Academies of Sciences, Division of </w:t>
      </w:r>
      <w:proofErr w:type="spellStart"/>
      <w:r w:rsidRPr="004506A9">
        <w:t>Behavioral</w:t>
      </w:r>
      <w:proofErr w:type="spellEnd"/>
      <w:r w:rsidRPr="004506A9">
        <w:t xml:space="preserve">, Social Sciences, Medicine Division, Board on </w:t>
      </w:r>
      <w:proofErr w:type="spellStart"/>
      <w:r w:rsidRPr="004506A9">
        <w:t>Behavioral</w:t>
      </w:r>
      <w:proofErr w:type="spellEnd"/>
      <w:r w:rsidRPr="004506A9">
        <w:t xml:space="preserve">, Sensory Sciences, Board on Health Sciences Policy, Committee on the Health, Medical Dimensions of Social Isolation and Loneliness in Older Adults, </w:t>
      </w:r>
      <w:r>
        <w:t>(</w:t>
      </w:r>
      <w:r w:rsidRPr="004506A9">
        <w:t>2020</w:t>
      </w:r>
      <w:r>
        <w:t>)</w:t>
      </w:r>
      <w:r w:rsidRPr="004506A9">
        <w:t>. Social isolation and loneliness in older adults: Opportunities for the health care system. National Academies Press.</w:t>
      </w:r>
    </w:p>
    <w:p w14:paraId="3940A44E" w14:textId="61F74A5F" w:rsidR="006E099F" w:rsidRDefault="006E099F" w:rsidP="006E099F">
      <w:pPr>
        <w:ind w:left="720" w:hanging="720"/>
      </w:pPr>
      <w:r>
        <w:t xml:space="preserve">Russell, C., </w:t>
      </w:r>
      <w:r w:rsidR="00C73D07">
        <w:t>(</w:t>
      </w:r>
      <w:r>
        <w:t>2024</w:t>
      </w:r>
      <w:r w:rsidR="00C73D07">
        <w:t>)</w:t>
      </w:r>
      <w:r>
        <w:t>. The aging experience. Taylor &amp; Francis.</w:t>
      </w:r>
    </w:p>
    <w:p w14:paraId="7FEC1208" w14:textId="77777777" w:rsidR="006E099F" w:rsidRDefault="006E099F" w:rsidP="006E099F">
      <w:pPr>
        <w:ind w:left="720" w:hanging="720"/>
      </w:pPr>
      <w:r w:rsidRPr="001269FB">
        <w:t xml:space="preserve">Shannon, L.A.U.R.A. and O’Leary, F.E.R.G.A.L., </w:t>
      </w:r>
      <w:r>
        <w:t>(</w:t>
      </w:r>
      <w:r w:rsidRPr="001269FB">
        <w:t>2020</w:t>
      </w:r>
      <w:r>
        <w:t>)</w:t>
      </w:r>
      <w:r w:rsidRPr="001269FB">
        <w:t>. Local government: Engaging and empowering local communities. Institute of Public Administration (IPA).</w:t>
      </w:r>
    </w:p>
    <w:p w14:paraId="1E7CCAF9" w14:textId="77777777" w:rsidR="006E099F" w:rsidRDefault="006E099F" w:rsidP="006E099F">
      <w:pPr>
        <w:ind w:left="720" w:hanging="720"/>
      </w:pPr>
      <w:proofErr w:type="spellStart"/>
      <w:r w:rsidRPr="004506A9">
        <w:t>Switsers</w:t>
      </w:r>
      <w:proofErr w:type="spellEnd"/>
      <w:r w:rsidRPr="004506A9">
        <w:t xml:space="preserve">, L., Dierckx, E., Domènech-Abella, J., De Donder, L., Dury, S. and D-SCOPE Consortium, </w:t>
      </w:r>
      <w:r>
        <w:t>(</w:t>
      </w:r>
      <w:r w:rsidRPr="004506A9">
        <w:t>2021</w:t>
      </w:r>
      <w:r>
        <w:t>)</w:t>
      </w:r>
      <w:r w:rsidRPr="004506A9">
        <w:t>. Negative old-age life events and well-being in later life: The moderating and mediating role of loneliness. International Psychogeriatrics, 33(12), pp.1265-1276.</w:t>
      </w:r>
    </w:p>
    <w:p w14:paraId="348374EB" w14:textId="77777777" w:rsidR="006E099F" w:rsidRDefault="006E099F" w:rsidP="006E099F">
      <w:pPr>
        <w:ind w:left="720" w:hanging="720"/>
      </w:pPr>
      <w:proofErr w:type="spellStart"/>
      <w:r w:rsidRPr="004506A9">
        <w:t>Tragantzopoulou</w:t>
      </w:r>
      <w:proofErr w:type="spellEnd"/>
      <w:r w:rsidRPr="004506A9">
        <w:t xml:space="preserve">, P. and Giannouli, V., </w:t>
      </w:r>
      <w:r>
        <w:t>(</w:t>
      </w:r>
      <w:r w:rsidRPr="004506A9">
        <w:t>2021</w:t>
      </w:r>
      <w:r>
        <w:t>)</w:t>
      </w:r>
      <w:r w:rsidRPr="004506A9">
        <w:t xml:space="preserve">. Social isolation and loneliness in old age: Exploring their role in mental and physical health. </w:t>
      </w:r>
      <w:proofErr w:type="spellStart"/>
      <w:r w:rsidRPr="004506A9">
        <w:t>Psychiatriki</w:t>
      </w:r>
      <w:proofErr w:type="spellEnd"/>
      <w:r w:rsidRPr="004506A9">
        <w:t>, 32(1), pp.59-66.</w:t>
      </w:r>
    </w:p>
    <w:p w14:paraId="322939A2" w14:textId="2C2B846E" w:rsidR="006E099F" w:rsidRDefault="006E099F" w:rsidP="006E099F">
      <w:pPr>
        <w:ind w:left="720" w:hanging="720"/>
      </w:pPr>
      <w:r>
        <w:t xml:space="preserve">Travers, J.L., Hirschman, K.B. and Naylor, M.D., </w:t>
      </w:r>
      <w:r w:rsidR="00C73D07">
        <w:t>(</w:t>
      </w:r>
      <w:r>
        <w:t>2020</w:t>
      </w:r>
      <w:r w:rsidR="00C73D07">
        <w:t>)</w:t>
      </w:r>
      <w:r>
        <w:t xml:space="preserve">. Adapting Andersen’s expanded </w:t>
      </w:r>
      <w:proofErr w:type="spellStart"/>
      <w:r>
        <w:t>behavioral</w:t>
      </w:r>
      <w:proofErr w:type="spellEnd"/>
      <w:r>
        <w:t xml:space="preserve"> model of health services use to include older adults receiving long-term services and supports. BMC geriatrics, 20, pp.1-16. </w:t>
      </w:r>
    </w:p>
    <w:p w14:paraId="7294C2A8" w14:textId="77777777" w:rsidR="006E099F" w:rsidRDefault="006E099F" w:rsidP="006E099F">
      <w:pPr>
        <w:ind w:left="720" w:hanging="720"/>
      </w:pPr>
      <w:r w:rsidRPr="006D0EFE">
        <w:t xml:space="preserve">Zietlow, K.E. and Wong, S.P., </w:t>
      </w:r>
      <w:r>
        <w:t>(</w:t>
      </w:r>
      <w:r w:rsidRPr="006D0EFE">
        <w:t>2022</w:t>
      </w:r>
      <w:r>
        <w:t>)</w:t>
      </w:r>
      <w:r w:rsidRPr="006D0EFE">
        <w:t>. Social and community aspects of ageing. Pathy's Principles and Practice of Geriatric Medicine, 1, pp.43-58.</w:t>
      </w:r>
    </w:p>
    <w:p w14:paraId="759669E1" w14:textId="77777777" w:rsidR="004471D3" w:rsidRDefault="004471D3">
      <w:pPr>
        <w:spacing w:line="259" w:lineRule="auto"/>
        <w:jc w:val="left"/>
        <w:rPr>
          <w:rFonts w:eastAsiaTheme="majorEastAsia" w:cstheme="majorBidi"/>
          <w:b/>
          <w:sz w:val="28"/>
          <w:szCs w:val="32"/>
        </w:rPr>
      </w:pPr>
      <w:r>
        <w:br w:type="page"/>
      </w:r>
    </w:p>
    <w:p w14:paraId="39538C5D" w14:textId="7B6F3D7A" w:rsidR="00C24B09" w:rsidRDefault="00C24B09" w:rsidP="00C24B09">
      <w:pPr>
        <w:pStyle w:val="Heading1"/>
      </w:pPr>
      <w:bookmarkStart w:id="18" w:name="_Toc170830513"/>
      <w:bookmarkStart w:id="19" w:name="_Toc171087982"/>
      <w:r>
        <w:t>Appendices</w:t>
      </w:r>
      <w:bookmarkEnd w:id="18"/>
      <w:bookmarkEnd w:id="19"/>
    </w:p>
    <w:p w14:paraId="058B892C" w14:textId="09AC628C" w:rsidR="00FB0A2D" w:rsidRPr="00FB0A2D" w:rsidRDefault="00FB0A2D" w:rsidP="00FB0A2D">
      <w:pPr>
        <w:rPr>
          <w:lang w:val="en-US"/>
        </w:rPr>
      </w:pPr>
      <w:r w:rsidRPr="00FB0A2D">
        <w:rPr>
          <w:noProof/>
          <w:lang w:val="en-US"/>
        </w:rPr>
        <w:drawing>
          <wp:inline distT="0" distB="0" distL="0" distR="0" wp14:anchorId="354D4A82" wp14:editId="42851C5A">
            <wp:extent cx="5731510" cy="3970655"/>
            <wp:effectExtent l="0" t="0" r="2540" b="0"/>
            <wp:docPr id="1603520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520261" name=""/>
                    <pic:cNvPicPr/>
                  </pic:nvPicPr>
                  <pic:blipFill>
                    <a:blip r:embed="rId7"/>
                    <a:stretch>
                      <a:fillRect/>
                    </a:stretch>
                  </pic:blipFill>
                  <pic:spPr>
                    <a:xfrm>
                      <a:off x="0" y="0"/>
                      <a:ext cx="5731510" cy="3970655"/>
                    </a:xfrm>
                    <a:prstGeom prst="rect">
                      <a:avLst/>
                    </a:prstGeom>
                  </pic:spPr>
                </pic:pic>
              </a:graphicData>
            </a:graphic>
          </wp:inline>
        </w:drawing>
      </w:r>
    </w:p>
    <w:p w14:paraId="120C63C3" w14:textId="14F222EE" w:rsidR="00996553" w:rsidRPr="00996553" w:rsidRDefault="00BC4E24" w:rsidP="00BC4E24">
      <w:pPr>
        <w:jc w:val="center"/>
        <w:rPr>
          <w:lang w:val="en-US"/>
        </w:rPr>
      </w:pPr>
      <w:r w:rsidRPr="00BC4E24">
        <w:rPr>
          <w:noProof/>
          <w:lang w:val="en-US"/>
        </w:rPr>
        <w:drawing>
          <wp:inline distT="0" distB="0" distL="0" distR="0" wp14:anchorId="2832B2D8" wp14:editId="3C03CCA7">
            <wp:extent cx="3448531" cy="3296110"/>
            <wp:effectExtent l="0" t="0" r="0" b="0"/>
            <wp:docPr id="698133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133271" name=""/>
                    <pic:cNvPicPr/>
                  </pic:nvPicPr>
                  <pic:blipFill>
                    <a:blip r:embed="rId8"/>
                    <a:stretch>
                      <a:fillRect/>
                    </a:stretch>
                  </pic:blipFill>
                  <pic:spPr>
                    <a:xfrm>
                      <a:off x="0" y="0"/>
                      <a:ext cx="3448531" cy="3296110"/>
                    </a:xfrm>
                    <a:prstGeom prst="rect">
                      <a:avLst/>
                    </a:prstGeom>
                  </pic:spPr>
                </pic:pic>
              </a:graphicData>
            </a:graphic>
          </wp:inline>
        </w:drawing>
      </w:r>
    </w:p>
    <w:sectPr w:rsidR="00996553" w:rsidRPr="00996553" w:rsidSect="00270540">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462330" w14:textId="77777777" w:rsidR="00393138" w:rsidRDefault="00393138">
      <w:pPr>
        <w:spacing w:after="0" w:line="240" w:lineRule="auto"/>
      </w:pPr>
      <w:r>
        <w:separator/>
      </w:r>
    </w:p>
  </w:endnote>
  <w:endnote w:type="continuationSeparator" w:id="0">
    <w:p w14:paraId="331AA1C2" w14:textId="77777777" w:rsidR="00393138" w:rsidRDefault="00393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4047034"/>
      <w:docPartObj>
        <w:docPartGallery w:val="Page Numbers (Bottom of Page)"/>
        <w:docPartUnique/>
      </w:docPartObj>
    </w:sdtPr>
    <w:sdtEndPr>
      <w:rPr>
        <w:noProof/>
      </w:rPr>
    </w:sdtEndPr>
    <w:sdtContent>
      <w:p w14:paraId="6667DCB0" w14:textId="77777777" w:rsidR="006502F1" w:rsidRDefault="009616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8A2D32" w14:textId="77777777" w:rsidR="006502F1" w:rsidRDefault="00650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3D729A" w14:textId="77777777" w:rsidR="00393138" w:rsidRDefault="00393138">
      <w:pPr>
        <w:spacing w:after="0" w:line="240" w:lineRule="auto"/>
      </w:pPr>
      <w:r>
        <w:separator/>
      </w:r>
    </w:p>
  </w:footnote>
  <w:footnote w:type="continuationSeparator" w:id="0">
    <w:p w14:paraId="366C7912" w14:textId="77777777" w:rsidR="00393138" w:rsidRDefault="003931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540"/>
    <w:rsid w:val="000C6A45"/>
    <w:rsid w:val="000F6A13"/>
    <w:rsid w:val="001269FB"/>
    <w:rsid w:val="0013699A"/>
    <w:rsid w:val="001450EA"/>
    <w:rsid w:val="0024363A"/>
    <w:rsid w:val="00270540"/>
    <w:rsid w:val="0029155B"/>
    <w:rsid w:val="002A1457"/>
    <w:rsid w:val="002C69AD"/>
    <w:rsid w:val="003710F6"/>
    <w:rsid w:val="00393138"/>
    <w:rsid w:val="003A3CC3"/>
    <w:rsid w:val="00414249"/>
    <w:rsid w:val="004471D3"/>
    <w:rsid w:val="004506A9"/>
    <w:rsid w:val="004E3629"/>
    <w:rsid w:val="004F67DB"/>
    <w:rsid w:val="00563D4D"/>
    <w:rsid w:val="006260CB"/>
    <w:rsid w:val="006456A8"/>
    <w:rsid w:val="006502F1"/>
    <w:rsid w:val="0066342B"/>
    <w:rsid w:val="006A0412"/>
    <w:rsid w:val="006A05B3"/>
    <w:rsid w:val="006A2FF5"/>
    <w:rsid w:val="006D0EFE"/>
    <w:rsid w:val="006E099F"/>
    <w:rsid w:val="00760BA3"/>
    <w:rsid w:val="00763304"/>
    <w:rsid w:val="007C049B"/>
    <w:rsid w:val="00813A22"/>
    <w:rsid w:val="00827E5A"/>
    <w:rsid w:val="00856EE2"/>
    <w:rsid w:val="008B00C4"/>
    <w:rsid w:val="008B76CA"/>
    <w:rsid w:val="00937182"/>
    <w:rsid w:val="009616C4"/>
    <w:rsid w:val="00996553"/>
    <w:rsid w:val="009B49E9"/>
    <w:rsid w:val="009F2634"/>
    <w:rsid w:val="00A94AA3"/>
    <w:rsid w:val="00AF2A1C"/>
    <w:rsid w:val="00B611FD"/>
    <w:rsid w:val="00B96E2D"/>
    <w:rsid w:val="00BA51CE"/>
    <w:rsid w:val="00BB07C3"/>
    <w:rsid w:val="00BC4E24"/>
    <w:rsid w:val="00BE35B6"/>
    <w:rsid w:val="00C23E87"/>
    <w:rsid w:val="00C24B09"/>
    <w:rsid w:val="00C626FD"/>
    <w:rsid w:val="00C711C7"/>
    <w:rsid w:val="00C73D07"/>
    <w:rsid w:val="00C87674"/>
    <w:rsid w:val="00C91555"/>
    <w:rsid w:val="00D07C97"/>
    <w:rsid w:val="00D20FF6"/>
    <w:rsid w:val="00D34D81"/>
    <w:rsid w:val="00D4537C"/>
    <w:rsid w:val="00DC2A90"/>
    <w:rsid w:val="00DC76B5"/>
    <w:rsid w:val="00DE1F3D"/>
    <w:rsid w:val="00E6200F"/>
    <w:rsid w:val="00E97AA4"/>
    <w:rsid w:val="00F003C8"/>
    <w:rsid w:val="00F257FC"/>
    <w:rsid w:val="00F40163"/>
    <w:rsid w:val="00F44E4E"/>
    <w:rsid w:val="00FB00BD"/>
    <w:rsid w:val="00FB0A2D"/>
  </w:rsids>
  <m:mathPr>
    <m:mathFont m:val="Cambria Math"/>
    <m:brkBin m:val="before"/>
    <m:brkBinSub m:val="--"/>
    <m:smallFrac m:val="0"/>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1300D3"/>
  <w15:chartTrackingRefBased/>
  <w15:docId w15:val="{D3AC7E44-EFFC-47AF-A339-81B920478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540"/>
    <w:pPr>
      <w:spacing w:line="360" w:lineRule="auto"/>
      <w:jc w:val="both"/>
    </w:pPr>
    <w:rPr>
      <w:rFonts w:ascii="Times New Roman" w:hAnsi="Times New Roman"/>
      <w:color w:val="000000" w:themeColor="text1"/>
      <w:sz w:val="24"/>
      <w:lang w:val="en-IN"/>
    </w:rPr>
  </w:style>
  <w:style w:type="paragraph" w:styleId="Heading1">
    <w:name w:val="heading 1"/>
    <w:basedOn w:val="Normal"/>
    <w:next w:val="Normal"/>
    <w:link w:val="Heading1Char"/>
    <w:autoRedefine/>
    <w:uiPriority w:val="9"/>
    <w:qFormat/>
    <w:rsid w:val="008B76C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B76C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8B76CA"/>
    <w:pPr>
      <w:spacing w:after="0" w:line="240" w:lineRule="auto"/>
      <w:contextualSpacing/>
      <w:jc w:val="center"/>
    </w:pPr>
    <w:rPr>
      <w:rFonts w:eastAsiaTheme="majorEastAsia" w:cstheme="majorBidi"/>
      <w:b/>
      <w:bCs/>
      <w:caps/>
      <w:spacing w:val="-10"/>
      <w:kern w:val="28"/>
      <w:sz w:val="36"/>
      <w:szCs w:val="56"/>
      <w:u w:val="single"/>
      <w:shd w:val="clear" w:color="auto" w:fill="FFFFFF"/>
    </w:rPr>
  </w:style>
  <w:style w:type="character" w:customStyle="1" w:styleId="TitleChar">
    <w:name w:val="Title Char"/>
    <w:basedOn w:val="DefaultParagraphFont"/>
    <w:link w:val="Title"/>
    <w:uiPriority w:val="10"/>
    <w:rsid w:val="008B76CA"/>
    <w:rPr>
      <w:rFonts w:ascii="Times New Roman" w:eastAsiaTheme="majorEastAsia" w:hAnsi="Times New Roman" w:cstheme="majorBidi"/>
      <w:b/>
      <w:bCs/>
      <w:caps/>
      <w:spacing w:val="-10"/>
      <w:kern w:val="28"/>
      <w:sz w:val="36"/>
      <w:szCs w:val="56"/>
      <w:u w:val="single"/>
    </w:rPr>
  </w:style>
  <w:style w:type="character" w:customStyle="1" w:styleId="Heading1Char">
    <w:name w:val="Heading 1 Char"/>
    <w:basedOn w:val="DefaultParagraphFont"/>
    <w:link w:val="Heading1"/>
    <w:uiPriority w:val="9"/>
    <w:rsid w:val="008B76C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B76CA"/>
    <w:rPr>
      <w:rFonts w:ascii="Times New Roman" w:eastAsiaTheme="majorEastAsia" w:hAnsi="Times New Roman" w:cstheme="majorBidi"/>
      <w:b/>
      <w:sz w:val="26"/>
      <w:szCs w:val="26"/>
    </w:rPr>
  </w:style>
  <w:style w:type="character" w:styleId="Hyperlink">
    <w:name w:val="Hyperlink"/>
    <w:basedOn w:val="DefaultParagraphFont"/>
    <w:uiPriority w:val="99"/>
    <w:unhideWhenUsed/>
    <w:rsid w:val="00270540"/>
    <w:rPr>
      <w:color w:val="0563C1" w:themeColor="hyperlink"/>
      <w:u w:val="single"/>
    </w:rPr>
  </w:style>
  <w:style w:type="paragraph" w:styleId="TOCHeading">
    <w:name w:val="TOC Heading"/>
    <w:basedOn w:val="Heading1"/>
    <w:next w:val="Normal"/>
    <w:uiPriority w:val="39"/>
    <w:unhideWhenUsed/>
    <w:qFormat/>
    <w:rsid w:val="00270540"/>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270540"/>
    <w:pPr>
      <w:spacing w:after="100"/>
    </w:pPr>
  </w:style>
  <w:style w:type="paragraph" w:styleId="Footer">
    <w:name w:val="footer"/>
    <w:basedOn w:val="Normal"/>
    <w:link w:val="FooterChar"/>
    <w:uiPriority w:val="99"/>
    <w:unhideWhenUsed/>
    <w:rsid w:val="002705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540"/>
    <w:rPr>
      <w:rFonts w:ascii="Times New Roman" w:hAnsi="Times New Roman"/>
      <w:color w:val="000000" w:themeColor="text1"/>
      <w:sz w:val="24"/>
      <w:lang w:val="en-IN"/>
    </w:rPr>
  </w:style>
  <w:style w:type="paragraph" w:styleId="TOC2">
    <w:name w:val="toc 2"/>
    <w:basedOn w:val="Normal"/>
    <w:next w:val="Normal"/>
    <w:autoRedefine/>
    <w:uiPriority w:val="39"/>
    <w:unhideWhenUsed/>
    <w:rsid w:val="00AF2A1C"/>
    <w:pPr>
      <w:spacing w:after="100"/>
      <w:ind w:left="240"/>
    </w:pPr>
  </w:style>
  <w:style w:type="paragraph" w:styleId="ListParagraph">
    <w:name w:val="List Paragraph"/>
    <w:basedOn w:val="Normal"/>
    <w:uiPriority w:val="34"/>
    <w:qFormat/>
    <w:rsid w:val="00C73D07"/>
    <w:pPr>
      <w:ind w:left="720"/>
      <w:contextualSpacing/>
    </w:pPr>
  </w:style>
  <w:style w:type="character" w:styleId="FollowedHyperlink">
    <w:name w:val="FollowedHyperlink"/>
    <w:basedOn w:val="DefaultParagraphFont"/>
    <w:uiPriority w:val="99"/>
    <w:semiHidden/>
    <w:unhideWhenUsed/>
    <w:rsid w:val="003A3C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AE7FAD-F837-4E26-B647-E907CD5045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3879</Words>
  <Characters>22116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 Corcan (2133068)</cp:lastModifiedBy>
  <cp:revision>11</cp:revision>
  <dcterms:created xsi:type="dcterms:W3CDTF">2024-07-16T11:39:00Z</dcterms:created>
  <dcterms:modified xsi:type="dcterms:W3CDTF">2024-07-20T13:43:00Z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a04c9980-6f08-4832-b356-e9cc84760ad2</vt:lpwstr>
  </property>
</Properties>
</file>