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70291" w14:textId="644F108B" w:rsidR="002B263B" w:rsidRDefault="002B4504" w:rsidP="00EA4D62">
      <w:pPr>
        <w:spacing w:line="480" w:lineRule="auto"/>
        <w:jc w:val="center"/>
        <w:rPr>
          <w:u w:val="single"/>
        </w:rPr>
      </w:pPr>
      <w:bookmarkStart w:id="0" w:name="_GoBack"/>
      <w:bookmarkEnd w:id="0"/>
      <w:r w:rsidRPr="00DA043B">
        <w:rPr>
          <w:u w:val="single"/>
        </w:rPr>
        <w:t xml:space="preserve">Critically discuss </w:t>
      </w:r>
      <w:r w:rsidR="00DA043B" w:rsidRPr="00DA043B">
        <w:rPr>
          <w:u w:val="single"/>
        </w:rPr>
        <w:t>whether recent DNA analyses can provide reliable information on the identity, origin and spread of ‘Celtic’ populations in the 5</w:t>
      </w:r>
      <w:r w:rsidR="00DA043B" w:rsidRPr="00DA043B">
        <w:rPr>
          <w:u w:val="single"/>
          <w:vertAlign w:val="superscript"/>
        </w:rPr>
        <w:t>th</w:t>
      </w:r>
      <w:r w:rsidR="00DA043B" w:rsidRPr="00DA043B">
        <w:rPr>
          <w:u w:val="single"/>
        </w:rPr>
        <w:t>-1</w:t>
      </w:r>
      <w:r w:rsidR="00DA043B" w:rsidRPr="00DA043B">
        <w:rPr>
          <w:u w:val="single"/>
          <w:vertAlign w:val="superscript"/>
        </w:rPr>
        <w:t>st</w:t>
      </w:r>
      <w:r w:rsidR="00DA043B" w:rsidRPr="00DA043B">
        <w:rPr>
          <w:u w:val="single"/>
        </w:rPr>
        <w:t xml:space="preserve"> century BC.</w:t>
      </w:r>
    </w:p>
    <w:p w14:paraId="238FEC88" w14:textId="632D29AC" w:rsidR="00B63C61" w:rsidRDefault="00DA043B" w:rsidP="00EA4D62">
      <w:pPr>
        <w:spacing w:line="480" w:lineRule="auto"/>
      </w:pPr>
      <w:r>
        <w:t xml:space="preserve">In 2008 Millar </w:t>
      </w:r>
      <w:r w:rsidR="006E357E">
        <w:t>and others</w:t>
      </w:r>
      <w:r>
        <w:t xml:space="preserve"> announced to the </w:t>
      </w:r>
      <w:r w:rsidR="00926311">
        <w:t>archaeological</w:t>
      </w:r>
      <w:r>
        <w:t xml:space="preserve"> community that the study of archeogenetics was riding atop the </w:t>
      </w:r>
      <w:r w:rsidR="004E6BD4">
        <w:t>‘</w:t>
      </w:r>
      <w:r>
        <w:t>crest of a</w:t>
      </w:r>
      <w:r w:rsidR="004E6BD4">
        <w:t xml:space="preserve"> …</w:t>
      </w:r>
      <w:r w:rsidR="00926311">
        <w:t xml:space="preserve"> </w:t>
      </w:r>
      <w:r>
        <w:t>wave</w:t>
      </w:r>
      <w:r w:rsidR="004E6BD4">
        <w:t>’</w:t>
      </w:r>
      <w:r w:rsidR="006E357E">
        <w:rPr>
          <w:rStyle w:val="FootnoteReference"/>
        </w:rPr>
        <w:footnoteReference w:id="1"/>
      </w:r>
      <w:r w:rsidR="00E82815">
        <w:t xml:space="preserve"> </w:t>
      </w:r>
      <w:r>
        <w:t xml:space="preserve">of </w:t>
      </w:r>
      <w:r w:rsidR="00926311">
        <w:t xml:space="preserve">a </w:t>
      </w:r>
      <w:r>
        <w:t xml:space="preserve">new </w:t>
      </w:r>
      <w:r w:rsidR="00926311">
        <w:t>generation of</w:t>
      </w:r>
      <w:r>
        <w:t xml:space="preserve"> improved techniques in the analysis of aDNA</w:t>
      </w:r>
      <w:r w:rsidR="006E357E">
        <w:rPr>
          <w:rStyle w:val="FootnoteReference"/>
        </w:rPr>
        <w:footnoteReference w:id="2"/>
      </w:r>
      <w:r w:rsidR="00926311">
        <w:t xml:space="preserve">. This essay will therefore be establishing the extent of genetic </w:t>
      </w:r>
      <w:r w:rsidR="000029B7">
        <w:t>data’s</w:t>
      </w:r>
      <w:r w:rsidR="00926311">
        <w:t xml:space="preserve"> role in exploring aspects of cultural identity and transhumance of ‘Celtic’ populations within the La Tène period</w:t>
      </w:r>
      <w:r w:rsidR="006E357E">
        <w:rPr>
          <w:rStyle w:val="FootnoteReference"/>
        </w:rPr>
        <w:footnoteReference w:id="3"/>
      </w:r>
      <w:r w:rsidR="0080348C">
        <w:t>. Before we can grapple with the reliability of aDNA evidence in this context first we ascertain two key</w:t>
      </w:r>
      <w:r w:rsidR="000029B7">
        <w:t xml:space="preserve"> elements, what raw information does aDNA analysis show us and how does this information fit into current theories of the spread and identity of ‘Celtic’ populations </w:t>
      </w:r>
      <w:r w:rsidR="00D06F30">
        <w:t>with</w:t>
      </w:r>
      <w:r w:rsidR="000029B7">
        <w:t xml:space="preserve">in our time period? </w:t>
      </w:r>
      <w:r w:rsidR="00BD6DB2">
        <w:t xml:space="preserve">However, firstly we must construct an understanding of what ‘Celtic’ means </w:t>
      </w:r>
      <w:r w:rsidR="00D06F30">
        <w:t>in regard to</w:t>
      </w:r>
      <w:r w:rsidR="00BD6DB2">
        <w:t xml:space="preserve"> this question. </w:t>
      </w:r>
      <w:r w:rsidR="00B63C61">
        <w:t>The terms ‘Celtic’ and ‘Celt’ are notoriously problematic and as Green states they centre around the relationship, or lack of, between ‘material culture, ethnicity and language’</w:t>
      </w:r>
      <w:r w:rsidR="00B63C61">
        <w:rPr>
          <w:rStyle w:val="FootnoteReference"/>
        </w:rPr>
        <w:footnoteReference w:id="4"/>
      </w:r>
      <w:r w:rsidR="00B63C61">
        <w:t>. These terms imply a level of cultural or ethnic homogeneity that we simply cannot recognise across the geographic and chronological distance of the so-called ‘Celtic’ world</w:t>
      </w:r>
      <w:r w:rsidR="00A8541C">
        <w:rPr>
          <w:rStyle w:val="FootnoteReference"/>
        </w:rPr>
        <w:footnoteReference w:id="5"/>
      </w:r>
      <w:r w:rsidR="00B63C61">
        <w:t>, this will invariably</w:t>
      </w:r>
      <w:r w:rsidR="00BB77D9">
        <w:t xml:space="preserve"> be important to this discussion as aDNA evidence completely disregards all of these cultural and linguistic factors.</w:t>
      </w:r>
    </w:p>
    <w:p w14:paraId="7D731ECA" w14:textId="6566E4DB" w:rsidR="000029B7" w:rsidRDefault="002F2644" w:rsidP="00EA4D62">
      <w:pPr>
        <w:spacing w:line="480" w:lineRule="auto"/>
      </w:pPr>
      <w:r>
        <w:t>The sequencing</w:t>
      </w:r>
      <w:r w:rsidR="00AB458B">
        <w:t xml:space="preserve"> of an individual’s DNA enables the examination of their genetic makeup and thus the range of haplogroups exhibited by them. Haplogroups themselves are mutations on the </w:t>
      </w:r>
      <w:r w:rsidR="00E82815">
        <w:t xml:space="preserve">mitochondrial </w:t>
      </w:r>
      <w:r w:rsidR="00AB458B">
        <w:t>DNA molecule and different haplogroups are exhibited by different ethnicities and groups of people across the world</w:t>
      </w:r>
      <w:r w:rsidR="00BD6DB2">
        <w:rPr>
          <w:rStyle w:val="FootnoteReference"/>
        </w:rPr>
        <w:footnoteReference w:id="6"/>
      </w:r>
      <w:r w:rsidR="00BB77D9">
        <w:t>;</w:t>
      </w:r>
      <w:r w:rsidR="00E82815">
        <w:t xml:space="preserve"> the study of mapping these maternal lineages is known as ‘phylogeography’</w:t>
      </w:r>
      <w:r w:rsidR="00BD6DB2">
        <w:rPr>
          <w:rStyle w:val="FootnoteReference"/>
        </w:rPr>
        <w:footnoteReference w:id="7"/>
      </w:r>
      <w:r w:rsidR="00E82815">
        <w:t>. This can be fairly reliable in itself</w:t>
      </w:r>
      <w:r w:rsidR="00FB4A39">
        <w:t xml:space="preserve"> if </w:t>
      </w:r>
      <w:r w:rsidR="00E651A6">
        <w:t>large data sets are available for comparison</w:t>
      </w:r>
      <w:r w:rsidR="00E82815">
        <w:t xml:space="preserve"> as </w:t>
      </w:r>
      <w:r w:rsidR="00E82815">
        <w:lastRenderedPageBreak/>
        <w:t>the variations in mitochondrial DNA is reflected in the dispersal of early humans</w:t>
      </w:r>
      <w:r w:rsidR="00BD6DB2">
        <w:rPr>
          <w:rStyle w:val="FootnoteReference"/>
        </w:rPr>
        <w:footnoteReference w:id="8"/>
      </w:r>
      <w:r w:rsidR="00E82815">
        <w:t xml:space="preserve"> and other subsequent divisions. The </w:t>
      </w:r>
      <w:r w:rsidR="00BB77D9">
        <w:t>s</w:t>
      </w:r>
      <w:r w:rsidR="00E82815">
        <w:t>o-called ‘next-gene</w:t>
      </w:r>
      <w:r w:rsidR="00F14CDA">
        <w:t>ration sequencing’ techniques, polymerase chain reaction in particular, now allow us to extract complete genomes quickly and reliably from even the smallest and fragmentary material</w:t>
      </w:r>
      <w:r w:rsidR="00BD6DB2">
        <w:rPr>
          <w:rStyle w:val="FootnoteReference"/>
        </w:rPr>
        <w:footnoteReference w:id="9"/>
      </w:r>
      <w:r w:rsidR="00F14CDA">
        <w:t>. It is also apparent that in our modern setting</w:t>
      </w:r>
      <w:r w:rsidR="006E357E">
        <w:t>, at least since 2005,</w:t>
      </w:r>
      <w:r w:rsidR="00F14CDA">
        <w:t xml:space="preserve"> many of the previously inherent difficulties in reliably sequencing genomes are now almost negligible with the sequencing being performed at a </w:t>
      </w:r>
      <w:r w:rsidR="00BD6DB2">
        <w:t>high level of accuracy</w:t>
      </w:r>
      <w:r w:rsidR="00BD6DB2">
        <w:rPr>
          <w:rStyle w:val="FootnoteReference"/>
        </w:rPr>
        <w:footnoteReference w:id="10"/>
      </w:r>
      <w:r w:rsidR="00F14CDA">
        <w:t xml:space="preserve">. </w:t>
      </w:r>
      <w:r w:rsidR="006E357E">
        <w:t>Thus, we know</w:t>
      </w:r>
      <w:r w:rsidR="00F14CDA">
        <w:t xml:space="preserve"> the process of aDNA analysis itself is remarkably accurate at </w:t>
      </w:r>
      <w:r w:rsidR="006E357E">
        <w:t xml:space="preserve">producing these fully sequenced DNA from relatively little source material </w:t>
      </w:r>
      <w:r w:rsidR="00343F5F">
        <w:t xml:space="preserve">and thus is able to through the use of extrapolation of modern genetic data identify the arrival of a genetically distinct group in an area </w:t>
      </w:r>
      <w:r w:rsidR="006E357E">
        <w:t>but how does this reflect in a La Tène period context?</w:t>
      </w:r>
    </w:p>
    <w:p w14:paraId="590A7F50" w14:textId="3538B87C" w:rsidR="00E651A6" w:rsidRDefault="00E651A6" w:rsidP="00EA4D62">
      <w:pPr>
        <w:spacing w:line="480" w:lineRule="auto"/>
      </w:pPr>
      <w:r>
        <w:t xml:space="preserve">The </w:t>
      </w:r>
      <w:r w:rsidR="00321BB9">
        <w:t>5</w:t>
      </w:r>
      <w:r w:rsidR="00321BB9" w:rsidRPr="00321BB9">
        <w:rPr>
          <w:vertAlign w:val="superscript"/>
        </w:rPr>
        <w:t>th</w:t>
      </w:r>
      <w:r w:rsidR="00321BB9">
        <w:t>-1</w:t>
      </w:r>
      <w:r w:rsidR="00321BB9" w:rsidRPr="00321BB9">
        <w:rPr>
          <w:vertAlign w:val="superscript"/>
        </w:rPr>
        <w:t>st</w:t>
      </w:r>
      <w:r w:rsidR="00321BB9">
        <w:t xml:space="preserve"> centuries BC are characterised by the emergence of La Tène style artwork and material culture with militaristic societal organisation. These cultural attributes originated in an area of </w:t>
      </w:r>
      <w:r w:rsidR="00F9599F">
        <w:t xml:space="preserve">temperate Europe north of the Alps and Transalpine regions, and over the subsequent three to four centuries evidence for culturally ‘Celtic’ practises can be found from Asia Minor to the </w:t>
      </w:r>
      <w:r w:rsidR="009E0889">
        <w:t>Atlantic coast of France and from the Iberian Peninsula to the British Isles</w:t>
      </w:r>
      <w:r w:rsidR="00114B83">
        <w:rPr>
          <w:rStyle w:val="FootnoteReference"/>
        </w:rPr>
        <w:footnoteReference w:id="11"/>
      </w:r>
      <w:r w:rsidR="00321BB9">
        <w:t>. In this time period the archaeological record, alongside corroborative historical accounts</w:t>
      </w:r>
      <w:r w:rsidR="009E0889">
        <w:t>,</w:t>
      </w:r>
      <w:r w:rsidR="00321BB9">
        <w:t xml:space="preserve"> suggest that some form of transhumance of groups of culturally ‘Celtic’ people also occurred </w:t>
      </w:r>
      <w:r w:rsidR="00F9599F">
        <w:t xml:space="preserve">alongside this spread of cultural practises. </w:t>
      </w:r>
      <w:r w:rsidR="009E0889">
        <w:t xml:space="preserve">But how much of this expansion of the sphere of ‘Celtic’ influence can be placed upon the </w:t>
      </w:r>
      <w:r w:rsidR="009302E2">
        <w:t>large-scale</w:t>
      </w:r>
      <w:r w:rsidR="009E0889">
        <w:t xml:space="preserve"> movement of people? </w:t>
      </w:r>
      <w:r w:rsidR="009302E2">
        <w:t>If the classical authors are to be believed then we would have the situation of large marauding armies of ‘Celts’ pillaging down into the Greco-Roman world, sacking both Rome and Delphi before migrating as a horde and settling in the Po valley and Galatia</w:t>
      </w:r>
      <w:r w:rsidR="00114B83">
        <w:rPr>
          <w:rStyle w:val="FootnoteReference"/>
        </w:rPr>
        <w:footnoteReference w:id="12"/>
      </w:r>
      <w:r w:rsidR="009302E2">
        <w:t>.</w:t>
      </w:r>
      <w:r w:rsidR="00114B83">
        <w:t xml:space="preserve"> This </w:t>
      </w:r>
      <w:r w:rsidR="00A8541C">
        <w:t xml:space="preserve">deliberately </w:t>
      </w:r>
      <w:r w:rsidR="00114B83">
        <w:t xml:space="preserve">barbarous characterisation of these peoples is of course mostly at odds with what we find in the </w:t>
      </w:r>
      <w:r w:rsidR="00114B83">
        <w:lastRenderedPageBreak/>
        <w:t>archaeological record</w:t>
      </w:r>
      <w:r w:rsidR="00A8541C">
        <w:t>, which implies a process of great cultural exchange alongside the movement of peoples as individuals and as communities. The evidence for the expansion of ‘Celtic’ culture, people and language can be split into three principal categories</w:t>
      </w:r>
      <w:r w:rsidR="00A8541C">
        <w:rPr>
          <w:rStyle w:val="FootnoteReference"/>
        </w:rPr>
        <w:footnoteReference w:id="13"/>
      </w:r>
      <w:r w:rsidR="00A8541C">
        <w:t>: Archaeological evidence, Historical accounts and linguistic evidence</w:t>
      </w:r>
      <w:r w:rsidR="000506A9">
        <w:t>.</w:t>
      </w:r>
      <w:r w:rsidR="004E6BD4">
        <w:t xml:space="preserve"> </w:t>
      </w:r>
      <w:r w:rsidR="00343F5F">
        <w:t xml:space="preserve">The first detail that presupposes the study of these three distinctions is that it is not necessary for an individual of a certain ethnicity to display a rigidly corresponding cultural identity. Take for example the </w:t>
      </w:r>
      <w:r w:rsidR="00C4692C">
        <w:t>British Isles</w:t>
      </w:r>
      <w:r w:rsidR="00343F5F">
        <w:t xml:space="preserve">, Caesar never once in his account of the Gallic Wars conflated the indigenous inhabitants of the island with the </w:t>
      </w:r>
      <w:r w:rsidR="00C4692C">
        <w:t xml:space="preserve">continental </w:t>
      </w:r>
      <w:r w:rsidR="00343F5F">
        <w:t>Celts</w:t>
      </w:r>
      <w:r w:rsidR="00343F5F">
        <w:rPr>
          <w:rStyle w:val="FootnoteReference"/>
        </w:rPr>
        <w:footnoteReference w:id="14"/>
      </w:r>
      <w:r w:rsidR="00C4692C">
        <w:t>, and regularly makes the distinction between the Belgic Atrebates living in Britain and the indigenous ‘Britons’</w:t>
      </w:r>
      <w:r w:rsidR="00C4692C">
        <w:rPr>
          <w:rStyle w:val="FootnoteReference"/>
        </w:rPr>
        <w:footnoteReference w:id="15"/>
      </w:r>
      <w:r w:rsidR="00C4692C">
        <w:t>. Yet the archaeological record in the south of Britain would suggest a high level of adoption of La Tène art styles, urbanisation and funerary practises</w:t>
      </w:r>
      <w:r w:rsidR="00C4692C">
        <w:rPr>
          <w:rStyle w:val="FootnoteReference"/>
        </w:rPr>
        <w:footnoteReference w:id="16"/>
      </w:r>
      <w:r w:rsidR="00C4692C">
        <w:t xml:space="preserve"> with little evidence for a large-scale ‘Celtic’ migration to the island</w:t>
      </w:r>
      <w:r w:rsidR="00C4692C">
        <w:rPr>
          <w:rStyle w:val="FootnoteReference"/>
        </w:rPr>
        <w:footnoteReference w:id="17"/>
      </w:r>
      <w:r w:rsidR="00C4692C">
        <w:t xml:space="preserve"> thus demonstrating the ability for cultural diffusion or bricolage</w:t>
      </w:r>
      <w:r w:rsidR="0084174B">
        <w:rPr>
          <w:rStyle w:val="FootnoteReference"/>
        </w:rPr>
        <w:footnoteReference w:id="18"/>
      </w:r>
      <w:r w:rsidR="0084174B">
        <w:t xml:space="preserve"> to occur without </w:t>
      </w:r>
      <w:proofErr w:type="gramStart"/>
      <w:r w:rsidR="0084174B">
        <w:t>an</w:t>
      </w:r>
      <w:proofErr w:type="gramEnd"/>
      <w:r w:rsidR="0084174B">
        <w:t xml:space="preserve"> mass migration event in 5</w:t>
      </w:r>
      <w:r w:rsidR="0084174B" w:rsidRPr="0084174B">
        <w:rPr>
          <w:vertAlign w:val="superscript"/>
        </w:rPr>
        <w:t>th</w:t>
      </w:r>
      <w:r w:rsidR="0084174B">
        <w:t>-1</w:t>
      </w:r>
      <w:r w:rsidR="0084174B" w:rsidRPr="0084174B">
        <w:rPr>
          <w:vertAlign w:val="superscript"/>
        </w:rPr>
        <w:t>st</w:t>
      </w:r>
      <w:r w:rsidR="0084174B">
        <w:t xml:space="preserve"> century BC Britain. </w:t>
      </w:r>
    </w:p>
    <w:p w14:paraId="2E342834" w14:textId="5C36650D" w:rsidR="00BB77D9" w:rsidRDefault="00D00112" w:rsidP="00EA4D62">
      <w:pPr>
        <w:spacing w:line="480" w:lineRule="auto"/>
      </w:pPr>
      <w:r>
        <w:t>Whilst I cannot possibly dispute the fact that detailed aDNA studies can, in theory, chronologically pinpoint the arrival of groups of people to an area</w:t>
      </w:r>
      <w:r>
        <w:rPr>
          <w:rStyle w:val="FootnoteReference"/>
        </w:rPr>
        <w:footnoteReference w:id="19"/>
      </w:r>
      <w:r>
        <w:t xml:space="preserve"> I do find issue with the </w:t>
      </w:r>
      <w:r w:rsidR="005E669E">
        <w:t>current scale of aDNA evidence for the ‘Celtic’ world in the 5</w:t>
      </w:r>
      <w:r w:rsidR="005E669E" w:rsidRPr="005E669E">
        <w:rPr>
          <w:vertAlign w:val="superscript"/>
        </w:rPr>
        <w:t>th</w:t>
      </w:r>
      <w:r w:rsidR="005E669E">
        <w:t>-1</w:t>
      </w:r>
      <w:r w:rsidR="005E669E" w:rsidRPr="005E669E">
        <w:rPr>
          <w:vertAlign w:val="superscript"/>
        </w:rPr>
        <w:t>st</w:t>
      </w:r>
      <w:r w:rsidR="005E669E">
        <w:t xml:space="preserve"> centuries BC</w:t>
      </w:r>
      <w:r w:rsidR="005E669E">
        <w:rPr>
          <w:rStyle w:val="FootnoteReference"/>
        </w:rPr>
        <w:footnoteReference w:id="20"/>
      </w:r>
      <w:r w:rsidR="005E669E">
        <w:t>.</w:t>
      </w:r>
      <w:r w:rsidR="0084174B">
        <w:t xml:space="preserve"> </w:t>
      </w:r>
      <w:r w:rsidR="00825FBC">
        <w:t>The very nature of aDNA evidence and the subsequent statistical treatment that it must undergo to demonstrate patterns of variations and changes in them, requires a large pool of data from a great geographic and chronological distribution</w:t>
      </w:r>
      <w:r w:rsidR="005E669E">
        <w:rPr>
          <w:rStyle w:val="FootnoteReference"/>
        </w:rPr>
        <w:footnoteReference w:id="21"/>
      </w:r>
      <w:r w:rsidR="00825FBC">
        <w:t>. Here we encounter the issue of shifts in funerary practices in the 5</w:t>
      </w:r>
      <w:r w:rsidR="00825FBC" w:rsidRPr="00825FBC">
        <w:rPr>
          <w:vertAlign w:val="superscript"/>
        </w:rPr>
        <w:t>th</w:t>
      </w:r>
      <w:r w:rsidR="00825FBC">
        <w:t>-1</w:t>
      </w:r>
      <w:r w:rsidR="00825FBC" w:rsidRPr="00825FBC">
        <w:rPr>
          <w:vertAlign w:val="superscript"/>
        </w:rPr>
        <w:t>st</w:t>
      </w:r>
      <w:r w:rsidR="00825FBC">
        <w:t xml:space="preserve"> centuries BC</w:t>
      </w:r>
      <w:r w:rsidR="00845F45">
        <w:t>, Wait identifies that many different and locally created funerary practises develop in this time period</w:t>
      </w:r>
      <w:r w:rsidR="002869D4">
        <w:t>, with a particular focus on the increase in cremations during the La Tène period</w:t>
      </w:r>
      <w:r w:rsidR="002869D4">
        <w:rPr>
          <w:rStyle w:val="FootnoteReference"/>
        </w:rPr>
        <w:footnoteReference w:id="22"/>
      </w:r>
      <w:r w:rsidR="002869D4">
        <w:t xml:space="preserve">, it quickly becomes </w:t>
      </w:r>
      <w:r w:rsidR="002869D4">
        <w:lastRenderedPageBreak/>
        <w:t>apparent that any data collected cannot be representative of these communities. Add to this the fact that typically only people of a higher social standing receive ‘proper’ burials</w:t>
      </w:r>
      <w:r w:rsidR="0084174B">
        <w:rPr>
          <w:rStyle w:val="FootnoteReference"/>
        </w:rPr>
        <w:footnoteReference w:id="23"/>
      </w:r>
      <w:r w:rsidR="002869D4">
        <w:t xml:space="preserve"> and that only a proportion of remains survive the two-millennia </w:t>
      </w:r>
      <w:r w:rsidR="00666DA2">
        <w:t xml:space="preserve">between now and then only compounds this issue. </w:t>
      </w:r>
    </w:p>
    <w:p w14:paraId="2341C544" w14:textId="2B127E4F" w:rsidR="00666DA2" w:rsidRDefault="00666DA2" w:rsidP="00EA4D62">
      <w:pPr>
        <w:spacing w:line="480" w:lineRule="auto"/>
      </w:pPr>
      <w:r>
        <w:t>Of greater significance to exploring the cultural exchanges and movement of people in this period is the field of isotopic analysis. In 2014 the results of an extensive isotopic analysis into 77 inhumations at the site of Münsingen-Rain</w:t>
      </w:r>
      <w:r>
        <w:rPr>
          <w:rStyle w:val="FootnoteReference"/>
        </w:rPr>
        <w:footnoteReference w:id="24"/>
      </w:r>
      <w:r>
        <w:t>, through the use of</w:t>
      </w:r>
      <w:r w:rsidR="00E96AB2">
        <w:rPr>
          <w:rFonts w:ascii="YwmrbwAdvTT3713a231+03" w:hAnsi="YwmrbwAdvTT3713a231+03" w:cs="YwmrbwAdvTT3713a231+03"/>
          <w:color w:val="131413"/>
          <w:sz w:val="20"/>
          <w:szCs w:val="20"/>
        </w:rPr>
        <w:t xml:space="preserve"> </w:t>
      </w:r>
      <w:r w:rsidR="00E96AB2">
        <w:rPr>
          <w:rFonts w:ascii="Calibri" w:hAnsi="Calibri" w:cs="YwmrbwAdvTT3713a231+03"/>
          <w:color w:val="131413"/>
          <w:sz w:val="20"/>
          <w:szCs w:val="20"/>
        </w:rPr>
        <w:t>δ¹³</w:t>
      </w:r>
      <w:r w:rsidR="00E96AB2">
        <w:rPr>
          <w:rFonts w:ascii="YwmrbwAdvTT3713a231+03" w:hAnsi="YwmrbwAdvTT3713a231+03" w:cs="YwmrbwAdvTT3713a231+03"/>
          <w:color w:val="131413"/>
          <w:sz w:val="20"/>
          <w:szCs w:val="20"/>
        </w:rPr>
        <w:t>C</w:t>
      </w:r>
      <w:r>
        <w:rPr>
          <w:rFonts w:ascii="NfcttnAdvTT3713a231" w:hAnsi="NfcttnAdvTT3713a231" w:cs="NfcttnAdvTT3713a231"/>
          <w:color w:val="131413"/>
          <w:sz w:val="20"/>
          <w:szCs w:val="20"/>
        </w:rPr>
        <w:t>,</w:t>
      </w:r>
      <w:r>
        <w:t xml:space="preserve"> δ³⁴</w:t>
      </w:r>
      <w:r w:rsidR="00E96AB2">
        <w:t>S and</w:t>
      </w:r>
      <w:r>
        <w:t xml:space="preserve"> δ</w:t>
      </w:r>
      <w:r w:rsidR="00E96AB2">
        <w:t>¹⁵N stable isotopes, was able to demonstrate to a high degree of certainty evidence of individuals movements, geographical origins and dietary richness</w:t>
      </w:r>
      <w:r w:rsidR="00E96AB2">
        <w:rPr>
          <w:rStyle w:val="FootnoteReference"/>
        </w:rPr>
        <w:footnoteReference w:id="25"/>
      </w:r>
      <w:r w:rsidR="00E96AB2">
        <w:t xml:space="preserve">. This evidence is indefinitely more useful in determining identity, origin and movement of this particular community than the determination of the individual’s ethnic </w:t>
      </w:r>
      <w:r w:rsidR="00D00112">
        <w:t>makeup</w:t>
      </w:r>
      <w:r w:rsidR="00E96AB2">
        <w:t>. Furthermore, and as if to solidify the point none of the remains at Münsingen were determined to have sufficient traces of DNA for analysis</w:t>
      </w:r>
      <w:r w:rsidR="00D00112">
        <w:rPr>
          <w:rStyle w:val="FootnoteReference"/>
        </w:rPr>
        <w:footnoteReference w:id="26"/>
      </w:r>
      <w:r w:rsidR="00E96AB2">
        <w:t xml:space="preserve"> and potential familial groupings present at the cemetery were instead determined through an osteological examination of the skulls</w:t>
      </w:r>
      <w:r w:rsidR="00E96AB2">
        <w:rPr>
          <w:rStyle w:val="FootnoteReference"/>
        </w:rPr>
        <w:footnoteReference w:id="27"/>
      </w:r>
      <w:r w:rsidR="00E96AB2">
        <w:t xml:space="preserve">. </w:t>
      </w:r>
      <w:r w:rsidR="00D00112">
        <w:t>To solidify this point further stable isotopes are more resistant to alteration or degradation over time, as they remain stable over vast periods of time unlike DNA which is more prone to damage, mutation and contamination</w:t>
      </w:r>
      <w:r w:rsidR="005E669E">
        <w:rPr>
          <w:rStyle w:val="FootnoteReference"/>
        </w:rPr>
        <w:footnoteReference w:id="28"/>
      </w:r>
      <w:r w:rsidR="0084174B">
        <w:t>.</w:t>
      </w:r>
    </w:p>
    <w:p w14:paraId="7F84629B" w14:textId="275D38D5" w:rsidR="0084174B" w:rsidRDefault="0084174B" w:rsidP="00EA4D62">
      <w:pPr>
        <w:spacing w:line="480" w:lineRule="auto"/>
      </w:pPr>
      <w:r>
        <w:t>To conclude, whilst I firmly believe that aDNA analysis can provide information that is useful in determining the arrival of a particular ethnic grouping to an area</w:t>
      </w:r>
      <w:r w:rsidR="00EA4D62">
        <w:t>, it cannot without being effectively used in conjunction with a combination of archaeological, linguistic, historical and isotopic evidence provide a clear interpretation of cultural identity and thus the spread of ‘Celtic’ culture irrespective of its usefulness in determining the movements of large groups of people.</w:t>
      </w:r>
    </w:p>
    <w:p w14:paraId="4BEFAFE1" w14:textId="77777777" w:rsidR="0084174B" w:rsidRDefault="0084174B" w:rsidP="00EA4D62">
      <w:pPr>
        <w:spacing w:line="480" w:lineRule="auto"/>
      </w:pPr>
    </w:p>
    <w:p w14:paraId="08E5D438" w14:textId="77777777" w:rsidR="0084174B" w:rsidRDefault="0084174B" w:rsidP="00EA4D62">
      <w:pPr>
        <w:spacing w:line="480" w:lineRule="auto"/>
      </w:pPr>
    </w:p>
    <w:p w14:paraId="671AB146" w14:textId="77777777" w:rsidR="0084174B" w:rsidRDefault="0084174B" w:rsidP="00EA4D62">
      <w:pPr>
        <w:spacing w:line="480" w:lineRule="auto"/>
      </w:pPr>
    </w:p>
    <w:p w14:paraId="2231B053" w14:textId="77777777" w:rsidR="0084174B" w:rsidRDefault="0084174B" w:rsidP="00EA4D62">
      <w:pPr>
        <w:spacing w:line="480" w:lineRule="auto"/>
      </w:pPr>
    </w:p>
    <w:p w14:paraId="0A4E6C6B" w14:textId="77777777" w:rsidR="0084174B" w:rsidRDefault="0084174B" w:rsidP="00EA4D62">
      <w:pPr>
        <w:spacing w:line="480" w:lineRule="auto"/>
      </w:pPr>
    </w:p>
    <w:p w14:paraId="48B8CBE7" w14:textId="77777777" w:rsidR="0084174B" w:rsidRDefault="0084174B" w:rsidP="00EA4D62">
      <w:pPr>
        <w:spacing w:line="480" w:lineRule="auto"/>
      </w:pPr>
    </w:p>
    <w:p w14:paraId="02508A6E" w14:textId="77777777" w:rsidR="0084174B" w:rsidRDefault="0084174B" w:rsidP="00EA4D62">
      <w:pPr>
        <w:spacing w:line="480" w:lineRule="auto"/>
      </w:pPr>
    </w:p>
    <w:p w14:paraId="060C9029" w14:textId="77777777" w:rsidR="0084174B" w:rsidRDefault="0084174B" w:rsidP="00EA4D62">
      <w:pPr>
        <w:spacing w:line="480" w:lineRule="auto"/>
      </w:pPr>
    </w:p>
    <w:p w14:paraId="32927D4C" w14:textId="77777777" w:rsidR="0084174B" w:rsidRDefault="0084174B" w:rsidP="00EA4D62">
      <w:pPr>
        <w:spacing w:line="480" w:lineRule="auto"/>
      </w:pPr>
    </w:p>
    <w:p w14:paraId="29AF024E" w14:textId="77777777" w:rsidR="0084174B" w:rsidRDefault="0084174B" w:rsidP="00EA4D62">
      <w:pPr>
        <w:spacing w:line="480" w:lineRule="auto"/>
      </w:pPr>
    </w:p>
    <w:p w14:paraId="0287B91B" w14:textId="77777777" w:rsidR="0084174B" w:rsidRDefault="0084174B" w:rsidP="00EA4D62">
      <w:pPr>
        <w:spacing w:line="480" w:lineRule="auto"/>
      </w:pPr>
    </w:p>
    <w:p w14:paraId="20C9A76F" w14:textId="77777777" w:rsidR="0084174B" w:rsidRDefault="0084174B" w:rsidP="00EA4D62">
      <w:pPr>
        <w:spacing w:line="480" w:lineRule="auto"/>
      </w:pPr>
    </w:p>
    <w:p w14:paraId="082FFD37" w14:textId="77777777" w:rsidR="0084174B" w:rsidRDefault="0084174B" w:rsidP="00EA4D62">
      <w:pPr>
        <w:spacing w:line="480" w:lineRule="auto"/>
      </w:pPr>
    </w:p>
    <w:p w14:paraId="2D667BA0" w14:textId="77777777" w:rsidR="0084174B" w:rsidRDefault="0084174B" w:rsidP="00EA4D62">
      <w:pPr>
        <w:spacing w:line="480" w:lineRule="auto"/>
      </w:pPr>
    </w:p>
    <w:p w14:paraId="7DC901D6" w14:textId="77777777" w:rsidR="0084174B" w:rsidRDefault="0084174B" w:rsidP="00EA4D62">
      <w:pPr>
        <w:spacing w:line="480" w:lineRule="auto"/>
      </w:pPr>
    </w:p>
    <w:p w14:paraId="11F8936C" w14:textId="77777777" w:rsidR="0084174B" w:rsidRDefault="0084174B" w:rsidP="00EA4D62">
      <w:pPr>
        <w:spacing w:line="480" w:lineRule="auto"/>
      </w:pPr>
    </w:p>
    <w:p w14:paraId="0F6E140E" w14:textId="77777777" w:rsidR="0084174B" w:rsidRDefault="0084174B" w:rsidP="00EA4D62">
      <w:pPr>
        <w:spacing w:line="480" w:lineRule="auto"/>
      </w:pPr>
    </w:p>
    <w:p w14:paraId="70D98C06" w14:textId="77777777" w:rsidR="0084174B" w:rsidRDefault="0084174B" w:rsidP="00EA4D62">
      <w:pPr>
        <w:spacing w:line="480" w:lineRule="auto"/>
      </w:pPr>
    </w:p>
    <w:p w14:paraId="28D62E2D" w14:textId="77777777" w:rsidR="0084174B" w:rsidRDefault="0084174B" w:rsidP="00EA4D62">
      <w:pPr>
        <w:spacing w:line="480" w:lineRule="auto"/>
      </w:pPr>
    </w:p>
    <w:p w14:paraId="5B77FDE5" w14:textId="77777777" w:rsidR="0084174B" w:rsidRDefault="0084174B" w:rsidP="00EA4D62">
      <w:pPr>
        <w:spacing w:line="480" w:lineRule="auto"/>
      </w:pPr>
    </w:p>
    <w:p w14:paraId="255AAB0A" w14:textId="424659AB" w:rsidR="0084174B" w:rsidRDefault="0084174B" w:rsidP="00EA4D62">
      <w:pPr>
        <w:spacing w:line="480" w:lineRule="auto"/>
        <w:jc w:val="center"/>
      </w:pPr>
      <w:r>
        <w:t>Bibliography</w:t>
      </w:r>
    </w:p>
    <w:p w14:paraId="6F2C0791" w14:textId="2C9CC0CF" w:rsidR="00BD6DB2" w:rsidRDefault="00C4692C" w:rsidP="00EA4D62">
      <w:pPr>
        <w:spacing w:line="480" w:lineRule="auto"/>
      </w:pPr>
      <w:r w:rsidRPr="00C4692C">
        <w:lastRenderedPageBreak/>
        <w:t xml:space="preserve">Caesar, The Conquest of Gaul. S.A. </w:t>
      </w:r>
      <w:proofErr w:type="spellStart"/>
      <w:r w:rsidRPr="00C4692C">
        <w:t>Handford</w:t>
      </w:r>
      <w:proofErr w:type="spellEnd"/>
      <w:r w:rsidRPr="00C4692C">
        <w:t xml:space="preserve"> (trans.). 1951. London: Penguin Classics.</w:t>
      </w:r>
    </w:p>
    <w:p w14:paraId="149D8AD0" w14:textId="77777777" w:rsidR="0084174B" w:rsidRDefault="0084174B" w:rsidP="00EA4D62">
      <w:pPr>
        <w:spacing w:line="480" w:lineRule="auto"/>
      </w:pPr>
    </w:p>
    <w:p w14:paraId="36A5F2A2" w14:textId="77777777" w:rsidR="0084174B" w:rsidRDefault="0084174B" w:rsidP="00EA4D62">
      <w:pPr>
        <w:pStyle w:val="Bibliography"/>
        <w:spacing w:line="480" w:lineRule="auto"/>
        <w:rPr>
          <w:noProof/>
          <w:sz w:val="24"/>
          <w:szCs w:val="24"/>
        </w:rPr>
      </w:pPr>
      <w:r>
        <w:fldChar w:fldCharType="begin"/>
      </w:r>
      <w:r>
        <w:instrText xml:space="preserve"> BIBLIOGRAPHY  \l 2057 </w:instrText>
      </w:r>
      <w:r>
        <w:fldChar w:fldCharType="separate"/>
      </w:r>
      <w:r>
        <w:rPr>
          <w:noProof/>
        </w:rPr>
        <w:t xml:space="preserve">Evans, D. E., 1996. The Early Celts, The evidence of language. In: M. J. Green, ed. </w:t>
      </w:r>
      <w:r>
        <w:rPr>
          <w:i/>
          <w:iCs/>
          <w:noProof/>
        </w:rPr>
        <w:t xml:space="preserve">The Celtic World. </w:t>
      </w:r>
      <w:r>
        <w:rPr>
          <w:noProof/>
        </w:rPr>
        <w:t>London and New York: Routledge, pp. 8-20.</w:t>
      </w:r>
    </w:p>
    <w:p w14:paraId="1759F5CA" w14:textId="77777777" w:rsidR="0084174B" w:rsidRDefault="0084174B" w:rsidP="00EA4D62">
      <w:pPr>
        <w:pStyle w:val="Bibliography"/>
        <w:spacing w:line="480" w:lineRule="auto"/>
        <w:rPr>
          <w:noProof/>
        </w:rPr>
      </w:pPr>
      <w:r>
        <w:rPr>
          <w:noProof/>
        </w:rPr>
        <w:t xml:space="preserve">Green, M. J., 1996. </w:t>
      </w:r>
      <w:r>
        <w:rPr>
          <w:i/>
          <w:iCs/>
          <w:noProof/>
        </w:rPr>
        <w:t xml:space="preserve">The Celtic World. </w:t>
      </w:r>
      <w:r>
        <w:rPr>
          <w:noProof/>
        </w:rPr>
        <w:t>2nd ed. London and New York: Routledge.</w:t>
      </w:r>
    </w:p>
    <w:p w14:paraId="7136FE0D" w14:textId="77777777" w:rsidR="0084174B" w:rsidRDefault="0084174B" w:rsidP="00EA4D62">
      <w:pPr>
        <w:pStyle w:val="Bibliography"/>
        <w:spacing w:line="480" w:lineRule="auto"/>
        <w:rPr>
          <w:noProof/>
        </w:rPr>
      </w:pPr>
      <w:r>
        <w:rPr>
          <w:noProof/>
        </w:rPr>
        <w:t xml:space="preserve">Haeussler, R., 2013. </w:t>
      </w:r>
      <w:r>
        <w:rPr>
          <w:i/>
          <w:iCs/>
          <w:noProof/>
        </w:rPr>
        <w:t xml:space="preserve">Becoming Roman?: Diverging Identities and Experiences in Ancient Northwest Italy. </w:t>
      </w:r>
      <w:r>
        <w:rPr>
          <w:noProof/>
        </w:rPr>
        <w:t>1st ed. Walnut Creek: Left Coast Press.</w:t>
      </w:r>
    </w:p>
    <w:p w14:paraId="65BD3759" w14:textId="77777777" w:rsidR="0084174B" w:rsidRDefault="0084174B" w:rsidP="00EA4D62">
      <w:pPr>
        <w:pStyle w:val="Bibliography"/>
        <w:spacing w:line="480" w:lineRule="auto"/>
        <w:rPr>
          <w:noProof/>
        </w:rPr>
      </w:pPr>
      <w:r>
        <w:rPr>
          <w:noProof/>
        </w:rPr>
        <w:t xml:space="preserve">James, S., 1999. </w:t>
      </w:r>
      <w:r>
        <w:rPr>
          <w:i/>
          <w:iCs/>
          <w:noProof/>
        </w:rPr>
        <w:t xml:space="preserve">The Atlantic Celts. </w:t>
      </w:r>
      <w:r>
        <w:rPr>
          <w:noProof/>
        </w:rPr>
        <w:t>3rd ed. Bath: The Bath Press.</w:t>
      </w:r>
    </w:p>
    <w:p w14:paraId="270150A3" w14:textId="77777777" w:rsidR="0084174B" w:rsidRDefault="0084174B" w:rsidP="00EA4D62">
      <w:pPr>
        <w:pStyle w:val="Bibliography"/>
        <w:spacing w:line="480" w:lineRule="auto"/>
        <w:rPr>
          <w:noProof/>
        </w:rPr>
      </w:pPr>
      <w:r>
        <w:rPr>
          <w:noProof/>
        </w:rPr>
        <w:t xml:space="preserve">Millar, C. D. et al., 2008. New developments in ancient genomics. </w:t>
      </w:r>
      <w:r>
        <w:rPr>
          <w:i/>
          <w:iCs/>
          <w:noProof/>
        </w:rPr>
        <w:t xml:space="preserve">Trends in Ecology &amp; Evolution, </w:t>
      </w:r>
      <w:r>
        <w:rPr>
          <w:noProof/>
        </w:rPr>
        <w:t>23(7), pp. 386-393.</w:t>
      </w:r>
    </w:p>
    <w:p w14:paraId="787F47FD" w14:textId="77777777" w:rsidR="0084174B" w:rsidRDefault="0084174B" w:rsidP="00EA4D62">
      <w:pPr>
        <w:pStyle w:val="Bibliography"/>
        <w:spacing w:line="480" w:lineRule="auto"/>
        <w:rPr>
          <w:noProof/>
        </w:rPr>
      </w:pPr>
      <w:r>
        <w:rPr>
          <w:noProof/>
        </w:rPr>
        <w:t xml:space="preserve">Moghaddam, N., Müller, F., Hafner, A. &amp; Lösch, S., 2014. Social stratigraphy in Late Iron Age Switzerland: stable carbon, nitrogen and sulphur isotope analysis of human remains from Münsingen. </w:t>
      </w:r>
      <w:r>
        <w:rPr>
          <w:i/>
          <w:iCs/>
          <w:noProof/>
        </w:rPr>
        <w:t xml:space="preserve">Archaeology Anthropology Science, </w:t>
      </w:r>
      <w:r>
        <w:rPr>
          <w:noProof/>
        </w:rPr>
        <w:t>Volume 8, pp. 149-160.</w:t>
      </w:r>
    </w:p>
    <w:p w14:paraId="45F9BFC1" w14:textId="77777777" w:rsidR="0084174B" w:rsidRDefault="0084174B" w:rsidP="00EA4D62">
      <w:pPr>
        <w:pStyle w:val="Bibliography"/>
        <w:spacing w:line="480" w:lineRule="auto"/>
        <w:rPr>
          <w:noProof/>
        </w:rPr>
      </w:pPr>
      <w:r>
        <w:rPr>
          <w:noProof/>
        </w:rPr>
        <w:t xml:space="preserve">Müller, F., Jud, P. &amp; Alt, K. W., 2008. Artefacts, skulls and written sources: the social ranking of a Celtic family buried at Münsingen-Rain. </w:t>
      </w:r>
      <w:r>
        <w:rPr>
          <w:i/>
          <w:iCs/>
          <w:noProof/>
        </w:rPr>
        <w:t xml:space="preserve">Antiquity, </w:t>
      </w:r>
      <w:r>
        <w:rPr>
          <w:noProof/>
        </w:rPr>
        <w:t>82(316), pp. 462-469.</w:t>
      </w:r>
    </w:p>
    <w:p w14:paraId="193E18EC" w14:textId="77777777" w:rsidR="0084174B" w:rsidRDefault="0084174B" w:rsidP="00EA4D62">
      <w:pPr>
        <w:pStyle w:val="Bibliography"/>
        <w:spacing w:line="480" w:lineRule="auto"/>
        <w:rPr>
          <w:noProof/>
        </w:rPr>
      </w:pPr>
      <w:r>
        <w:rPr>
          <w:noProof/>
        </w:rPr>
        <w:t xml:space="preserve">Pala, M., Soares, P. &amp; Richards, M. B., 2016. Archaeogenetic and Palaeogenetic evidence for metal age mobility in Europe. In: J. T. Koch &amp; B. Cunliffe, eds. </w:t>
      </w:r>
      <w:r>
        <w:rPr>
          <w:i/>
          <w:iCs/>
          <w:noProof/>
        </w:rPr>
        <w:t xml:space="preserve">Celts from the West 3, Atlantic Europe in the Metal Ages: questions of shared language. </w:t>
      </w:r>
      <w:r>
        <w:rPr>
          <w:noProof/>
        </w:rPr>
        <w:t>Oxford: Oxbow Books, pp. 351-384.</w:t>
      </w:r>
    </w:p>
    <w:p w14:paraId="7E4EC5FC" w14:textId="77777777" w:rsidR="0084174B" w:rsidRDefault="0084174B" w:rsidP="00EA4D62">
      <w:pPr>
        <w:pStyle w:val="Bibliography"/>
        <w:spacing w:line="480" w:lineRule="auto"/>
        <w:rPr>
          <w:noProof/>
        </w:rPr>
      </w:pPr>
      <w:r>
        <w:rPr>
          <w:noProof/>
        </w:rPr>
        <w:t xml:space="preserve">Rankin, D., 1996. The Celts through classical eyes. In: M. J. Green, ed. </w:t>
      </w:r>
      <w:r>
        <w:rPr>
          <w:i/>
          <w:iCs/>
          <w:noProof/>
        </w:rPr>
        <w:t xml:space="preserve">The Celtic World. </w:t>
      </w:r>
      <w:r>
        <w:rPr>
          <w:noProof/>
        </w:rPr>
        <w:t>London and New York: Routledge, pp. 21-33.</w:t>
      </w:r>
    </w:p>
    <w:p w14:paraId="2F0E53DA" w14:textId="77777777" w:rsidR="0084174B" w:rsidRDefault="0084174B" w:rsidP="00EA4D62">
      <w:pPr>
        <w:pStyle w:val="Bibliography"/>
        <w:spacing w:line="480" w:lineRule="auto"/>
        <w:rPr>
          <w:noProof/>
        </w:rPr>
      </w:pPr>
      <w:r>
        <w:rPr>
          <w:noProof/>
        </w:rPr>
        <w:t xml:space="preserve">Renfrew, C., 2000. </w:t>
      </w:r>
      <w:r>
        <w:rPr>
          <w:i/>
          <w:iCs/>
          <w:noProof/>
        </w:rPr>
        <w:t xml:space="preserve">Archaeogenetics: towards a population prehistory of Europe`. </w:t>
      </w:r>
      <w:r>
        <w:rPr>
          <w:noProof/>
        </w:rPr>
        <w:t>1st ed. Cambridge: McDonald Institute.</w:t>
      </w:r>
    </w:p>
    <w:p w14:paraId="53B39D0C" w14:textId="77777777" w:rsidR="0084174B" w:rsidRDefault="0084174B" w:rsidP="00EA4D62">
      <w:pPr>
        <w:pStyle w:val="Bibliography"/>
        <w:spacing w:line="480" w:lineRule="auto"/>
        <w:rPr>
          <w:noProof/>
        </w:rPr>
      </w:pPr>
      <w:r>
        <w:rPr>
          <w:noProof/>
        </w:rPr>
        <w:lastRenderedPageBreak/>
        <w:t xml:space="preserve">Wait, G. A., 1996. Burial and the Underworld. In: M. J. Green, ed. </w:t>
      </w:r>
      <w:r>
        <w:rPr>
          <w:i/>
          <w:iCs/>
          <w:noProof/>
        </w:rPr>
        <w:t xml:space="preserve">The Celtic World. </w:t>
      </w:r>
      <w:r>
        <w:rPr>
          <w:noProof/>
        </w:rPr>
        <w:t>London and New York: Routledge, pp. 489-511.</w:t>
      </w:r>
    </w:p>
    <w:p w14:paraId="0E857FDF" w14:textId="422F00ED" w:rsidR="0084174B" w:rsidRDefault="0084174B" w:rsidP="00EA4D62">
      <w:pPr>
        <w:spacing w:line="480" w:lineRule="auto"/>
      </w:pPr>
      <w:r>
        <w:fldChar w:fldCharType="end"/>
      </w:r>
    </w:p>
    <w:sectPr w:rsidR="008417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DBC1DB" w14:textId="77777777" w:rsidR="00793A84" w:rsidRDefault="00793A84" w:rsidP="006E357E">
      <w:pPr>
        <w:spacing w:after="0" w:line="240" w:lineRule="auto"/>
      </w:pPr>
      <w:r>
        <w:separator/>
      </w:r>
    </w:p>
  </w:endnote>
  <w:endnote w:type="continuationSeparator" w:id="0">
    <w:p w14:paraId="6870A181" w14:textId="77777777" w:rsidR="00793A84" w:rsidRDefault="00793A84" w:rsidP="006E3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YwmrbwAdvTT3713a231+03">
    <w:altName w:val="Calibri"/>
    <w:panose1 w:val="00000000000000000000"/>
    <w:charset w:val="00"/>
    <w:family w:val="auto"/>
    <w:notTrueType/>
    <w:pitch w:val="default"/>
    <w:sig w:usb0="00000003" w:usb1="00000000" w:usb2="00000000" w:usb3="00000000" w:csb0="00000001" w:csb1="00000000"/>
  </w:font>
  <w:font w:name="NfcttnAdvTT3713a231">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9DAC1" w14:textId="77777777" w:rsidR="00793A84" w:rsidRDefault="00793A84" w:rsidP="006E357E">
      <w:pPr>
        <w:spacing w:after="0" w:line="240" w:lineRule="auto"/>
      </w:pPr>
      <w:r>
        <w:separator/>
      </w:r>
    </w:p>
  </w:footnote>
  <w:footnote w:type="continuationSeparator" w:id="0">
    <w:p w14:paraId="5176914D" w14:textId="77777777" w:rsidR="00793A84" w:rsidRDefault="00793A84" w:rsidP="006E357E">
      <w:pPr>
        <w:spacing w:after="0" w:line="240" w:lineRule="auto"/>
      </w:pPr>
      <w:r>
        <w:continuationSeparator/>
      </w:r>
    </w:p>
  </w:footnote>
  <w:footnote w:id="1">
    <w:p w14:paraId="12EB5B76" w14:textId="0002988D" w:rsidR="006E357E" w:rsidRDefault="006E357E">
      <w:pPr>
        <w:pStyle w:val="FootnoteText"/>
      </w:pPr>
      <w:r>
        <w:rPr>
          <w:rStyle w:val="FootnoteReference"/>
        </w:rPr>
        <w:footnoteRef/>
      </w:r>
      <w:r>
        <w:t xml:space="preserve"> </w:t>
      </w:r>
      <w:r w:rsidRPr="006E357E">
        <w:rPr>
          <w:noProof/>
        </w:rPr>
        <w:t>Millar, et al., 2008, p. 351</w:t>
      </w:r>
      <w:r w:rsidR="00B63C61">
        <w:rPr>
          <w:noProof/>
        </w:rPr>
        <w:t>.</w:t>
      </w:r>
    </w:p>
  </w:footnote>
  <w:footnote w:id="2">
    <w:p w14:paraId="01BF394F" w14:textId="7EA3086D" w:rsidR="006E357E" w:rsidRDefault="006E357E">
      <w:pPr>
        <w:pStyle w:val="FootnoteText"/>
      </w:pPr>
      <w:r>
        <w:rPr>
          <w:rStyle w:val="FootnoteReference"/>
        </w:rPr>
        <w:footnoteRef/>
      </w:r>
      <w:r>
        <w:t xml:space="preserve"> Ibid</w:t>
      </w:r>
      <w:r w:rsidR="00BD6DB2">
        <w:t>., p.351</w:t>
      </w:r>
      <w:r w:rsidR="00B63C61">
        <w:t>.</w:t>
      </w:r>
    </w:p>
  </w:footnote>
  <w:footnote w:id="3">
    <w:p w14:paraId="7D23E3C8" w14:textId="33774B19" w:rsidR="006E357E" w:rsidRDefault="006E357E">
      <w:pPr>
        <w:pStyle w:val="FootnoteText"/>
      </w:pPr>
      <w:r>
        <w:rPr>
          <w:rStyle w:val="FootnoteReference"/>
        </w:rPr>
        <w:footnoteRef/>
      </w:r>
      <w:r>
        <w:t xml:space="preserve"> </w:t>
      </w:r>
      <w:r w:rsidRPr="006E357E">
        <w:rPr>
          <w:noProof/>
        </w:rPr>
        <w:t>Müller, et al., 2008, p. 462</w:t>
      </w:r>
      <w:r>
        <w:rPr>
          <w:noProof/>
        </w:rPr>
        <w:t>.</w:t>
      </w:r>
      <w:r w:rsidR="00BD6DB2">
        <w:rPr>
          <w:noProof/>
        </w:rPr>
        <w:t xml:space="preserve"> These authors established the chronology of the La Tene period in Switzerland as follows:</w:t>
      </w:r>
      <w:r>
        <w:rPr>
          <w:noProof/>
        </w:rPr>
        <w:t xml:space="preserve"> </w:t>
      </w:r>
      <w:r w:rsidRPr="006E357E">
        <w:t>La Tène A 450-400BC, La Tène B 400-240BC and La Tène C 240-150BC.</w:t>
      </w:r>
    </w:p>
  </w:footnote>
  <w:footnote w:id="4">
    <w:p w14:paraId="72B9F7CC" w14:textId="78F04A9F" w:rsidR="00B63C61" w:rsidRDefault="00B63C61">
      <w:pPr>
        <w:pStyle w:val="FootnoteText"/>
      </w:pPr>
      <w:r>
        <w:rPr>
          <w:rStyle w:val="FootnoteReference"/>
        </w:rPr>
        <w:footnoteRef/>
      </w:r>
      <w:r>
        <w:t xml:space="preserve"> </w:t>
      </w:r>
      <w:r w:rsidRPr="00B63C61">
        <w:rPr>
          <w:noProof/>
        </w:rPr>
        <w:t>Green, 1996, p. 3</w:t>
      </w:r>
      <w:r>
        <w:rPr>
          <w:noProof/>
        </w:rPr>
        <w:t>.</w:t>
      </w:r>
    </w:p>
  </w:footnote>
  <w:footnote w:id="5">
    <w:p w14:paraId="233E3A9C" w14:textId="1F6E318A" w:rsidR="00A8541C" w:rsidRDefault="00A8541C">
      <w:pPr>
        <w:pStyle w:val="FootnoteText"/>
        <w:rPr>
          <w:noProof/>
        </w:rPr>
      </w:pPr>
      <w:r>
        <w:rPr>
          <w:rStyle w:val="FootnoteReference"/>
        </w:rPr>
        <w:footnoteRef/>
      </w:r>
      <w:r>
        <w:t xml:space="preserve"> </w:t>
      </w:r>
      <w:r w:rsidRPr="00A8541C">
        <w:rPr>
          <w:noProof/>
        </w:rPr>
        <w:t>Evans, 1996, p. 8</w:t>
      </w:r>
      <w:r>
        <w:rPr>
          <w:noProof/>
        </w:rPr>
        <w:t>.</w:t>
      </w:r>
    </w:p>
  </w:footnote>
  <w:footnote w:id="6">
    <w:p w14:paraId="1F4F2ED8" w14:textId="356BB4C4" w:rsidR="00BD6DB2" w:rsidRDefault="00BD6DB2">
      <w:pPr>
        <w:pStyle w:val="FootnoteText"/>
        <w:rPr>
          <w:noProof/>
        </w:rPr>
      </w:pPr>
      <w:r>
        <w:rPr>
          <w:rStyle w:val="FootnoteReference"/>
        </w:rPr>
        <w:footnoteRef/>
      </w:r>
      <w:r>
        <w:t xml:space="preserve"> </w:t>
      </w:r>
      <w:r w:rsidRPr="00BD6DB2">
        <w:rPr>
          <w:noProof/>
        </w:rPr>
        <w:t>Millar, et al., 2008, p. 352</w:t>
      </w:r>
      <w:r w:rsidR="00B63C61">
        <w:rPr>
          <w:noProof/>
        </w:rPr>
        <w:t>.</w:t>
      </w:r>
    </w:p>
  </w:footnote>
  <w:footnote w:id="7">
    <w:p w14:paraId="18326B05" w14:textId="4F872812" w:rsidR="00BD6DB2" w:rsidRDefault="00BD6DB2">
      <w:pPr>
        <w:pStyle w:val="FootnoteText"/>
      </w:pPr>
      <w:r>
        <w:rPr>
          <w:rStyle w:val="FootnoteReference"/>
        </w:rPr>
        <w:footnoteRef/>
      </w:r>
      <w:r>
        <w:t xml:space="preserve"> Ibid., p.352</w:t>
      </w:r>
      <w:r w:rsidR="00B63C61">
        <w:t>.</w:t>
      </w:r>
    </w:p>
  </w:footnote>
  <w:footnote w:id="8">
    <w:p w14:paraId="39C6A2C1" w14:textId="0F192684" w:rsidR="00BD6DB2" w:rsidRDefault="00BD6DB2">
      <w:pPr>
        <w:pStyle w:val="FootnoteText"/>
      </w:pPr>
      <w:r>
        <w:rPr>
          <w:rStyle w:val="FootnoteReference"/>
        </w:rPr>
        <w:footnoteRef/>
      </w:r>
      <w:r>
        <w:t xml:space="preserve"> Ibid., p.352</w:t>
      </w:r>
      <w:r w:rsidR="00B63C61">
        <w:t>.</w:t>
      </w:r>
    </w:p>
  </w:footnote>
  <w:footnote w:id="9">
    <w:p w14:paraId="61FC4157" w14:textId="0C804394" w:rsidR="00BD6DB2" w:rsidRDefault="00BD6DB2">
      <w:pPr>
        <w:pStyle w:val="FootnoteText"/>
      </w:pPr>
      <w:r>
        <w:rPr>
          <w:rStyle w:val="FootnoteReference"/>
        </w:rPr>
        <w:footnoteRef/>
      </w:r>
      <w:r>
        <w:t xml:space="preserve"> Ibid., p.353</w:t>
      </w:r>
      <w:r w:rsidR="00B63C61">
        <w:t>.</w:t>
      </w:r>
    </w:p>
  </w:footnote>
  <w:footnote w:id="10">
    <w:p w14:paraId="51EE653C" w14:textId="52E73F9D" w:rsidR="00BD6DB2" w:rsidRDefault="00BD6DB2">
      <w:pPr>
        <w:pStyle w:val="FootnoteText"/>
      </w:pPr>
      <w:r>
        <w:rPr>
          <w:rStyle w:val="FootnoteReference"/>
        </w:rPr>
        <w:footnoteRef/>
      </w:r>
      <w:r>
        <w:t xml:space="preserve"> </w:t>
      </w:r>
      <w:r w:rsidRPr="00BD6DB2">
        <w:t>Ibid., p.353</w:t>
      </w:r>
      <w:r w:rsidR="00B63C61">
        <w:t>.</w:t>
      </w:r>
    </w:p>
  </w:footnote>
  <w:footnote w:id="11">
    <w:p w14:paraId="3CE43DBE" w14:textId="43B2AFBA" w:rsidR="00114B83" w:rsidRDefault="00114B83">
      <w:pPr>
        <w:pStyle w:val="FootnoteText"/>
      </w:pPr>
      <w:r>
        <w:rPr>
          <w:rStyle w:val="FootnoteReference"/>
        </w:rPr>
        <w:footnoteRef/>
      </w:r>
      <w:r>
        <w:t xml:space="preserve"> </w:t>
      </w:r>
      <w:r w:rsidRPr="00114B83">
        <w:rPr>
          <w:noProof/>
        </w:rPr>
        <w:t>Green, 1996, p. 6</w:t>
      </w:r>
      <w:r>
        <w:rPr>
          <w:noProof/>
        </w:rPr>
        <w:t>.</w:t>
      </w:r>
    </w:p>
  </w:footnote>
  <w:footnote w:id="12">
    <w:p w14:paraId="79FAB1AF" w14:textId="761190D5" w:rsidR="00114B83" w:rsidRDefault="00114B83">
      <w:pPr>
        <w:pStyle w:val="FootnoteText"/>
      </w:pPr>
      <w:r>
        <w:rPr>
          <w:rStyle w:val="FootnoteReference"/>
        </w:rPr>
        <w:footnoteRef/>
      </w:r>
      <w:r>
        <w:t xml:space="preserve"> </w:t>
      </w:r>
      <w:r w:rsidRPr="00114B83">
        <w:rPr>
          <w:noProof/>
        </w:rPr>
        <w:t>Rankin, 1996, pp. 21-32</w:t>
      </w:r>
      <w:r>
        <w:rPr>
          <w:noProof/>
        </w:rPr>
        <w:t>.</w:t>
      </w:r>
    </w:p>
  </w:footnote>
  <w:footnote w:id="13">
    <w:p w14:paraId="6BADC0C0" w14:textId="6B8587FC" w:rsidR="00A8541C" w:rsidRDefault="00A8541C">
      <w:pPr>
        <w:pStyle w:val="FootnoteText"/>
      </w:pPr>
      <w:r>
        <w:rPr>
          <w:rStyle w:val="FootnoteReference"/>
        </w:rPr>
        <w:footnoteRef/>
      </w:r>
      <w:r>
        <w:t xml:space="preserve"> </w:t>
      </w:r>
      <w:r w:rsidRPr="00A8541C">
        <w:rPr>
          <w:noProof/>
        </w:rPr>
        <w:t>Green, 1996, pp. 6-7</w:t>
      </w:r>
      <w:r>
        <w:rPr>
          <w:noProof/>
        </w:rPr>
        <w:t>.</w:t>
      </w:r>
    </w:p>
  </w:footnote>
  <w:footnote w:id="14">
    <w:p w14:paraId="34EAA08D" w14:textId="40839DD7" w:rsidR="00343F5F" w:rsidRPr="00343F5F" w:rsidRDefault="00343F5F">
      <w:pPr>
        <w:pStyle w:val="FootnoteText"/>
      </w:pPr>
      <w:r>
        <w:rPr>
          <w:rStyle w:val="FootnoteReference"/>
        </w:rPr>
        <w:footnoteRef/>
      </w:r>
      <w:r>
        <w:t xml:space="preserve"> Caesar. </w:t>
      </w:r>
      <w:r>
        <w:rPr>
          <w:i/>
        </w:rPr>
        <w:t xml:space="preserve">Gallic War. </w:t>
      </w:r>
      <w:r>
        <w:t>4.20-5.24</w:t>
      </w:r>
    </w:p>
  </w:footnote>
  <w:footnote w:id="15">
    <w:p w14:paraId="0A412922" w14:textId="737D05A6" w:rsidR="00C4692C" w:rsidRDefault="00C4692C">
      <w:pPr>
        <w:pStyle w:val="FootnoteText"/>
      </w:pPr>
      <w:r>
        <w:rPr>
          <w:rStyle w:val="FootnoteReference"/>
        </w:rPr>
        <w:footnoteRef/>
      </w:r>
      <w:r>
        <w:t xml:space="preserve"> Ibid., 4.21</w:t>
      </w:r>
    </w:p>
  </w:footnote>
  <w:footnote w:id="16">
    <w:p w14:paraId="1CE337BD" w14:textId="1241F6BB" w:rsidR="00C4692C" w:rsidRDefault="00C4692C">
      <w:pPr>
        <w:pStyle w:val="FootnoteText"/>
      </w:pPr>
      <w:r>
        <w:rPr>
          <w:rStyle w:val="FootnoteReference"/>
        </w:rPr>
        <w:footnoteRef/>
      </w:r>
      <w:r>
        <w:t xml:space="preserve"> </w:t>
      </w:r>
      <w:r w:rsidRPr="00C4692C">
        <w:rPr>
          <w:noProof/>
        </w:rPr>
        <w:t>Wait, 1996, p. 497</w:t>
      </w:r>
      <w:r>
        <w:rPr>
          <w:noProof/>
        </w:rPr>
        <w:t>.</w:t>
      </w:r>
    </w:p>
  </w:footnote>
  <w:footnote w:id="17">
    <w:p w14:paraId="57A5D2FD" w14:textId="30F99208" w:rsidR="00C4692C" w:rsidRDefault="00C4692C">
      <w:pPr>
        <w:pStyle w:val="FootnoteText"/>
      </w:pPr>
      <w:r>
        <w:rPr>
          <w:rStyle w:val="FootnoteReference"/>
        </w:rPr>
        <w:footnoteRef/>
      </w:r>
      <w:r>
        <w:t xml:space="preserve"> </w:t>
      </w:r>
      <w:r w:rsidRPr="00C4692C">
        <w:rPr>
          <w:noProof/>
        </w:rPr>
        <w:t>James, 1999, p. 84</w:t>
      </w:r>
      <w:r>
        <w:rPr>
          <w:noProof/>
        </w:rPr>
        <w:t>.</w:t>
      </w:r>
    </w:p>
  </w:footnote>
  <w:footnote w:id="18">
    <w:p w14:paraId="412FFA94" w14:textId="547A905C" w:rsidR="0084174B" w:rsidRDefault="0084174B">
      <w:pPr>
        <w:pStyle w:val="FootnoteText"/>
      </w:pPr>
      <w:r>
        <w:rPr>
          <w:rStyle w:val="FootnoteReference"/>
        </w:rPr>
        <w:footnoteRef/>
      </w:r>
      <w:r>
        <w:t xml:space="preserve"> </w:t>
      </w:r>
      <w:r w:rsidRPr="0084174B">
        <w:rPr>
          <w:noProof/>
        </w:rPr>
        <w:t>Haeussler, 2013, pp. 84-85</w:t>
      </w:r>
      <w:r>
        <w:rPr>
          <w:noProof/>
        </w:rPr>
        <w:t>.</w:t>
      </w:r>
    </w:p>
  </w:footnote>
  <w:footnote w:id="19">
    <w:p w14:paraId="178A8A33" w14:textId="05718563" w:rsidR="00D00112" w:rsidRDefault="00D00112">
      <w:pPr>
        <w:pStyle w:val="FootnoteText"/>
      </w:pPr>
      <w:r>
        <w:rPr>
          <w:rStyle w:val="FootnoteReference"/>
        </w:rPr>
        <w:footnoteRef/>
      </w:r>
      <w:r>
        <w:t xml:space="preserve"> </w:t>
      </w:r>
      <w:r w:rsidRPr="00D00112">
        <w:rPr>
          <w:noProof/>
        </w:rPr>
        <w:t>Pala, et al., 2016, p. 354</w:t>
      </w:r>
      <w:r>
        <w:rPr>
          <w:noProof/>
        </w:rPr>
        <w:t>.</w:t>
      </w:r>
    </w:p>
  </w:footnote>
  <w:footnote w:id="20">
    <w:p w14:paraId="48192CC9" w14:textId="38530046" w:rsidR="005E669E" w:rsidRDefault="005E669E">
      <w:pPr>
        <w:pStyle w:val="FootnoteText"/>
      </w:pPr>
      <w:r>
        <w:rPr>
          <w:rStyle w:val="FootnoteReference"/>
        </w:rPr>
        <w:footnoteRef/>
      </w:r>
      <w:r>
        <w:t xml:space="preserve"> </w:t>
      </w:r>
      <w:r w:rsidRPr="005E669E">
        <w:rPr>
          <w:noProof/>
        </w:rPr>
        <w:t>James, 1999, p. 84</w:t>
      </w:r>
      <w:r>
        <w:rPr>
          <w:noProof/>
        </w:rPr>
        <w:t>.</w:t>
      </w:r>
    </w:p>
  </w:footnote>
  <w:footnote w:id="21">
    <w:p w14:paraId="480495C9" w14:textId="17602567" w:rsidR="005E669E" w:rsidRDefault="005E669E">
      <w:pPr>
        <w:pStyle w:val="FootnoteText"/>
      </w:pPr>
      <w:r>
        <w:rPr>
          <w:rStyle w:val="FootnoteReference"/>
        </w:rPr>
        <w:footnoteRef/>
      </w:r>
      <w:r>
        <w:t xml:space="preserve"> </w:t>
      </w:r>
      <w:r>
        <w:rPr>
          <w:noProof/>
        </w:rPr>
        <w:t>Ibid.</w:t>
      </w:r>
      <w:r w:rsidRPr="005E669E">
        <w:rPr>
          <w:noProof/>
        </w:rPr>
        <w:t>, pp. 84-85</w:t>
      </w:r>
      <w:r>
        <w:rPr>
          <w:noProof/>
        </w:rPr>
        <w:t>.</w:t>
      </w:r>
    </w:p>
  </w:footnote>
  <w:footnote w:id="22">
    <w:p w14:paraId="78429884" w14:textId="1D8A4D1D" w:rsidR="002869D4" w:rsidRDefault="002869D4">
      <w:pPr>
        <w:pStyle w:val="FootnoteText"/>
      </w:pPr>
      <w:r>
        <w:rPr>
          <w:rStyle w:val="FootnoteReference"/>
        </w:rPr>
        <w:footnoteRef/>
      </w:r>
      <w:r>
        <w:t xml:space="preserve"> </w:t>
      </w:r>
      <w:r w:rsidRPr="002869D4">
        <w:rPr>
          <w:noProof/>
        </w:rPr>
        <w:t>Wait, 1996, p. 497</w:t>
      </w:r>
      <w:r>
        <w:rPr>
          <w:noProof/>
        </w:rPr>
        <w:t>.</w:t>
      </w:r>
    </w:p>
  </w:footnote>
  <w:footnote w:id="23">
    <w:p w14:paraId="2DCF868E" w14:textId="68762AE8" w:rsidR="0084174B" w:rsidRDefault="0084174B">
      <w:pPr>
        <w:pStyle w:val="FootnoteText"/>
      </w:pPr>
      <w:r>
        <w:rPr>
          <w:rStyle w:val="FootnoteReference"/>
        </w:rPr>
        <w:footnoteRef/>
      </w:r>
      <w:r>
        <w:t xml:space="preserve"> </w:t>
      </w:r>
      <w:r w:rsidRPr="0084174B">
        <w:rPr>
          <w:noProof/>
        </w:rPr>
        <w:t>James, 1999, p. 84</w:t>
      </w:r>
      <w:r>
        <w:rPr>
          <w:noProof/>
        </w:rPr>
        <w:t>.</w:t>
      </w:r>
    </w:p>
  </w:footnote>
  <w:footnote w:id="24">
    <w:p w14:paraId="4D32004B" w14:textId="6812B26B" w:rsidR="00666DA2" w:rsidRDefault="00666DA2">
      <w:pPr>
        <w:pStyle w:val="FootnoteText"/>
        <w:rPr>
          <w:noProof/>
        </w:rPr>
      </w:pPr>
      <w:r>
        <w:rPr>
          <w:rStyle w:val="FootnoteReference"/>
        </w:rPr>
        <w:footnoteRef/>
      </w:r>
      <w:r w:rsidRPr="00666DA2">
        <w:rPr>
          <w:noProof/>
        </w:rPr>
        <w:t>Moghaddam, et al., 2014</w:t>
      </w:r>
      <w:r>
        <w:rPr>
          <w:noProof/>
        </w:rPr>
        <w:t>.</w:t>
      </w:r>
    </w:p>
  </w:footnote>
  <w:footnote w:id="25">
    <w:p w14:paraId="4B10A3BA" w14:textId="6BE26D30" w:rsidR="00E96AB2" w:rsidRDefault="00E96AB2">
      <w:pPr>
        <w:pStyle w:val="FootnoteText"/>
      </w:pPr>
      <w:r>
        <w:rPr>
          <w:rStyle w:val="FootnoteReference"/>
        </w:rPr>
        <w:footnoteRef/>
      </w:r>
      <w:r>
        <w:t xml:space="preserve"> </w:t>
      </w:r>
      <w:r w:rsidR="00D00112">
        <w:t>Ibid.</w:t>
      </w:r>
      <w:r w:rsidRPr="00E96AB2">
        <w:rPr>
          <w:noProof/>
        </w:rPr>
        <w:t>, pp. 150-157</w:t>
      </w:r>
      <w:r>
        <w:rPr>
          <w:noProof/>
        </w:rPr>
        <w:t>.</w:t>
      </w:r>
    </w:p>
  </w:footnote>
  <w:footnote w:id="26">
    <w:p w14:paraId="68078A4E" w14:textId="2F159D57" w:rsidR="00D00112" w:rsidRDefault="00D00112">
      <w:pPr>
        <w:pStyle w:val="FootnoteText"/>
      </w:pPr>
      <w:r>
        <w:rPr>
          <w:rStyle w:val="FootnoteReference"/>
        </w:rPr>
        <w:footnoteRef/>
      </w:r>
      <w:r>
        <w:t xml:space="preserve"> Ibid., pp.150.</w:t>
      </w:r>
    </w:p>
  </w:footnote>
  <w:footnote w:id="27">
    <w:p w14:paraId="3F8AD2C1" w14:textId="28105A28" w:rsidR="00E96AB2" w:rsidRDefault="00E96AB2">
      <w:pPr>
        <w:pStyle w:val="FootnoteText"/>
      </w:pPr>
      <w:r>
        <w:rPr>
          <w:rStyle w:val="FootnoteReference"/>
        </w:rPr>
        <w:footnoteRef/>
      </w:r>
      <w:r>
        <w:t xml:space="preserve"> </w:t>
      </w:r>
      <w:r w:rsidR="00D00112" w:rsidRPr="00D00112">
        <w:rPr>
          <w:noProof/>
        </w:rPr>
        <w:t>Müller, et al., 2008, p. 466</w:t>
      </w:r>
      <w:r w:rsidR="00D00112">
        <w:rPr>
          <w:noProof/>
        </w:rPr>
        <w:t>.</w:t>
      </w:r>
    </w:p>
  </w:footnote>
  <w:footnote w:id="28">
    <w:p w14:paraId="13D9B781" w14:textId="1A6E7C6D" w:rsidR="005E669E" w:rsidRDefault="005E669E">
      <w:pPr>
        <w:pStyle w:val="FootnoteText"/>
      </w:pPr>
      <w:r>
        <w:rPr>
          <w:rStyle w:val="FootnoteReference"/>
        </w:rPr>
        <w:footnoteRef/>
      </w:r>
      <w:r>
        <w:t xml:space="preserve"> </w:t>
      </w:r>
      <w:r w:rsidRPr="005E669E">
        <w:rPr>
          <w:noProof/>
        </w:rPr>
        <w:t>Millar, et al., 2008, p. 388</w:t>
      </w:r>
      <w:r>
        <w:rPr>
          <w:noProof/>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27B"/>
    <w:rsid w:val="000029B7"/>
    <w:rsid w:val="0001627B"/>
    <w:rsid w:val="000506A9"/>
    <w:rsid w:val="00114B83"/>
    <w:rsid w:val="002404E6"/>
    <w:rsid w:val="002869D4"/>
    <w:rsid w:val="00292136"/>
    <w:rsid w:val="002B263B"/>
    <w:rsid w:val="002B4504"/>
    <w:rsid w:val="002B7390"/>
    <w:rsid w:val="002F2644"/>
    <w:rsid w:val="00321BB9"/>
    <w:rsid w:val="0034359D"/>
    <w:rsid w:val="00343F5F"/>
    <w:rsid w:val="00434D59"/>
    <w:rsid w:val="004E6BD4"/>
    <w:rsid w:val="005E669E"/>
    <w:rsid w:val="00666DA2"/>
    <w:rsid w:val="006E357E"/>
    <w:rsid w:val="006F779C"/>
    <w:rsid w:val="007737EF"/>
    <w:rsid w:val="00793A84"/>
    <w:rsid w:val="0080348C"/>
    <w:rsid w:val="00825FBC"/>
    <w:rsid w:val="0084174B"/>
    <w:rsid w:val="00845F45"/>
    <w:rsid w:val="00926311"/>
    <w:rsid w:val="009302E2"/>
    <w:rsid w:val="009E0889"/>
    <w:rsid w:val="00A8541C"/>
    <w:rsid w:val="00AB458B"/>
    <w:rsid w:val="00B63C61"/>
    <w:rsid w:val="00BB77D9"/>
    <w:rsid w:val="00BD6DB2"/>
    <w:rsid w:val="00C4692C"/>
    <w:rsid w:val="00D00112"/>
    <w:rsid w:val="00D06F30"/>
    <w:rsid w:val="00DA043B"/>
    <w:rsid w:val="00E5081C"/>
    <w:rsid w:val="00E651A6"/>
    <w:rsid w:val="00E82815"/>
    <w:rsid w:val="00E96AB2"/>
    <w:rsid w:val="00EA4D62"/>
    <w:rsid w:val="00F14CDA"/>
    <w:rsid w:val="00F9599F"/>
    <w:rsid w:val="00FB4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7EC86"/>
  <w15:chartTrackingRefBased/>
  <w15:docId w15:val="{7CD692AC-AB26-44F2-A5B0-7A62E9AED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E35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57E"/>
    <w:rPr>
      <w:sz w:val="20"/>
      <w:szCs w:val="20"/>
    </w:rPr>
  </w:style>
  <w:style w:type="character" w:styleId="FootnoteReference">
    <w:name w:val="footnote reference"/>
    <w:basedOn w:val="DefaultParagraphFont"/>
    <w:uiPriority w:val="99"/>
    <w:semiHidden/>
    <w:unhideWhenUsed/>
    <w:rsid w:val="006E357E"/>
    <w:rPr>
      <w:vertAlign w:val="superscript"/>
    </w:rPr>
  </w:style>
  <w:style w:type="paragraph" w:styleId="Bibliography">
    <w:name w:val="Bibliography"/>
    <w:basedOn w:val="Normal"/>
    <w:next w:val="Normal"/>
    <w:uiPriority w:val="37"/>
    <w:unhideWhenUsed/>
    <w:rsid w:val="008417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6024">
      <w:bodyDiv w:val="1"/>
      <w:marLeft w:val="0"/>
      <w:marRight w:val="0"/>
      <w:marTop w:val="0"/>
      <w:marBottom w:val="0"/>
      <w:divBdr>
        <w:top w:val="none" w:sz="0" w:space="0" w:color="auto"/>
        <w:left w:val="none" w:sz="0" w:space="0" w:color="auto"/>
        <w:bottom w:val="none" w:sz="0" w:space="0" w:color="auto"/>
        <w:right w:val="none" w:sz="0" w:space="0" w:color="auto"/>
      </w:divBdr>
    </w:div>
    <w:div w:id="27410881">
      <w:bodyDiv w:val="1"/>
      <w:marLeft w:val="0"/>
      <w:marRight w:val="0"/>
      <w:marTop w:val="0"/>
      <w:marBottom w:val="0"/>
      <w:divBdr>
        <w:top w:val="none" w:sz="0" w:space="0" w:color="auto"/>
        <w:left w:val="none" w:sz="0" w:space="0" w:color="auto"/>
        <w:bottom w:val="none" w:sz="0" w:space="0" w:color="auto"/>
        <w:right w:val="none" w:sz="0" w:space="0" w:color="auto"/>
      </w:divBdr>
    </w:div>
    <w:div w:id="46799998">
      <w:bodyDiv w:val="1"/>
      <w:marLeft w:val="0"/>
      <w:marRight w:val="0"/>
      <w:marTop w:val="0"/>
      <w:marBottom w:val="0"/>
      <w:divBdr>
        <w:top w:val="none" w:sz="0" w:space="0" w:color="auto"/>
        <w:left w:val="none" w:sz="0" w:space="0" w:color="auto"/>
        <w:bottom w:val="none" w:sz="0" w:space="0" w:color="auto"/>
        <w:right w:val="none" w:sz="0" w:space="0" w:color="auto"/>
      </w:divBdr>
    </w:div>
    <w:div w:id="89199109">
      <w:bodyDiv w:val="1"/>
      <w:marLeft w:val="0"/>
      <w:marRight w:val="0"/>
      <w:marTop w:val="0"/>
      <w:marBottom w:val="0"/>
      <w:divBdr>
        <w:top w:val="none" w:sz="0" w:space="0" w:color="auto"/>
        <w:left w:val="none" w:sz="0" w:space="0" w:color="auto"/>
        <w:bottom w:val="none" w:sz="0" w:space="0" w:color="auto"/>
        <w:right w:val="none" w:sz="0" w:space="0" w:color="auto"/>
      </w:divBdr>
    </w:div>
    <w:div w:id="121652432">
      <w:bodyDiv w:val="1"/>
      <w:marLeft w:val="0"/>
      <w:marRight w:val="0"/>
      <w:marTop w:val="0"/>
      <w:marBottom w:val="0"/>
      <w:divBdr>
        <w:top w:val="none" w:sz="0" w:space="0" w:color="auto"/>
        <w:left w:val="none" w:sz="0" w:space="0" w:color="auto"/>
        <w:bottom w:val="none" w:sz="0" w:space="0" w:color="auto"/>
        <w:right w:val="none" w:sz="0" w:space="0" w:color="auto"/>
      </w:divBdr>
    </w:div>
    <w:div w:id="288096319">
      <w:bodyDiv w:val="1"/>
      <w:marLeft w:val="0"/>
      <w:marRight w:val="0"/>
      <w:marTop w:val="0"/>
      <w:marBottom w:val="0"/>
      <w:divBdr>
        <w:top w:val="none" w:sz="0" w:space="0" w:color="auto"/>
        <w:left w:val="none" w:sz="0" w:space="0" w:color="auto"/>
        <w:bottom w:val="none" w:sz="0" w:space="0" w:color="auto"/>
        <w:right w:val="none" w:sz="0" w:space="0" w:color="auto"/>
      </w:divBdr>
    </w:div>
    <w:div w:id="297221500">
      <w:bodyDiv w:val="1"/>
      <w:marLeft w:val="0"/>
      <w:marRight w:val="0"/>
      <w:marTop w:val="0"/>
      <w:marBottom w:val="0"/>
      <w:divBdr>
        <w:top w:val="none" w:sz="0" w:space="0" w:color="auto"/>
        <w:left w:val="none" w:sz="0" w:space="0" w:color="auto"/>
        <w:bottom w:val="none" w:sz="0" w:space="0" w:color="auto"/>
        <w:right w:val="none" w:sz="0" w:space="0" w:color="auto"/>
      </w:divBdr>
    </w:div>
    <w:div w:id="347488044">
      <w:bodyDiv w:val="1"/>
      <w:marLeft w:val="0"/>
      <w:marRight w:val="0"/>
      <w:marTop w:val="0"/>
      <w:marBottom w:val="0"/>
      <w:divBdr>
        <w:top w:val="none" w:sz="0" w:space="0" w:color="auto"/>
        <w:left w:val="none" w:sz="0" w:space="0" w:color="auto"/>
        <w:bottom w:val="none" w:sz="0" w:space="0" w:color="auto"/>
        <w:right w:val="none" w:sz="0" w:space="0" w:color="auto"/>
      </w:divBdr>
    </w:div>
    <w:div w:id="440106509">
      <w:bodyDiv w:val="1"/>
      <w:marLeft w:val="0"/>
      <w:marRight w:val="0"/>
      <w:marTop w:val="0"/>
      <w:marBottom w:val="0"/>
      <w:divBdr>
        <w:top w:val="none" w:sz="0" w:space="0" w:color="auto"/>
        <w:left w:val="none" w:sz="0" w:space="0" w:color="auto"/>
        <w:bottom w:val="none" w:sz="0" w:space="0" w:color="auto"/>
        <w:right w:val="none" w:sz="0" w:space="0" w:color="auto"/>
      </w:divBdr>
    </w:div>
    <w:div w:id="471480090">
      <w:bodyDiv w:val="1"/>
      <w:marLeft w:val="0"/>
      <w:marRight w:val="0"/>
      <w:marTop w:val="0"/>
      <w:marBottom w:val="0"/>
      <w:divBdr>
        <w:top w:val="none" w:sz="0" w:space="0" w:color="auto"/>
        <w:left w:val="none" w:sz="0" w:space="0" w:color="auto"/>
        <w:bottom w:val="none" w:sz="0" w:space="0" w:color="auto"/>
        <w:right w:val="none" w:sz="0" w:space="0" w:color="auto"/>
      </w:divBdr>
    </w:div>
    <w:div w:id="510800550">
      <w:bodyDiv w:val="1"/>
      <w:marLeft w:val="0"/>
      <w:marRight w:val="0"/>
      <w:marTop w:val="0"/>
      <w:marBottom w:val="0"/>
      <w:divBdr>
        <w:top w:val="none" w:sz="0" w:space="0" w:color="auto"/>
        <w:left w:val="none" w:sz="0" w:space="0" w:color="auto"/>
        <w:bottom w:val="none" w:sz="0" w:space="0" w:color="auto"/>
        <w:right w:val="none" w:sz="0" w:space="0" w:color="auto"/>
      </w:divBdr>
    </w:div>
    <w:div w:id="520778863">
      <w:bodyDiv w:val="1"/>
      <w:marLeft w:val="0"/>
      <w:marRight w:val="0"/>
      <w:marTop w:val="0"/>
      <w:marBottom w:val="0"/>
      <w:divBdr>
        <w:top w:val="none" w:sz="0" w:space="0" w:color="auto"/>
        <w:left w:val="none" w:sz="0" w:space="0" w:color="auto"/>
        <w:bottom w:val="none" w:sz="0" w:space="0" w:color="auto"/>
        <w:right w:val="none" w:sz="0" w:space="0" w:color="auto"/>
      </w:divBdr>
    </w:div>
    <w:div w:id="541283709">
      <w:bodyDiv w:val="1"/>
      <w:marLeft w:val="0"/>
      <w:marRight w:val="0"/>
      <w:marTop w:val="0"/>
      <w:marBottom w:val="0"/>
      <w:divBdr>
        <w:top w:val="none" w:sz="0" w:space="0" w:color="auto"/>
        <w:left w:val="none" w:sz="0" w:space="0" w:color="auto"/>
        <w:bottom w:val="none" w:sz="0" w:space="0" w:color="auto"/>
        <w:right w:val="none" w:sz="0" w:space="0" w:color="auto"/>
      </w:divBdr>
    </w:div>
    <w:div w:id="577322006">
      <w:bodyDiv w:val="1"/>
      <w:marLeft w:val="0"/>
      <w:marRight w:val="0"/>
      <w:marTop w:val="0"/>
      <w:marBottom w:val="0"/>
      <w:divBdr>
        <w:top w:val="none" w:sz="0" w:space="0" w:color="auto"/>
        <w:left w:val="none" w:sz="0" w:space="0" w:color="auto"/>
        <w:bottom w:val="none" w:sz="0" w:space="0" w:color="auto"/>
        <w:right w:val="none" w:sz="0" w:space="0" w:color="auto"/>
      </w:divBdr>
    </w:div>
    <w:div w:id="589002677">
      <w:bodyDiv w:val="1"/>
      <w:marLeft w:val="0"/>
      <w:marRight w:val="0"/>
      <w:marTop w:val="0"/>
      <w:marBottom w:val="0"/>
      <w:divBdr>
        <w:top w:val="none" w:sz="0" w:space="0" w:color="auto"/>
        <w:left w:val="none" w:sz="0" w:space="0" w:color="auto"/>
        <w:bottom w:val="none" w:sz="0" w:space="0" w:color="auto"/>
        <w:right w:val="none" w:sz="0" w:space="0" w:color="auto"/>
      </w:divBdr>
    </w:div>
    <w:div w:id="642394262">
      <w:bodyDiv w:val="1"/>
      <w:marLeft w:val="0"/>
      <w:marRight w:val="0"/>
      <w:marTop w:val="0"/>
      <w:marBottom w:val="0"/>
      <w:divBdr>
        <w:top w:val="none" w:sz="0" w:space="0" w:color="auto"/>
        <w:left w:val="none" w:sz="0" w:space="0" w:color="auto"/>
        <w:bottom w:val="none" w:sz="0" w:space="0" w:color="auto"/>
        <w:right w:val="none" w:sz="0" w:space="0" w:color="auto"/>
      </w:divBdr>
    </w:div>
    <w:div w:id="679048807">
      <w:bodyDiv w:val="1"/>
      <w:marLeft w:val="0"/>
      <w:marRight w:val="0"/>
      <w:marTop w:val="0"/>
      <w:marBottom w:val="0"/>
      <w:divBdr>
        <w:top w:val="none" w:sz="0" w:space="0" w:color="auto"/>
        <w:left w:val="none" w:sz="0" w:space="0" w:color="auto"/>
        <w:bottom w:val="none" w:sz="0" w:space="0" w:color="auto"/>
        <w:right w:val="none" w:sz="0" w:space="0" w:color="auto"/>
      </w:divBdr>
    </w:div>
    <w:div w:id="685013406">
      <w:bodyDiv w:val="1"/>
      <w:marLeft w:val="0"/>
      <w:marRight w:val="0"/>
      <w:marTop w:val="0"/>
      <w:marBottom w:val="0"/>
      <w:divBdr>
        <w:top w:val="none" w:sz="0" w:space="0" w:color="auto"/>
        <w:left w:val="none" w:sz="0" w:space="0" w:color="auto"/>
        <w:bottom w:val="none" w:sz="0" w:space="0" w:color="auto"/>
        <w:right w:val="none" w:sz="0" w:space="0" w:color="auto"/>
      </w:divBdr>
    </w:div>
    <w:div w:id="711349721">
      <w:bodyDiv w:val="1"/>
      <w:marLeft w:val="0"/>
      <w:marRight w:val="0"/>
      <w:marTop w:val="0"/>
      <w:marBottom w:val="0"/>
      <w:divBdr>
        <w:top w:val="none" w:sz="0" w:space="0" w:color="auto"/>
        <w:left w:val="none" w:sz="0" w:space="0" w:color="auto"/>
        <w:bottom w:val="none" w:sz="0" w:space="0" w:color="auto"/>
        <w:right w:val="none" w:sz="0" w:space="0" w:color="auto"/>
      </w:divBdr>
    </w:div>
    <w:div w:id="718282263">
      <w:bodyDiv w:val="1"/>
      <w:marLeft w:val="0"/>
      <w:marRight w:val="0"/>
      <w:marTop w:val="0"/>
      <w:marBottom w:val="0"/>
      <w:divBdr>
        <w:top w:val="none" w:sz="0" w:space="0" w:color="auto"/>
        <w:left w:val="none" w:sz="0" w:space="0" w:color="auto"/>
        <w:bottom w:val="none" w:sz="0" w:space="0" w:color="auto"/>
        <w:right w:val="none" w:sz="0" w:space="0" w:color="auto"/>
      </w:divBdr>
    </w:div>
    <w:div w:id="836384616">
      <w:bodyDiv w:val="1"/>
      <w:marLeft w:val="0"/>
      <w:marRight w:val="0"/>
      <w:marTop w:val="0"/>
      <w:marBottom w:val="0"/>
      <w:divBdr>
        <w:top w:val="none" w:sz="0" w:space="0" w:color="auto"/>
        <w:left w:val="none" w:sz="0" w:space="0" w:color="auto"/>
        <w:bottom w:val="none" w:sz="0" w:space="0" w:color="auto"/>
        <w:right w:val="none" w:sz="0" w:space="0" w:color="auto"/>
      </w:divBdr>
    </w:div>
    <w:div w:id="839664627">
      <w:bodyDiv w:val="1"/>
      <w:marLeft w:val="0"/>
      <w:marRight w:val="0"/>
      <w:marTop w:val="0"/>
      <w:marBottom w:val="0"/>
      <w:divBdr>
        <w:top w:val="none" w:sz="0" w:space="0" w:color="auto"/>
        <w:left w:val="none" w:sz="0" w:space="0" w:color="auto"/>
        <w:bottom w:val="none" w:sz="0" w:space="0" w:color="auto"/>
        <w:right w:val="none" w:sz="0" w:space="0" w:color="auto"/>
      </w:divBdr>
    </w:div>
    <w:div w:id="860899329">
      <w:bodyDiv w:val="1"/>
      <w:marLeft w:val="0"/>
      <w:marRight w:val="0"/>
      <w:marTop w:val="0"/>
      <w:marBottom w:val="0"/>
      <w:divBdr>
        <w:top w:val="none" w:sz="0" w:space="0" w:color="auto"/>
        <w:left w:val="none" w:sz="0" w:space="0" w:color="auto"/>
        <w:bottom w:val="none" w:sz="0" w:space="0" w:color="auto"/>
        <w:right w:val="none" w:sz="0" w:space="0" w:color="auto"/>
      </w:divBdr>
    </w:div>
    <w:div w:id="883521341">
      <w:bodyDiv w:val="1"/>
      <w:marLeft w:val="0"/>
      <w:marRight w:val="0"/>
      <w:marTop w:val="0"/>
      <w:marBottom w:val="0"/>
      <w:divBdr>
        <w:top w:val="none" w:sz="0" w:space="0" w:color="auto"/>
        <w:left w:val="none" w:sz="0" w:space="0" w:color="auto"/>
        <w:bottom w:val="none" w:sz="0" w:space="0" w:color="auto"/>
        <w:right w:val="none" w:sz="0" w:space="0" w:color="auto"/>
      </w:divBdr>
    </w:div>
    <w:div w:id="929045982">
      <w:bodyDiv w:val="1"/>
      <w:marLeft w:val="0"/>
      <w:marRight w:val="0"/>
      <w:marTop w:val="0"/>
      <w:marBottom w:val="0"/>
      <w:divBdr>
        <w:top w:val="none" w:sz="0" w:space="0" w:color="auto"/>
        <w:left w:val="none" w:sz="0" w:space="0" w:color="auto"/>
        <w:bottom w:val="none" w:sz="0" w:space="0" w:color="auto"/>
        <w:right w:val="none" w:sz="0" w:space="0" w:color="auto"/>
      </w:divBdr>
    </w:div>
    <w:div w:id="944964804">
      <w:bodyDiv w:val="1"/>
      <w:marLeft w:val="0"/>
      <w:marRight w:val="0"/>
      <w:marTop w:val="0"/>
      <w:marBottom w:val="0"/>
      <w:divBdr>
        <w:top w:val="none" w:sz="0" w:space="0" w:color="auto"/>
        <w:left w:val="none" w:sz="0" w:space="0" w:color="auto"/>
        <w:bottom w:val="none" w:sz="0" w:space="0" w:color="auto"/>
        <w:right w:val="none" w:sz="0" w:space="0" w:color="auto"/>
      </w:divBdr>
    </w:div>
    <w:div w:id="962005544">
      <w:bodyDiv w:val="1"/>
      <w:marLeft w:val="0"/>
      <w:marRight w:val="0"/>
      <w:marTop w:val="0"/>
      <w:marBottom w:val="0"/>
      <w:divBdr>
        <w:top w:val="none" w:sz="0" w:space="0" w:color="auto"/>
        <w:left w:val="none" w:sz="0" w:space="0" w:color="auto"/>
        <w:bottom w:val="none" w:sz="0" w:space="0" w:color="auto"/>
        <w:right w:val="none" w:sz="0" w:space="0" w:color="auto"/>
      </w:divBdr>
    </w:div>
    <w:div w:id="1051732532">
      <w:bodyDiv w:val="1"/>
      <w:marLeft w:val="0"/>
      <w:marRight w:val="0"/>
      <w:marTop w:val="0"/>
      <w:marBottom w:val="0"/>
      <w:divBdr>
        <w:top w:val="none" w:sz="0" w:space="0" w:color="auto"/>
        <w:left w:val="none" w:sz="0" w:space="0" w:color="auto"/>
        <w:bottom w:val="none" w:sz="0" w:space="0" w:color="auto"/>
        <w:right w:val="none" w:sz="0" w:space="0" w:color="auto"/>
      </w:divBdr>
    </w:div>
    <w:div w:id="1109156782">
      <w:bodyDiv w:val="1"/>
      <w:marLeft w:val="0"/>
      <w:marRight w:val="0"/>
      <w:marTop w:val="0"/>
      <w:marBottom w:val="0"/>
      <w:divBdr>
        <w:top w:val="none" w:sz="0" w:space="0" w:color="auto"/>
        <w:left w:val="none" w:sz="0" w:space="0" w:color="auto"/>
        <w:bottom w:val="none" w:sz="0" w:space="0" w:color="auto"/>
        <w:right w:val="none" w:sz="0" w:space="0" w:color="auto"/>
      </w:divBdr>
    </w:div>
    <w:div w:id="1256790059">
      <w:bodyDiv w:val="1"/>
      <w:marLeft w:val="0"/>
      <w:marRight w:val="0"/>
      <w:marTop w:val="0"/>
      <w:marBottom w:val="0"/>
      <w:divBdr>
        <w:top w:val="none" w:sz="0" w:space="0" w:color="auto"/>
        <w:left w:val="none" w:sz="0" w:space="0" w:color="auto"/>
        <w:bottom w:val="none" w:sz="0" w:space="0" w:color="auto"/>
        <w:right w:val="none" w:sz="0" w:space="0" w:color="auto"/>
      </w:divBdr>
    </w:div>
    <w:div w:id="1371145437">
      <w:bodyDiv w:val="1"/>
      <w:marLeft w:val="0"/>
      <w:marRight w:val="0"/>
      <w:marTop w:val="0"/>
      <w:marBottom w:val="0"/>
      <w:divBdr>
        <w:top w:val="none" w:sz="0" w:space="0" w:color="auto"/>
        <w:left w:val="none" w:sz="0" w:space="0" w:color="auto"/>
        <w:bottom w:val="none" w:sz="0" w:space="0" w:color="auto"/>
        <w:right w:val="none" w:sz="0" w:space="0" w:color="auto"/>
      </w:divBdr>
    </w:div>
    <w:div w:id="1381171366">
      <w:bodyDiv w:val="1"/>
      <w:marLeft w:val="0"/>
      <w:marRight w:val="0"/>
      <w:marTop w:val="0"/>
      <w:marBottom w:val="0"/>
      <w:divBdr>
        <w:top w:val="none" w:sz="0" w:space="0" w:color="auto"/>
        <w:left w:val="none" w:sz="0" w:space="0" w:color="auto"/>
        <w:bottom w:val="none" w:sz="0" w:space="0" w:color="auto"/>
        <w:right w:val="none" w:sz="0" w:space="0" w:color="auto"/>
      </w:divBdr>
    </w:div>
    <w:div w:id="1408650552">
      <w:bodyDiv w:val="1"/>
      <w:marLeft w:val="0"/>
      <w:marRight w:val="0"/>
      <w:marTop w:val="0"/>
      <w:marBottom w:val="0"/>
      <w:divBdr>
        <w:top w:val="none" w:sz="0" w:space="0" w:color="auto"/>
        <w:left w:val="none" w:sz="0" w:space="0" w:color="auto"/>
        <w:bottom w:val="none" w:sz="0" w:space="0" w:color="auto"/>
        <w:right w:val="none" w:sz="0" w:space="0" w:color="auto"/>
      </w:divBdr>
    </w:div>
    <w:div w:id="1423333537">
      <w:bodyDiv w:val="1"/>
      <w:marLeft w:val="0"/>
      <w:marRight w:val="0"/>
      <w:marTop w:val="0"/>
      <w:marBottom w:val="0"/>
      <w:divBdr>
        <w:top w:val="none" w:sz="0" w:space="0" w:color="auto"/>
        <w:left w:val="none" w:sz="0" w:space="0" w:color="auto"/>
        <w:bottom w:val="none" w:sz="0" w:space="0" w:color="auto"/>
        <w:right w:val="none" w:sz="0" w:space="0" w:color="auto"/>
      </w:divBdr>
    </w:div>
    <w:div w:id="1479302146">
      <w:bodyDiv w:val="1"/>
      <w:marLeft w:val="0"/>
      <w:marRight w:val="0"/>
      <w:marTop w:val="0"/>
      <w:marBottom w:val="0"/>
      <w:divBdr>
        <w:top w:val="none" w:sz="0" w:space="0" w:color="auto"/>
        <w:left w:val="none" w:sz="0" w:space="0" w:color="auto"/>
        <w:bottom w:val="none" w:sz="0" w:space="0" w:color="auto"/>
        <w:right w:val="none" w:sz="0" w:space="0" w:color="auto"/>
      </w:divBdr>
    </w:div>
    <w:div w:id="1557398027">
      <w:bodyDiv w:val="1"/>
      <w:marLeft w:val="0"/>
      <w:marRight w:val="0"/>
      <w:marTop w:val="0"/>
      <w:marBottom w:val="0"/>
      <w:divBdr>
        <w:top w:val="none" w:sz="0" w:space="0" w:color="auto"/>
        <w:left w:val="none" w:sz="0" w:space="0" w:color="auto"/>
        <w:bottom w:val="none" w:sz="0" w:space="0" w:color="auto"/>
        <w:right w:val="none" w:sz="0" w:space="0" w:color="auto"/>
      </w:divBdr>
    </w:div>
    <w:div w:id="1636791158">
      <w:bodyDiv w:val="1"/>
      <w:marLeft w:val="0"/>
      <w:marRight w:val="0"/>
      <w:marTop w:val="0"/>
      <w:marBottom w:val="0"/>
      <w:divBdr>
        <w:top w:val="none" w:sz="0" w:space="0" w:color="auto"/>
        <w:left w:val="none" w:sz="0" w:space="0" w:color="auto"/>
        <w:bottom w:val="none" w:sz="0" w:space="0" w:color="auto"/>
        <w:right w:val="none" w:sz="0" w:space="0" w:color="auto"/>
      </w:divBdr>
    </w:div>
    <w:div w:id="1687057086">
      <w:bodyDiv w:val="1"/>
      <w:marLeft w:val="0"/>
      <w:marRight w:val="0"/>
      <w:marTop w:val="0"/>
      <w:marBottom w:val="0"/>
      <w:divBdr>
        <w:top w:val="none" w:sz="0" w:space="0" w:color="auto"/>
        <w:left w:val="none" w:sz="0" w:space="0" w:color="auto"/>
        <w:bottom w:val="none" w:sz="0" w:space="0" w:color="auto"/>
        <w:right w:val="none" w:sz="0" w:space="0" w:color="auto"/>
      </w:divBdr>
    </w:div>
    <w:div w:id="1691645141">
      <w:bodyDiv w:val="1"/>
      <w:marLeft w:val="0"/>
      <w:marRight w:val="0"/>
      <w:marTop w:val="0"/>
      <w:marBottom w:val="0"/>
      <w:divBdr>
        <w:top w:val="none" w:sz="0" w:space="0" w:color="auto"/>
        <w:left w:val="none" w:sz="0" w:space="0" w:color="auto"/>
        <w:bottom w:val="none" w:sz="0" w:space="0" w:color="auto"/>
        <w:right w:val="none" w:sz="0" w:space="0" w:color="auto"/>
      </w:divBdr>
    </w:div>
    <w:div w:id="1755079498">
      <w:bodyDiv w:val="1"/>
      <w:marLeft w:val="0"/>
      <w:marRight w:val="0"/>
      <w:marTop w:val="0"/>
      <w:marBottom w:val="0"/>
      <w:divBdr>
        <w:top w:val="none" w:sz="0" w:space="0" w:color="auto"/>
        <w:left w:val="none" w:sz="0" w:space="0" w:color="auto"/>
        <w:bottom w:val="none" w:sz="0" w:space="0" w:color="auto"/>
        <w:right w:val="none" w:sz="0" w:space="0" w:color="auto"/>
      </w:divBdr>
    </w:div>
    <w:div w:id="1796291240">
      <w:bodyDiv w:val="1"/>
      <w:marLeft w:val="0"/>
      <w:marRight w:val="0"/>
      <w:marTop w:val="0"/>
      <w:marBottom w:val="0"/>
      <w:divBdr>
        <w:top w:val="none" w:sz="0" w:space="0" w:color="auto"/>
        <w:left w:val="none" w:sz="0" w:space="0" w:color="auto"/>
        <w:bottom w:val="none" w:sz="0" w:space="0" w:color="auto"/>
        <w:right w:val="none" w:sz="0" w:space="0" w:color="auto"/>
      </w:divBdr>
    </w:div>
    <w:div w:id="1973779676">
      <w:bodyDiv w:val="1"/>
      <w:marLeft w:val="0"/>
      <w:marRight w:val="0"/>
      <w:marTop w:val="0"/>
      <w:marBottom w:val="0"/>
      <w:divBdr>
        <w:top w:val="none" w:sz="0" w:space="0" w:color="auto"/>
        <w:left w:val="none" w:sz="0" w:space="0" w:color="auto"/>
        <w:bottom w:val="none" w:sz="0" w:space="0" w:color="auto"/>
        <w:right w:val="none" w:sz="0" w:space="0" w:color="auto"/>
      </w:divBdr>
    </w:div>
    <w:div w:id="1977880319">
      <w:bodyDiv w:val="1"/>
      <w:marLeft w:val="0"/>
      <w:marRight w:val="0"/>
      <w:marTop w:val="0"/>
      <w:marBottom w:val="0"/>
      <w:divBdr>
        <w:top w:val="none" w:sz="0" w:space="0" w:color="auto"/>
        <w:left w:val="none" w:sz="0" w:space="0" w:color="auto"/>
        <w:bottom w:val="none" w:sz="0" w:space="0" w:color="auto"/>
        <w:right w:val="none" w:sz="0" w:space="0" w:color="auto"/>
      </w:divBdr>
    </w:div>
    <w:div w:id="2093501459">
      <w:bodyDiv w:val="1"/>
      <w:marLeft w:val="0"/>
      <w:marRight w:val="0"/>
      <w:marTop w:val="0"/>
      <w:marBottom w:val="0"/>
      <w:divBdr>
        <w:top w:val="none" w:sz="0" w:space="0" w:color="auto"/>
        <w:left w:val="none" w:sz="0" w:space="0" w:color="auto"/>
        <w:bottom w:val="none" w:sz="0" w:space="0" w:color="auto"/>
        <w:right w:val="none" w:sz="0" w:space="0" w:color="auto"/>
      </w:divBdr>
    </w:div>
    <w:div w:id="210595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Ren00</b:Tag>
    <b:SourceType>Book</b:SourceType>
    <b:Guid>{042A348C-6AFA-4AFF-B039-97AB8C5F3169}</b:Guid>
    <b:Author>
      <b:Author>
        <b:NameList>
          <b:Person>
            <b:Last>Renfrew</b:Last>
            <b:First>C</b:First>
          </b:Person>
        </b:NameList>
      </b:Author>
    </b:Author>
    <b:Title>Archaeogenetics: towards a population prehistory of Europe`</b:Title>
    <b:Year>2000</b:Year>
    <b:City>Cambridge</b:City>
    <b:Publisher>McDonald Institute</b:Publisher>
    <b:Edition>1st</b:Edition>
    <b:RefOrder>1</b:RefOrder>
  </b:Source>
  <b:Source>
    <b:Tag>Mil08</b:Tag>
    <b:SourceType>JournalArticle</b:SourceType>
    <b:Guid>{39471CA9-AC4D-4636-B28E-C1055965CB45}</b:Guid>
    <b:Title>New developments in ancient genomics</b:Title>
    <b:Year>2008</b:Year>
    <b:Author>
      <b:Author>
        <b:NameList>
          <b:Person>
            <b:Last>Millar</b:Last>
            <b:First>C.</b:First>
            <b:Middle>D</b:Middle>
          </b:Person>
          <b:Person>
            <b:Last>Huynen</b:Last>
            <b:First>L</b:First>
          </b:Person>
          <b:Person>
            <b:Last>Subramanian</b:Last>
            <b:First>S</b:First>
          </b:Person>
          <b:Person>
            <b:Last>Mohandesan</b:Last>
            <b:First>E</b:First>
          </b:Person>
          <b:Person>
            <b:Last>Lambert</b:Last>
            <b:First>D.</b:First>
            <b:Middle>M</b:Middle>
          </b:Person>
        </b:NameList>
      </b:Author>
    </b:Author>
    <b:JournalName>Trends in Ecology &amp; Evolution</b:JournalName>
    <b:Pages>386-393</b:Pages>
    <b:Volume>23</b:Volume>
    <b:Issue>7</b:Issue>
    <b:RefOrder>2</b:RefOrder>
  </b:Source>
  <b:Source>
    <b:Tag>Pal16</b:Tag>
    <b:SourceType>BookSection</b:SourceType>
    <b:Guid>{76090F7C-D412-40AE-AF3D-9D294CDDC2F3}</b:Guid>
    <b:Title>Archaeogenetic and Palaeogenetic evidence for metal age mobility in Europe</b:Title>
    <b:Year>2016</b:Year>
    <b:Pages>351-384</b:Pages>
    <b:Author>
      <b:Author>
        <b:NameList>
          <b:Person>
            <b:Last>Pala</b:Last>
            <b:First>M</b:First>
          </b:Person>
          <b:Person>
            <b:Last>Soares</b:Last>
            <b:First>P</b:First>
          </b:Person>
          <b:Person>
            <b:Last>Richards</b:Last>
            <b:First>M.</b:First>
            <b:Middle>B</b:Middle>
          </b:Person>
        </b:NameList>
      </b:Author>
      <b:Editor>
        <b:NameList>
          <b:Person>
            <b:Last>Koch</b:Last>
            <b:First>J.</b:First>
            <b:Middle>T</b:Middle>
          </b:Person>
          <b:Person>
            <b:Last>Cunliffe</b:Last>
            <b:First>B</b:First>
          </b:Person>
        </b:NameList>
      </b:Editor>
    </b:Author>
    <b:BookTitle>Celts from the West 3, Atlantic Europe in the Metal Ages: questions of shared language</b:BookTitle>
    <b:City>Oxford</b:City>
    <b:Publisher>Oxbow Books</b:Publisher>
    <b:RefOrder>3</b:RefOrder>
  </b:Source>
  <b:Source>
    <b:Tag>Mül08</b:Tag>
    <b:SourceType>JournalArticle</b:SourceType>
    <b:Guid>{D8D3FA0B-9CE4-4C5E-AFA1-A64B57F1942E}</b:Guid>
    <b:Author>
      <b:Author>
        <b:NameList>
          <b:Person>
            <b:Last>Müller</b:Last>
            <b:First>F</b:First>
          </b:Person>
          <b:Person>
            <b:Last>Jud</b:Last>
            <b:First>P</b:First>
          </b:Person>
          <b:Person>
            <b:Last>Alt</b:Last>
            <b:First>K,</b:First>
            <b:Middle>W.</b:Middle>
          </b:Person>
        </b:NameList>
      </b:Author>
    </b:Author>
    <b:Title>Artefacts, skulls and written sources: the social ranking of a Celtic family buried at Münsingen-Rain</b:Title>
    <b:JournalName>Antiquity</b:JournalName>
    <b:Year>2008</b:Year>
    <b:Pages>462-469</b:Pages>
    <b:Volume>82</b:Volume>
    <b:Issue>316</b:Issue>
    <b:RefOrder>4</b:RefOrder>
  </b:Source>
  <b:Source>
    <b:Tag>Gre96</b:Tag>
    <b:SourceType>Book</b:SourceType>
    <b:Guid>{F5336E70-8B07-40F6-9982-749732CCD84B}</b:Guid>
    <b:Title>The Celtic World</b:Title>
    <b:Year>1996</b:Year>
    <b:City>London and New York</b:City>
    <b:Publisher>Routledge</b:Publisher>
    <b:Author>
      <b:Author>
        <b:NameList>
          <b:Person>
            <b:Last>Green</b:Last>
            <b:First>M.</b:First>
            <b:Middle>J</b:Middle>
          </b:Person>
        </b:NameList>
      </b:Author>
    </b:Author>
    <b:Edition>2nd</b:Edition>
    <b:RefOrder>5</b:RefOrder>
  </b:Source>
  <b:Source>
    <b:Tag>Ran96</b:Tag>
    <b:SourceType>BookSection</b:SourceType>
    <b:Guid>{8F48578C-06D8-4A9D-9E8D-C8431EC973E9}</b:Guid>
    <b:Title>The Celts through classical eyes</b:Title>
    <b:Year>1996</b:Year>
    <b:City>London and New York</b:City>
    <b:Publisher>Routledge</b:Publisher>
    <b:Author>
      <b:Author>
        <b:NameList>
          <b:Person>
            <b:Last>Rankin</b:Last>
            <b:First>D</b:First>
          </b:Person>
        </b:NameList>
      </b:Author>
      <b:Editor>
        <b:NameList>
          <b:Person>
            <b:Last>Green</b:Last>
            <b:First>M.</b:First>
            <b:Middle>J</b:Middle>
          </b:Person>
        </b:NameList>
      </b:Editor>
    </b:Author>
    <b:BookTitle>The Celtic World</b:BookTitle>
    <b:Pages>21-33</b:Pages>
    <b:RefOrder>6</b:RefOrder>
  </b:Source>
  <b:Source>
    <b:Tag>Eva96</b:Tag>
    <b:SourceType>BookSection</b:SourceType>
    <b:Guid>{F85EDA26-8B15-4FDA-916D-479686EE3820}</b:Guid>
    <b:Author>
      <b:Author>
        <b:NameList>
          <b:Person>
            <b:Last>Evans</b:Last>
            <b:First>D.</b:First>
            <b:Middle>E</b:Middle>
          </b:Person>
        </b:NameList>
      </b:Author>
      <b:Editor>
        <b:NameList>
          <b:Person>
            <b:Last>Green</b:Last>
            <b:First>M.</b:First>
            <b:Middle>J</b:Middle>
          </b:Person>
        </b:NameList>
      </b:Editor>
    </b:Author>
    <b:Title>The Early Celts, The evidence of language</b:Title>
    <b:BookTitle>The Celtic World</b:BookTitle>
    <b:Year>1996</b:Year>
    <b:Pages>8-20</b:Pages>
    <b:City>London and New York</b:City>
    <b:Publisher>Routledge</b:Publisher>
    <b:RefOrder>7</b:RefOrder>
  </b:Source>
  <b:Source>
    <b:Tag>Wai</b:Tag>
    <b:SourceType>BookSection</b:SourceType>
    <b:Guid>{955E6A08-C497-4AA8-BB82-64CD25CBAB18}</b:Guid>
    <b:Author>
      <b:Author>
        <b:NameList>
          <b:Person>
            <b:Last>Wait</b:Last>
            <b:First>G.</b:First>
            <b:Middle>A</b:Middle>
          </b:Person>
        </b:NameList>
      </b:Author>
      <b:Editor>
        <b:NameList>
          <b:Person>
            <b:Last>Green</b:Last>
            <b:First>M.</b:First>
            <b:Middle>J</b:Middle>
          </b:Person>
        </b:NameList>
      </b:Editor>
    </b:Author>
    <b:Title>Burial and the Underworld</b:Title>
    <b:BookTitle>The Celtic World</b:BookTitle>
    <b:Year>1996</b:Year>
    <b:Pages>489-511</b:Pages>
    <b:City>London and New York</b:City>
    <b:Publisher>Routledge</b:Publisher>
    <b:RefOrder>8</b:RefOrder>
  </b:Source>
  <b:Source>
    <b:Tag>Mog14</b:Tag>
    <b:SourceType>JournalArticle</b:SourceType>
    <b:Guid>{9E8A1CA5-7A02-4F72-B596-78807751E018}</b:Guid>
    <b:Author>
      <b:Author>
        <b:NameList>
          <b:Person>
            <b:Last>Moghaddam</b:Last>
            <b:First>N</b:First>
          </b:Person>
          <b:Person>
            <b:Last>Müller</b:Last>
            <b:First>F</b:First>
          </b:Person>
          <b:Person>
            <b:Last>Hafner</b:Last>
            <b:First>A</b:First>
          </b:Person>
          <b:Person>
            <b:Last>Lösch</b:Last>
            <b:First>S.</b:First>
          </b:Person>
        </b:NameList>
      </b:Author>
    </b:Author>
    <b:Title>Social stratigraphy in Late Iron Age Switzerland: stable carbon, nitrogen and sulphur isotope analysis of human remains from Münsingen</b:Title>
    <b:JournalName>Archaeology Anthropology Science</b:JournalName>
    <b:Year>2014</b:Year>
    <b:Pages>149-160</b:Pages>
    <b:Volume>8</b:Volume>
    <b:RefOrder>9</b:RefOrder>
  </b:Source>
  <b:Source>
    <b:Tag>Jam99</b:Tag>
    <b:SourceType>Book</b:SourceType>
    <b:Guid>{36CF86C1-7257-4673-A64E-48A2C9EE7E1D}</b:Guid>
    <b:Title>The Atlantic Celts</b:Title>
    <b:Year>1999</b:Year>
    <b:City>Bath</b:City>
    <b:Publisher>The Bath Press</b:Publisher>
    <b:Author>
      <b:Author>
        <b:NameList>
          <b:Person>
            <b:Last>James</b:Last>
            <b:First>S</b:First>
          </b:Person>
        </b:NameList>
      </b:Author>
    </b:Author>
    <b:Edition>3rd</b:Edition>
    <b:RefOrder>10</b:RefOrder>
  </b:Source>
  <b:Source>
    <b:Tag>Hae13</b:Tag>
    <b:SourceType>Book</b:SourceType>
    <b:Guid>{A1626008-49A2-49D8-936F-258DCB55C174}</b:Guid>
    <b:Author>
      <b:Author>
        <b:NameList>
          <b:Person>
            <b:Last>Haeussler</b:Last>
            <b:First>Ralph</b:First>
          </b:Person>
        </b:NameList>
      </b:Author>
    </b:Author>
    <b:Title>Becoming Roman?: Diverging Identities and Experiences in Ancient Northwest Italy</b:Title>
    <b:Year>2013</b:Year>
    <b:City>Walnut Creek</b:City>
    <b:Publisher>Left Coast Press</b:Publisher>
    <b:Edition>1st</b:Edition>
    <b:RefOrder>11</b:RefOrder>
  </b:Source>
</b:Sources>
</file>

<file path=customXml/itemProps1.xml><?xml version="1.0" encoding="utf-8"?>
<ds:datastoreItem xmlns:ds="http://schemas.openxmlformats.org/officeDocument/2006/customXml" ds:itemID="{87543A9B-8FB0-4C90-AC34-7AF7DB08D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1442</Words>
  <Characters>8223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2</cp:revision>
  <dcterms:created xsi:type="dcterms:W3CDTF">2019-02-10T23:57:00Z</dcterms:created>
  <dcterms:modified xsi:type="dcterms:W3CDTF">2019-02-10T23:57:00Z</dcterms:modified>
</cp:coreProperties>
</file>