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5563B" w:rsidRDefault="00A608D1" w:rsidP="00F5563B">
      <w:pPr>
        <w:jc w:val="center"/>
        <w:rPr>
          <w:rFonts w:ascii="Times New Roman" w:hAnsi="Times New Roman" w:cs="Times New Roman"/>
          <w:sz w:val="24"/>
          <w:szCs w:val="24"/>
        </w:rPr>
      </w:pPr>
      <w:r>
        <w:rPr>
          <w:rFonts w:ascii="Times New Roman" w:hAnsi="Times New Roman" w:cs="Times New Roman"/>
          <w:b/>
          <w:sz w:val="24"/>
          <w:szCs w:val="24"/>
        </w:rPr>
        <w:t xml:space="preserve">Scholarly Reply: </w:t>
      </w:r>
      <w:r w:rsidRPr="00A608D1">
        <w:rPr>
          <w:rFonts w:ascii="Times New Roman" w:hAnsi="Times New Roman" w:cs="Times New Roman"/>
          <w:b/>
          <w:sz w:val="24"/>
          <w:szCs w:val="24"/>
        </w:rPr>
        <w:t xml:space="preserve">M. Carroll, Spirits of the Dead: Roman funerary commemoration in Western Europe. Oxford: Oxford University Press 2006, Chapter 9 “Social Change </w:t>
      </w:r>
      <w:r w:rsidR="00F5563B">
        <w:rPr>
          <w:rFonts w:ascii="Times New Roman" w:hAnsi="Times New Roman" w:cs="Times New Roman"/>
          <w:b/>
          <w:sz w:val="24"/>
          <w:szCs w:val="24"/>
        </w:rPr>
        <w:t>and Social Mobility”, pp. 233-59</w:t>
      </w:r>
    </w:p>
    <w:p w:rsidR="00F5563B" w:rsidRDefault="00F5563B" w:rsidP="00F5563B">
      <w:pPr>
        <w:rPr>
          <w:rFonts w:ascii="Times New Roman" w:hAnsi="Times New Roman" w:cs="Times New Roman"/>
          <w:sz w:val="24"/>
          <w:szCs w:val="24"/>
        </w:rPr>
      </w:pPr>
    </w:p>
    <w:p w:rsidR="00066E62" w:rsidRDefault="00563EE7" w:rsidP="00F5563B">
      <w:pPr>
        <w:rPr>
          <w:rFonts w:ascii="Times New Roman" w:hAnsi="Times New Roman" w:cs="Times New Roman"/>
          <w:sz w:val="24"/>
          <w:szCs w:val="24"/>
        </w:rPr>
      </w:pPr>
      <w:r>
        <w:rPr>
          <w:rFonts w:ascii="Times New Roman" w:hAnsi="Times New Roman" w:cs="Times New Roman"/>
          <w:sz w:val="24"/>
          <w:szCs w:val="24"/>
        </w:rPr>
        <w:tab/>
        <w:t xml:space="preserve">The book in question by Maureen Carroll focuses on funerary commemoration as a whole, focusing on the value of Latin funerary epigrams in Western Europe, rather than an approach taken by many other academic scholars in being </w:t>
      </w:r>
      <w:r w:rsidR="003B672D">
        <w:rPr>
          <w:rFonts w:ascii="Times New Roman" w:hAnsi="Times New Roman" w:cs="Times New Roman"/>
          <w:sz w:val="24"/>
          <w:szCs w:val="24"/>
        </w:rPr>
        <w:t xml:space="preserve">predominantly </w:t>
      </w:r>
      <w:r>
        <w:rPr>
          <w:rFonts w:ascii="Times New Roman" w:hAnsi="Times New Roman" w:cs="Times New Roman"/>
          <w:sz w:val="24"/>
          <w:szCs w:val="24"/>
        </w:rPr>
        <w:t>Rome-centric.</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The chapter itself puts emphasis on the social standing and mobility of slaves and freed persons in the Roman Empire, with specific emphasis on epitaphs regarding a </w:t>
      </w:r>
      <w:r w:rsidR="0079353B">
        <w:rPr>
          <w:rFonts w:ascii="Times New Roman" w:hAnsi="Times New Roman" w:cs="Times New Roman"/>
          <w:sz w:val="24"/>
          <w:szCs w:val="24"/>
        </w:rPr>
        <w:t>person’s</w:t>
      </w:r>
      <w:r>
        <w:rPr>
          <w:rFonts w:ascii="Times New Roman" w:hAnsi="Times New Roman" w:cs="Times New Roman"/>
          <w:sz w:val="24"/>
          <w:szCs w:val="24"/>
        </w:rPr>
        <w:t xml:space="preserve"> st</w:t>
      </w:r>
      <w:r w:rsidR="0079353B">
        <w:rPr>
          <w:rFonts w:ascii="Times New Roman" w:hAnsi="Times New Roman" w:cs="Times New Roman"/>
          <w:sz w:val="24"/>
          <w:szCs w:val="24"/>
        </w:rPr>
        <w:t>anding within society itself or</w:t>
      </w:r>
      <w:r>
        <w:rPr>
          <w:rFonts w:ascii="Times New Roman" w:hAnsi="Times New Roman" w:cs="Times New Roman"/>
          <w:sz w:val="24"/>
          <w:szCs w:val="24"/>
        </w:rPr>
        <w:t xml:space="preserve"> improvement of fortunes</w:t>
      </w:r>
      <w:r w:rsidR="0079353B">
        <w:rPr>
          <w:rFonts w:ascii="Times New Roman" w:hAnsi="Times New Roman" w:cs="Times New Roman"/>
          <w:sz w:val="24"/>
          <w:szCs w:val="24"/>
        </w:rPr>
        <w:t>, along with those which detail careers or tradecraft giving insight into the lives of freedmen and slaves in comparison to their free citizenry counterparts.</w:t>
      </w:r>
      <w:r w:rsidR="0079353B">
        <w:rPr>
          <w:rStyle w:val="FootnoteReference"/>
          <w:rFonts w:ascii="Times New Roman" w:hAnsi="Times New Roman" w:cs="Times New Roman"/>
          <w:sz w:val="24"/>
          <w:szCs w:val="24"/>
        </w:rPr>
        <w:footnoteReference w:id="2"/>
      </w:r>
      <w:r w:rsidR="0079353B">
        <w:rPr>
          <w:rFonts w:ascii="Times New Roman" w:hAnsi="Times New Roman" w:cs="Times New Roman"/>
          <w:sz w:val="24"/>
          <w:szCs w:val="24"/>
        </w:rPr>
        <w:t xml:space="preserve"> </w:t>
      </w:r>
      <w:r w:rsidR="00093853">
        <w:rPr>
          <w:rFonts w:ascii="Times New Roman" w:hAnsi="Times New Roman" w:cs="Times New Roman"/>
          <w:sz w:val="24"/>
          <w:szCs w:val="24"/>
        </w:rPr>
        <w:t>It also looks at the provinces, looking at the Romanization of the areas and the social changes that can be derived from looking at funerary commemorations.</w:t>
      </w:r>
      <w:r w:rsidR="00093853">
        <w:rPr>
          <w:rStyle w:val="FootnoteReference"/>
          <w:rFonts w:ascii="Times New Roman" w:hAnsi="Times New Roman" w:cs="Times New Roman"/>
          <w:sz w:val="24"/>
          <w:szCs w:val="24"/>
        </w:rPr>
        <w:footnoteReference w:id="3"/>
      </w:r>
      <w:r w:rsidR="00093853">
        <w:rPr>
          <w:rFonts w:ascii="Times New Roman" w:hAnsi="Times New Roman" w:cs="Times New Roman"/>
          <w:sz w:val="24"/>
          <w:szCs w:val="24"/>
        </w:rPr>
        <w:t xml:space="preserve"> The general theme that Carroll appears to assess is to what extent the lower classified people, such as freedmen, slaves and those in conquered provinces sought to show their legitimacy in t</w:t>
      </w:r>
      <w:r w:rsidR="00F423AC">
        <w:rPr>
          <w:rFonts w:ascii="Times New Roman" w:hAnsi="Times New Roman" w:cs="Times New Roman"/>
          <w:sz w:val="24"/>
          <w:szCs w:val="24"/>
        </w:rPr>
        <w:t>he eyes of Roman peers</w:t>
      </w:r>
      <w:r w:rsidR="00721671">
        <w:rPr>
          <w:rFonts w:ascii="Times New Roman" w:hAnsi="Times New Roman" w:cs="Times New Roman"/>
          <w:sz w:val="24"/>
          <w:szCs w:val="24"/>
        </w:rPr>
        <w:t>; and the ways in which this was achieved and can be perceived through epigraphical and iconological means.</w:t>
      </w:r>
      <w:r w:rsidR="003B2871">
        <w:rPr>
          <w:rStyle w:val="FootnoteReference"/>
          <w:rFonts w:ascii="Times New Roman" w:hAnsi="Times New Roman" w:cs="Times New Roman"/>
          <w:sz w:val="24"/>
          <w:szCs w:val="24"/>
        </w:rPr>
        <w:footnoteReference w:id="4"/>
      </w:r>
      <w:r w:rsidR="003B672D">
        <w:rPr>
          <w:rFonts w:ascii="Times New Roman" w:hAnsi="Times New Roman" w:cs="Times New Roman"/>
          <w:sz w:val="24"/>
          <w:szCs w:val="24"/>
        </w:rPr>
        <w:t xml:space="preserve"> The piece draws upon much of the relevant ideas which are prevalent in previous scholarship, addressing the notion of how prevalent the epigraphic habit is amongst freedmen in comparison to that of free born, but also can be looked at in conjunction with other scholarly debates on the subject of manumission, including identity, both from an economic standpoint and with a view to the familial unit of the epitaphs subject. Therefore while some aspects can be agreed upon, this reply shall focus primarily </w:t>
      </w:r>
      <w:r w:rsidR="007C4EFF">
        <w:rPr>
          <w:rFonts w:ascii="Times New Roman" w:hAnsi="Times New Roman" w:cs="Times New Roman"/>
          <w:sz w:val="24"/>
          <w:szCs w:val="24"/>
        </w:rPr>
        <w:t>on addressing</w:t>
      </w:r>
      <w:r w:rsidR="003B672D">
        <w:rPr>
          <w:rFonts w:ascii="Times New Roman" w:hAnsi="Times New Roman" w:cs="Times New Roman"/>
          <w:sz w:val="24"/>
          <w:szCs w:val="24"/>
        </w:rPr>
        <w:t xml:space="preserve"> </w:t>
      </w:r>
      <w:r w:rsidR="00F77786">
        <w:rPr>
          <w:rFonts w:ascii="Times New Roman" w:hAnsi="Times New Roman" w:cs="Times New Roman"/>
          <w:sz w:val="24"/>
          <w:szCs w:val="24"/>
        </w:rPr>
        <w:t xml:space="preserve">both </w:t>
      </w:r>
      <w:r w:rsidR="003B672D">
        <w:rPr>
          <w:rFonts w:ascii="Times New Roman" w:hAnsi="Times New Roman" w:cs="Times New Roman"/>
          <w:sz w:val="24"/>
          <w:szCs w:val="24"/>
        </w:rPr>
        <w:t xml:space="preserve">the limitations to which Carroll has seemingly placed upon the scope of her work and the </w:t>
      </w:r>
      <w:r w:rsidR="007C4EFF">
        <w:rPr>
          <w:rFonts w:ascii="Times New Roman" w:hAnsi="Times New Roman" w:cs="Times New Roman"/>
          <w:sz w:val="24"/>
          <w:szCs w:val="24"/>
        </w:rPr>
        <w:t>conclusions that it draws, especially on the subject of social mobility as a whole</w:t>
      </w:r>
      <w:r w:rsidR="00F77786">
        <w:rPr>
          <w:rFonts w:ascii="Times New Roman" w:hAnsi="Times New Roman" w:cs="Times New Roman"/>
          <w:sz w:val="24"/>
          <w:szCs w:val="24"/>
        </w:rPr>
        <w:t>.</w:t>
      </w:r>
      <w:r w:rsidR="00C65FD4">
        <w:rPr>
          <w:rFonts w:ascii="Times New Roman" w:hAnsi="Times New Roman" w:cs="Times New Roman"/>
          <w:sz w:val="24"/>
          <w:szCs w:val="24"/>
        </w:rPr>
        <w:t xml:space="preserve"> Alongside this, it shall look at the value of the work as a source, its role in later scholarship and how other academics interact with it.</w:t>
      </w:r>
    </w:p>
    <w:p w:rsidR="001F0FF8" w:rsidRDefault="001F3260" w:rsidP="00002584">
      <w:pPr>
        <w:rPr>
          <w:rFonts w:ascii="Times New Roman" w:hAnsi="Times New Roman" w:cs="Times New Roman"/>
          <w:sz w:val="24"/>
          <w:szCs w:val="24"/>
        </w:rPr>
      </w:pPr>
      <w:r>
        <w:rPr>
          <w:rFonts w:ascii="Times New Roman" w:hAnsi="Times New Roman" w:cs="Times New Roman"/>
          <w:sz w:val="24"/>
          <w:szCs w:val="24"/>
        </w:rPr>
        <w:tab/>
      </w:r>
      <w:r w:rsidR="001F0FF8">
        <w:rPr>
          <w:rFonts w:ascii="Times New Roman" w:hAnsi="Times New Roman" w:cs="Times New Roman"/>
          <w:sz w:val="24"/>
          <w:szCs w:val="24"/>
        </w:rPr>
        <w:t>Carrol</w:t>
      </w:r>
      <w:r w:rsidR="00002584">
        <w:rPr>
          <w:rFonts w:ascii="Times New Roman" w:hAnsi="Times New Roman" w:cs="Times New Roman"/>
          <w:sz w:val="24"/>
          <w:szCs w:val="24"/>
        </w:rPr>
        <w:t>l paints a certain truth when looking at the social hierarchy in the Roman Empire,</w:t>
      </w:r>
      <w:r w:rsidR="001F0FF8">
        <w:rPr>
          <w:rFonts w:ascii="Times New Roman" w:hAnsi="Times New Roman" w:cs="Times New Roman"/>
          <w:sz w:val="24"/>
          <w:szCs w:val="24"/>
        </w:rPr>
        <w:t xml:space="preserve"> </w:t>
      </w:r>
      <w:r w:rsidR="00002584">
        <w:rPr>
          <w:rFonts w:ascii="Times New Roman" w:hAnsi="Times New Roman" w:cs="Times New Roman"/>
          <w:sz w:val="24"/>
          <w:szCs w:val="24"/>
        </w:rPr>
        <w:t xml:space="preserve">stating </w:t>
      </w:r>
      <w:r w:rsidR="001F0FF8">
        <w:rPr>
          <w:rFonts w:ascii="Times New Roman" w:hAnsi="Times New Roman" w:cs="Times New Roman"/>
          <w:sz w:val="24"/>
          <w:szCs w:val="24"/>
        </w:rPr>
        <w:t>that:</w:t>
      </w:r>
    </w:p>
    <w:p w:rsidR="00002584" w:rsidRPr="005C3A46" w:rsidRDefault="00002584" w:rsidP="005C3A46">
      <w:pPr>
        <w:ind w:left="1701" w:right="1701"/>
        <w:rPr>
          <w:rFonts w:ascii="Times New Roman" w:hAnsi="Times New Roman" w:cs="Times New Roman"/>
          <w:i/>
          <w:sz w:val="24"/>
          <w:szCs w:val="24"/>
        </w:rPr>
      </w:pPr>
      <w:r w:rsidRPr="005C3A46">
        <w:rPr>
          <w:rFonts w:ascii="Times New Roman" w:hAnsi="Times New Roman" w:cs="Times New Roman"/>
          <w:i/>
          <w:sz w:val="24"/>
          <w:szCs w:val="24"/>
        </w:rPr>
        <w:t>“Slaves stood on the bottom of the ladder, even if arguably many of the freeborn urban poor were worse off</w:t>
      </w:r>
      <w:r w:rsidR="005C3A46" w:rsidRPr="005C3A46">
        <w:rPr>
          <w:rFonts w:ascii="Times New Roman" w:hAnsi="Times New Roman" w:cs="Times New Roman"/>
          <w:i/>
          <w:sz w:val="24"/>
          <w:szCs w:val="24"/>
        </w:rPr>
        <w:t xml:space="preserve"> </w:t>
      </w:r>
      <w:r w:rsidRPr="005C3A46">
        <w:rPr>
          <w:rFonts w:ascii="Times New Roman" w:hAnsi="Times New Roman" w:cs="Times New Roman"/>
          <w:i/>
          <w:sz w:val="24"/>
          <w:szCs w:val="24"/>
        </w:rPr>
        <w:t>economically”</w:t>
      </w:r>
      <w:r w:rsidRPr="005C3A46">
        <w:rPr>
          <w:rStyle w:val="FootnoteReference"/>
          <w:rFonts w:ascii="Times New Roman" w:hAnsi="Times New Roman" w:cs="Times New Roman"/>
          <w:i/>
          <w:sz w:val="24"/>
          <w:szCs w:val="24"/>
        </w:rPr>
        <w:footnoteReference w:id="5"/>
      </w:r>
    </w:p>
    <w:p w:rsidR="003B2871" w:rsidRDefault="00C229FE" w:rsidP="00F5563B">
      <w:pPr>
        <w:rPr>
          <w:rFonts w:ascii="Times New Roman" w:hAnsi="Times New Roman" w:cs="Times New Roman"/>
          <w:sz w:val="24"/>
          <w:szCs w:val="24"/>
        </w:rPr>
      </w:pPr>
      <w:r>
        <w:rPr>
          <w:rFonts w:ascii="Times New Roman" w:hAnsi="Times New Roman" w:cs="Times New Roman"/>
          <w:sz w:val="24"/>
          <w:szCs w:val="24"/>
        </w:rPr>
        <w:tab/>
        <w:t>Regardless of monetary means, familial ties or any other symbol of status, slaves were viewed as the lowest form within social society in Rome, their social mobility seemingly only ab</w:t>
      </w:r>
      <w:r w:rsidR="00927D4E">
        <w:rPr>
          <w:rFonts w:ascii="Times New Roman" w:hAnsi="Times New Roman" w:cs="Times New Roman"/>
          <w:sz w:val="24"/>
          <w:szCs w:val="24"/>
        </w:rPr>
        <w:t xml:space="preserve">le to take an upward trajectory. Therefore, the enhancing of ones status by receiving manumission and becoming a Roman </w:t>
      </w:r>
      <w:r w:rsidR="00927D4E">
        <w:rPr>
          <w:rFonts w:ascii="Times New Roman" w:hAnsi="Times New Roman" w:cs="Times New Roman"/>
          <w:i/>
          <w:sz w:val="24"/>
          <w:szCs w:val="24"/>
        </w:rPr>
        <w:t>libertus</w:t>
      </w:r>
      <w:r w:rsidR="00927D4E">
        <w:rPr>
          <w:rFonts w:ascii="Times New Roman" w:hAnsi="Times New Roman" w:cs="Times New Roman"/>
          <w:sz w:val="24"/>
          <w:szCs w:val="24"/>
        </w:rPr>
        <w:t>, is something that Carroll looks at throughout, using the epigraphic evidence to build a sense of the freedman and his identity. However</w:t>
      </w:r>
      <w:r w:rsidR="003B3525">
        <w:rPr>
          <w:rFonts w:ascii="Times New Roman" w:hAnsi="Times New Roman" w:cs="Times New Roman"/>
          <w:sz w:val="24"/>
          <w:szCs w:val="24"/>
        </w:rPr>
        <w:t xml:space="preserve"> </w:t>
      </w:r>
      <w:r w:rsidR="003B3525">
        <w:rPr>
          <w:rFonts w:ascii="Times New Roman" w:hAnsi="Times New Roman" w:cs="Times New Roman"/>
          <w:sz w:val="24"/>
          <w:szCs w:val="24"/>
        </w:rPr>
        <w:lastRenderedPageBreak/>
        <w:t>identity is based upon the evidence afforded us, which Mouritsen categorizes as usually leading academics to rely on stereotypes and ancient sources citing freedmen who are bad rather than good.</w:t>
      </w:r>
      <w:r w:rsidR="003B3525">
        <w:rPr>
          <w:rStyle w:val="FootnoteReference"/>
          <w:rFonts w:ascii="Times New Roman" w:hAnsi="Times New Roman" w:cs="Times New Roman"/>
          <w:sz w:val="24"/>
          <w:szCs w:val="24"/>
        </w:rPr>
        <w:footnoteReference w:id="6"/>
      </w:r>
      <w:r w:rsidR="003B3525">
        <w:rPr>
          <w:rFonts w:ascii="Times New Roman" w:hAnsi="Times New Roman" w:cs="Times New Roman"/>
          <w:sz w:val="24"/>
          <w:szCs w:val="24"/>
        </w:rPr>
        <w:t xml:space="preserve"> The stereotypical view of the freeman as a social climber, seeking to attain a position of status and wealth is also one which has carried throughout history and</w:t>
      </w:r>
      <w:r w:rsidR="00BB4860">
        <w:rPr>
          <w:rFonts w:ascii="Times New Roman" w:hAnsi="Times New Roman" w:cs="Times New Roman"/>
          <w:sz w:val="24"/>
          <w:szCs w:val="24"/>
        </w:rPr>
        <w:t xml:space="preserve"> reached the modern view of the freed slave.</w:t>
      </w:r>
      <w:r w:rsidR="00BB4860">
        <w:rPr>
          <w:rStyle w:val="FootnoteReference"/>
          <w:rFonts w:ascii="Times New Roman" w:hAnsi="Times New Roman" w:cs="Times New Roman"/>
          <w:sz w:val="24"/>
          <w:szCs w:val="24"/>
        </w:rPr>
        <w:footnoteReference w:id="7"/>
      </w:r>
      <w:r w:rsidR="00BB4860">
        <w:rPr>
          <w:rFonts w:ascii="Times New Roman" w:hAnsi="Times New Roman" w:cs="Times New Roman"/>
          <w:sz w:val="24"/>
          <w:szCs w:val="24"/>
        </w:rPr>
        <w:t xml:space="preserve"> Looking at the epigraphic sources that Carroll makes in the chapter there is no allusion to the sense of the ‘bad freeman’ that Mouritsen notes as a common practice amongst scholars studying the ancient sources, but that there is the opposite, more of a sense of the freedman as the good, doing acts</w:t>
      </w:r>
      <w:r w:rsidR="00981083">
        <w:rPr>
          <w:rFonts w:ascii="Times New Roman" w:hAnsi="Times New Roman" w:cs="Times New Roman"/>
          <w:sz w:val="24"/>
          <w:szCs w:val="24"/>
        </w:rPr>
        <w:t xml:space="preserve"> which would be defined as good, such as the donation of statues</w:t>
      </w:r>
      <w:r w:rsidR="00DD68D7">
        <w:rPr>
          <w:rFonts w:ascii="Times New Roman" w:hAnsi="Times New Roman" w:cs="Times New Roman"/>
          <w:sz w:val="24"/>
          <w:szCs w:val="24"/>
        </w:rPr>
        <w:t xml:space="preserve"> to temples and</w:t>
      </w:r>
      <w:r w:rsidR="00981083">
        <w:rPr>
          <w:rFonts w:ascii="Times New Roman" w:hAnsi="Times New Roman" w:cs="Times New Roman"/>
          <w:sz w:val="24"/>
          <w:szCs w:val="24"/>
        </w:rPr>
        <w:t xml:space="preserve"> financing civic improvements.</w:t>
      </w:r>
      <w:r w:rsidR="00BB4860">
        <w:rPr>
          <w:rStyle w:val="FootnoteReference"/>
          <w:rFonts w:ascii="Times New Roman" w:hAnsi="Times New Roman" w:cs="Times New Roman"/>
          <w:sz w:val="24"/>
          <w:szCs w:val="24"/>
        </w:rPr>
        <w:footnoteReference w:id="8"/>
      </w:r>
      <w:r w:rsidR="00DD68D7">
        <w:rPr>
          <w:rFonts w:ascii="Times New Roman" w:hAnsi="Times New Roman" w:cs="Times New Roman"/>
          <w:sz w:val="24"/>
          <w:szCs w:val="24"/>
        </w:rPr>
        <w:t xml:space="preserve"> However, the social climber as the stereotypical image of the freedmen in Pe</w:t>
      </w:r>
      <w:r w:rsidR="00E23462">
        <w:rPr>
          <w:rFonts w:ascii="Times New Roman" w:hAnsi="Times New Roman" w:cs="Times New Roman"/>
          <w:sz w:val="24"/>
          <w:szCs w:val="24"/>
        </w:rPr>
        <w:t>t</w:t>
      </w:r>
      <w:r w:rsidR="00DD68D7">
        <w:rPr>
          <w:rFonts w:ascii="Times New Roman" w:hAnsi="Times New Roman" w:cs="Times New Roman"/>
          <w:sz w:val="24"/>
          <w:szCs w:val="24"/>
        </w:rPr>
        <w:t xml:space="preserve">ronius’ </w:t>
      </w:r>
      <w:r w:rsidR="00DD68D7">
        <w:rPr>
          <w:rFonts w:ascii="Times New Roman" w:hAnsi="Times New Roman" w:cs="Times New Roman"/>
          <w:i/>
          <w:sz w:val="24"/>
          <w:szCs w:val="24"/>
        </w:rPr>
        <w:t>Satyricon</w:t>
      </w:r>
      <w:r w:rsidR="00DD68D7">
        <w:rPr>
          <w:rFonts w:ascii="Times New Roman" w:hAnsi="Times New Roman" w:cs="Times New Roman"/>
          <w:sz w:val="24"/>
          <w:szCs w:val="24"/>
        </w:rPr>
        <w:t>, is perhaps the main ancient source which has produced the accepte</w:t>
      </w:r>
      <w:r w:rsidR="00E23462">
        <w:rPr>
          <w:rFonts w:ascii="Times New Roman" w:hAnsi="Times New Roman" w:cs="Times New Roman"/>
          <w:sz w:val="24"/>
          <w:szCs w:val="24"/>
        </w:rPr>
        <w:t>d image of the freedman and one that Carroll appears to support, using the source as an anecdotal accompaniment regarding the funerals of a former slaves patron.</w:t>
      </w:r>
      <w:r w:rsidR="00E23462">
        <w:rPr>
          <w:rStyle w:val="FootnoteReference"/>
          <w:rFonts w:ascii="Times New Roman" w:hAnsi="Times New Roman" w:cs="Times New Roman"/>
          <w:sz w:val="24"/>
          <w:szCs w:val="24"/>
        </w:rPr>
        <w:footnoteReference w:id="9"/>
      </w:r>
      <w:r w:rsidR="00880A6F">
        <w:rPr>
          <w:rFonts w:ascii="Times New Roman" w:hAnsi="Times New Roman" w:cs="Times New Roman"/>
          <w:sz w:val="24"/>
          <w:szCs w:val="24"/>
        </w:rPr>
        <w:t xml:space="preserve"> However, it is the funerary commemoration that is commissioned by Trimalchio in the story that draws parallels with some funerary epitaphs that the chapter mentions which are notable, as it can be argued that Carroll buys into the notion of the stereotype.</w:t>
      </w:r>
      <w:r w:rsidR="00880A6F">
        <w:rPr>
          <w:rStyle w:val="FootnoteReference"/>
          <w:rFonts w:ascii="Times New Roman" w:hAnsi="Times New Roman" w:cs="Times New Roman"/>
          <w:sz w:val="24"/>
          <w:szCs w:val="24"/>
        </w:rPr>
        <w:footnoteReference w:id="10"/>
      </w:r>
      <w:r w:rsidR="004D663F">
        <w:rPr>
          <w:rFonts w:ascii="Times New Roman" w:hAnsi="Times New Roman" w:cs="Times New Roman"/>
          <w:sz w:val="24"/>
          <w:szCs w:val="24"/>
        </w:rPr>
        <w:t xml:space="preserve"> This though is a common practice, and</w:t>
      </w:r>
      <w:r w:rsidR="00FB65E6">
        <w:rPr>
          <w:rFonts w:ascii="Times New Roman" w:hAnsi="Times New Roman" w:cs="Times New Roman"/>
          <w:sz w:val="24"/>
          <w:szCs w:val="24"/>
        </w:rPr>
        <w:t xml:space="preserve"> indeed</w:t>
      </w:r>
      <w:r w:rsidR="004D663F">
        <w:rPr>
          <w:rFonts w:ascii="Times New Roman" w:hAnsi="Times New Roman" w:cs="Times New Roman"/>
          <w:sz w:val="24"/>
          <w:szCs w:val="24"/>
        </w:rPr>
        <w:t xml:space="preserve"> the comparisons between the characters of the source </w:t>
      </w:r>
      <w:r w:rsidR="00FB65E6">
        <w:rPr>
          <w:rFonts w:ascii="Times New Roman" w:hAnsi="Times New Roman" w:cs="Times New Roman"/>
          <w:sz w:val="24"/>
          <w:szCs w:val="24"/>
        </w:rPr>
        <w:t xml:space="preserve">material, </w:t>
      </w:r>
      <w:r w:rsidR="004D663F">
        <w:rPr>
          <w:rFonts w:ascii="Times New Roman" w:hAnsi="Times New Roman" w:cs="Times New Roman"/>
          <w:sz w:val="24"/>
          <w:szCs w:val="24"/>
        </w:rPr>
        <w:t>and those on funerary commemorations has been discussed extensively in modern scholarship.</w:t>
      </w:r>
      <w:r w:rsidR="004D663F">
        <w:rPr>
          <w:rStyle w:val="FootnoteReference"/>
          <w:rFonts w:ascii="Times New Roman" w:hAnsi="Times New Roman" w:cs="Times New Roman"/>
          <w:sz w:val="24"/>
          <w:szCs w:val="24"/>
        </w:rPr>
        <w:footnoteReference w:id="11"/>
      </w:r>
      <w:r w:rsidR="006C4A91">
        <w:rPr>
          <w:rFonts w:ascii="Times New Roman" w:hAnsi="Times New Roman" w:cs="Times New Roman"/>
          <w:sz w:val="24"/>
          <w:szCs w:val="24"/>
        </w:rPr>
        <w:t xml:space="preserve"> It is perhaps valuable to note though that the value in the chapter on the image and identity of the freeman is in Carroll’s primary focus on the Latin inscriptions in relative situ, as it does not get caught up in the debate of realism between the literary view of freedmen and the derogatory.</w:t>
      </w:r>
      <w:r w:rsidR="006C4A91">
        <w:rPr>
          <w:rStyle w:val="FootnoteReference"/>
          <w:rFonts w:ascii="Times New Roman" w:hAnsi="Times New Roman" w:cs="Times New Roman"/>
          <w:sz w:val="24"/>
          <w:szCs w:val="24"/>
        </w:rPr>
        <w:footnoteReference w:id="12"/>
      </w:r>
      <w:r w:rsidR="006C4A91">
        <w:rPr>
          <w:rFonts w:ascii="Times New Roman" w:hAnsi="Times New Roman" w:cs="Times New Roman"/>
          <w:sz w:val="24"/>
          <w:szCs w:val="24"/>
        </w:rPr>
        <w:t xml:space="preserve"> This in turn would confirm why funerary commemoration study and that of reliefs is key to analysing the social status of freedmen and gaining a deeper understanding of social structure in Roman society without a biased or satirical eyeglass.</w:t>
      </w:r>
    </w:p>
    <w:p w:rsidR="00C556C8" w:rsidRDefault="00C556C8" w:rsidP="00F5563B">
      <w:pPr>
        <w:rPr>
          <w:rFonts w:ascii="Times New Roman" w:hAnsi="Times New Roman" w:cs="Times New Roman"/>
          <w:sz w:val="24"/>
          <w:szCs w:val="24"/>
        </w:rPr>
      </w:pPr>
      <w:r>
        <w:rPr>
          <w:rFonts w:ascii="Times New Roman" w:hAnsi="Times New Roman" w:cs="Times New Roman"/>
          <w:sz w:val="24"/>
          <w:szCs w:val="24"/>
        </w:rPr>
        <w:tab/>
        <w:t xml:space="preserve">Carroll makes the point however that the social mobility of freedmen was that of an upward trajectory, with most evidence pointing toward this notion. However whilst I can agree to an extent, the point is touched upon but not explored fully, that a slave whilst </w:t>
      </w:r>
      <w:r>
        <w:rPr>
          <w:rFonts w:ascii="Times New Roman" w:hAnsi="Times New Roman" w:cs="Times New Roman"/>
          <w:i/>
          <w:sz w:val="24"/>
          <w:szCs w:val="24"/>
        </w:rPr>
        <w:t xml:space="preserve">manumitted </w:t>
      </w:r>
      <w:r>
        <w:rPr>
          <w:rFonts w:ascii="Times New Roman" w:hAnsi="Times New Roman" w:cs="Times New Roman"/>
          <w:sz w:val="24"/>
          <w:szCs w:val="24"/>
        </w:rPr>
        <w:t>or not, was arguable still seen as lesser in the eyes of Roman freeborn and upper classes.</w:t>
      </w:r>
      <w:r>
        <w:rPr>
          <w:rStyle w:val="FootnoteReference"/>
          <w:rFonts w:ascii="Times New Roman" w:hAnsi="Times New Roman" w:cs="Times New Roman"/>
          <w:sz w:val="24"/>
          <w:szCs w:val="24"/>
        </w:rPr>
        <w:footnoteReference w:id="13"/>
      </w:r>
      <w:r w:rsidR="00253126">
        <w:rPr>
          <w:rFonts w:ascii="Times New Roman" w:hAnsi="Times New Roman" w:cs="Times New Roman"/>
          <w:sz w:val="24"/>
          <w:szCs w:val="24"/>
        </w:rPr>
        <w:t xml:space="preserve"> Carroll gives two examples which I will note here: That of Narbonne </w:t>
      </w:r>
      <w:r w:rsidR="00253126">
        <w:rPr>
          <w:rFonts w:ascii="Times New Roman" w:hAnsi="Times New Roman" w:cs="Times New Roman"/>
          <w:i/>
          <w:sz w:val="24"/>
          <w:szCs w:val="24"/>
        </w:rPr>
        <w:t xml:space="preserve">libertus, </w:t>
      </w:r>
      <w:r w:rsidR="00253126">
        <w:rPr>
          <w:rFonts w:ascii="Times New Roman" w:hAnsi="Times New Roman" w:cs="Times New Roman"/>
          <w:sz w:val="24"/>
          <w:szCs w:val="24"/>
        </w:rPr>
        <w:t>Marcus Pilius Diophantus and his son who is named as the ‘son of Marcus’ and not stuck with any of the stigma of slavery in his previous generations of family.</w:t>
      </w:r>
      <w:r w:rsidR="00253126">
        <w:rPr>
          <w:rStyle w:val="FootnoteReference"/>
          <w:rFonts w:ascii="Times New Roman" w:hAnsi="Times New Roman" w:cs="Times New Roman"/>
          <w:sz w:val="24"/>
          <w:szCs w:val="24"/>
        </w:rPr>
        <w:footnoteReference w:id="14"/>
      </w:r>
      <w:r w:rsidR="00253126">
        <w:rPr>
          <w:rFonts w:ascii="Times New Roman" w:hAnsi="Times New Roman" w:cs="Times New Roman"/>
          <w:sz w:val="24"/>
          <w:szCs w:val="24"/>
        </w:rPr>
        <w:t xml:space="preserve"> The other </w:t>
      </w:r>
      <w:r w:rsidR="00714E1E">
        <w:rPr>
          <w:rFonts w:ascii="Times New Roman" w:hAnsi="Times New Roman" w:cs="Times New Roman"/>
          <w:sz w:val="24"/>
          <w:szCs w:val="24"/>
        </w:rPr>
        <w:t xml:space="preserve">from north western Italy, of Philologus the freedman, husband of a freeborn woman named Sabina, </w:t>
      </w:r>
      <w:r w:rsidR="00714E1E">
        <w:rPr>
          <w:rFonts w:ascii="Times New Roman" w:hAnsi="Times New Roman" w:cs="Times New Roman"/>
          <w:sz w:val="24"/>
          <w:szCs w:val="24"/>
        </w:rPr>
        <w:lastRenderedPageBreak/>
        <w:t>whose son was known with n</w:t>
      </w:r>
      <w:r w:rsidR="005C3A46">
        <w:rPr>
          <w:rFonts w:ascii="Times New Roman" w:hAnsi="Times New Roman" w:cs="Times New Roman"/>
          <w:sz w:val="24"/>
          <w:szCs w:val="24"/>
        </w:rPr>
        <w:t>o servile status in his title</w:t>
      </w:r>
      <w:r w:rsidR="00714E1E">
        <w:rPr>
          <w:rFonts w:ascii="Times New Roman" w:hAnsi="Times New Roman" w:cs="Times New Roman"/>
          <w:sz w:val="24"/>
          <w:szCs w:val="24"/>
        </w:rPr>
        <w:t xml:space="preserve"> and with</w:t>
      </w:r>
      <w:r w:rsidR="005C3A46">
        <w:rPr>
          <w:rFonts w:ascii="Times New Roman" w:hAnsi="Times New Roman" w:cs="Times New Roman"/>
          <w:sz w:val="24"/>
          <w:szCs w:val="24"/>
        </w:rPr>
        <w:t xml:space="preserve"> f</w:t>
      </w:r>
      <w:r w:rsidR="00714E1E">
        <w:rPr>
          <w:rFonts w:ascii="Times New Roman" w:hAnsi="Times New Roman" w:cs="Times New Roman"/>
          <w:sz w:val="24"/>
          <w:szCs w:val="24"/>
        </w:rPr>
        <w:t>ull voting rights as a citizen in the Pollia voting district.</w:t>
      </w:r>
      <w:r w:rsidR="00714E1E">
        <w:rPr>
          <w:rStyle w:val="FootnoteReference"/>
          <w:rFonts w:ascii="Times New Roman" w:hAnsi="Times New Roman" w:cs="Times New Roman"/>
          <w:sz w:val="24"/>
          <w:szCs w:val="24"/>
        </w:rPr>
        <w:footnoteReference w:id="15"/>
      </w:r>
      <w:r w:rsidR="005C3A46">
        <w:rPr>
          <w:rFonts w:ascii="Times New Roman" w:hAnsi="Times New Roman" w:cs="Times New Roman"/>
          <w:sz w:val="24"/>
          <w:szCs w:val="24"/>
        </w:rPr>
        <w:t xml:space="preserve"> Indeed Tacitus wrote:</w:t>
      </w:r>
    </w:p>
    <w:p w:rsidR="005C3A46" w:rsidRDefault="005C3A46" w:rsidP="005C3A46">
      <w:pPr>
        <w:ind w:left="1701" w:right="1701"/>
        <w:rPr>
          <w:rFonts w:ascii="Times New Roman" w:hAnsi="Times New Roman" w:cs="Times New Roman"/>
          <w:sz w:val="24"/>
          <w:szCs w:val="24"/>
        </w:rPr>
      </w:pPr>
      <w:r w:rsidRPr="005C3A46">
        <w:rPr>
          <w:rFonts w:ascii="Times New Roman" w:hAnsi="Times New Roman" w:cs="Times New Roman"/>
          <w:i/>
          <w:sz w:val="24"/>
          <w:szCs w:val="24"/>
        </w:rPr>
        <w:t>“Most knights, many senators, are descended from former slaves. Segregate the free, and you will only show how few freeborn there are!”</w:t>
      </w:r>
      <w:r w:rsidR="00F2158D">
        <w:rPr>
          <w:rStyle w:val="FootnoteReference"/>
          <w:rFonts w:ascii="Times New Roman" w:hAnsi="Times New Roman" w:cs="Times New Roman"/>
          <w:i/>
          <w:sz w:val="24"/>
          <w:szCs w:val="24"/>
        </w:rPr>
        <w:footnoteReference w:id="16"/>
      </w:r>
    </w:p>
    <w:p w:rsidR="00F2158D" w:rsidRPr="009A583B" w:rsidRDefault="00F2158D" w:rsidP="00F2158D">
      <w:pPr>
        <w:rPr>
          <w:rFonts w:ascii="Times New Roman" w:hAnsi="Times New Roman" w:cs="Times New Roman"/>
          <w:sz w:val="24"/>
          <w:szCs w:val="24"/>
        </w:rPr>
      </w:pPr>
      <w:r>
        <w:rPr>
          <w:rFonts w:ascii="Times New Roman" w:hAnsi="Times New Roman" w:cs="Times New Roman"/>
          <w:sz w:val="24"/>
          <w:szCs w:val="24"/>
        </w:rPr>
        <w:tab/>
        <w:t>Whilst there was a stigma attached, along with discrimination shown to the lower classes, it would seem from the epigraphical record, and the chapter itself that funerary monuments discussed that freeborn were seeking to rectify their situation and counter the social climate that saw them as lesser.</w:t>
      </w:r>
      <w:r>
        <w:rPr>
          <w:rStyle w:val="FootnoteReference"/>
          <w:rFonts w:ascii="Times New Roman" w:hAnsi="Times New Roman" w:cs="Times New Roman"/>
          <w:sz w:val="24"/>
          <w:szCs w:val="24"/>
        </w:rPr>
        <w:footnoteReference w:id="17"/>
      </w:r>
      <w:r>
        <w:rPr>
          <w:rFonts w:ascii="Times New Roman" w:hAnsi="Times New Roman" w:cs="Times New Roman"/>
          <w:sz w:val="24"/>
          <w:szCs w:val="24"/>
        </w:rPr>
        <w:t xml:space="preserve"> Arguably then this could explain the disproportionate amount of funerary amongst freedmen, that it is a lasting monument to the previous generations freedom and therefore a symbol of legitimacy for the family line; this in turn would explain the lack of funerary commemoration amongst freeborn who perhaps did not need such statements to be made or who were that distant from their own servile past that it was no longer a taboo that affected their status.</w:t>
      </w:r>
      <w:r w:rsidR="007B1994">
        <w:rPr>
          <w:rStyle w:val="FootnoteReference"/>
          <w:rFonts w:ascii="Times New Roman" w:hAnsi="Times New Roman" w:cs="Times New Roman"/>
          <w:sz w:val="24"/>
          <w:szCs w:val="24"/>
        </w:rPr>
        <w:footnoteReference w:id="18"/>
      </w:r>
      <w:r w:rsidR="00B92ED4">
        <w:rPr>
          <w:rFonts w:ascii="Times New Roman" w:hAnsi="Times New Roman" w:cs="Times New Roman"/>
          <w:sz w:val="24"/>
          <w:szCs w:val="24"/>
        </w:rPr>
        <w:t xml:space="preserve"> However, given the stigma attached to servile origins it would explain the commemorations of freedmen who do not include the </w:t>
      </w:r>
      <w:r w:rsidR="00B92ED4">
        <w:rPr>
          <w:rFonts w:ascii="Times New Roman" w:hAnsi="Times New Roman" w:cs="Times New Roman"/>
          <w:i/>
          <w:sz w:val="24"/>
          <w:szCs w:val="24"/>
        </w:rPr>
        <w:t>libertus</w:t>
      </w:r>
      <w:r w:rsidR="00B92ED4">
        <w:rPr>
          <w:rFonts w:ascii="Times New Roman" w:hAnsi="Times New Roman" w:cs="Times New Roman"/>
          <w:sz w:val="24"/>
          <w:szCs w:val="24"/>
        </w:rPr>
        <w:t xml:space="preserve"> in their </w:t>
      </w:r>
      <w:r w:rsidR="000C5656">
        <w:rPr>
          <w:rFonts w:ascii="Times New Roman" w:hAnsi="Times New Roman" w:cs="Times New Roman"/>
          <w:sz w:val="24"/>
          <w:szCs w:val="24"/>
        </w:rPr>
        <w:t>epitaph. Carroll engages well in this debate, yet without fanfare, with Petronia Erotis burying her husband at Isola Sacra, with two inscriptions yet only one describing the roots of a servile background, and that deemed the private one from inside the tomb, with the misleading one determined to be attached to the outside.</w:t>
      </w:r>
      <w:r w:rsidR="000C5656">
        <w:rPr>
          <w:rStyle w:val="FootnoteReference"/>
          <w:rFonts w:ascii="Times New Roman" w:hAnsi="Times New Roman" w:cs="Times New Roman"/>
          <w:sz w:val="24"/>
          <w:szCs w:val="24"/>
        </w:rPr>
        <w:footnoteReference w:id="19"/>
      </w:r>
      <w:r w:rsidR="000C5656">
        <w:rPr>
          <w:rFonts w:ascii="Times New Roman" w:hAnsi="Times New Roman" w:cs="Times New Roman"/>
          <w:sz w:val="24"/>
          <w:szCs w:val="24"/>
        </w:rPr>
        <w:t xml:space="preserve"> This suggests that freedmen sought to hide their status and maintain a sense of legitimacy and</w:t>
      </w:r>
      <w:r w:rsidR="009A583B">
        <w:rPr>
          <w:rFonts w:ascii="Times New Roman" w:hAnsi="Times New Roman" w:cs="Times New Roman"/>
          <w:sz w:val="24"/>
          <w:szCs w:val="24"/>
        </w:rPr>
        <w:t xml:space="preserve"> by doing so this bled into other areas of debate and inscription.</w:t>
      </w:r>
      <w:r w:rsidR="009A583B">
        <w:rPr>
          <w:rStyle w:val="FootnoteReference"/>
          <w:rFonts w:ascii="Times New Roman" w:hAnsi="Times New Roman" w:cs="Times New Roman"/>
          <w:sz w:val="24"/>
          <w:szCs w:val="24"/>
        </w:rPr>
        <w:footnoteReference w:id="20"/>
      </w:r>
      <w:r w:rsidR="009A583B">
        <w:rPr>
          <w:rFonts w:ascii="Times New Roman" w:hAnsi="Times New Roman" w:cs="Times New Roman"/>
          <w:sz w:val="24"/>
          <w:szCs w:val="24"/>
        </w:rPr>
        <w:t xml:space="preserve"> The previous two epitaphs from Narbonne and north west Italy are examples whereby this hidden background can be argued as evidence of freedmen omitting the filiation when mentioning children, although freeborn.</w:t>
      </w:r>
      <w:r w:rsidR="003C1695">
        <w:rPr>
          <w:rStyle w:val="FootnoteReference"/>
          <w:rFonts w:ascii="Times New Roman" w:hAnsi="Times New Roman" w:cs="Times New Roman"/>
          <w:sz w:val="24"/>
          <w:szCs w:val="24"/>
        </w:rPr>
        <w:footnoteReference w:id="21"/>
      </w:r>
      <w:r w:rsidR="009A583B">
        <w:rPr>
          <w:rFonts w:ascii="Times New Roman" w:hAnsi="Times New Roman" w:cs="Times New Roman"/>
          <w:sz w:val="24"/>
          <w:szCs w:val="24"/>
        </w:rPr>
        <w:t xml:space="preserve"> Furthermore, it would go a long way to explain the prevalence of Latin </w:t>
      </w:r>
      <w:r w:rsidR="009A583B">
        <w:rPr>
          <w:rFonts w:ascii="Times New Roman" w:hAnsi="Times New Roman" w:cs="Times New Roman"/>
          <w:i/>
          <w:sz w:val="24"/>
          <w:szCs w:val="24"/>
        </w:rPr>
        <w:t>cognomina</w:t>
      </w:r>
      <w:r w:rsidR="009A583B">
        <w:rPr>
          <w:rFonts w:ascii="Times New Roman" w:hAnsi="Times New Roman" w:cs="Times New Roman"/>
          <w:sz w:val="24"/>
          <w:szCs w:val="24"/>
        </w:rPr>
        <w:t xml:space="preserve"> amongst the epitaphs of freedmen and those of servile background, as a means of showing both legitimacy but also in seeking to hide the servile background, perhaps two sides to a coin, but either way is seen among the many examples in Carroll.</w:t>
      </w:r>
      <w:r w:rsidR="009A583B">
        <w:rPr>
          <w:rStyle w:val="FootnoteReference"/>
          <w:rFonts w:ascii="Times New Roman" w:hAnsi="Times New Roman" w:cs="Times New Roman"/>
          <w:sz w:val="24"/>
          <w:szCs w:val="24"/>
        </w:rPr>
        <w:footnoteReference w:id="22"/>
      </w:r>
      <w:r w:rsidR="009A583B">
        <w:rPr>
          <w:rFonts w:ascii="Times New Roman" w:hAnsi="Times New Roman" w:cs="Times New Roman"/>
          <w:sz w:val="24"/>
          <w:szCs w:val="24"/>
        </w:rPr>
        <w:t xml:space="preserve"> </w:t>
      </w:r>
    </w:p>
    <w:p w:rsidR="007B1994" w:rsidRPr="00F2158D" w:rsidRDefault="007B1994" w:rsidP="00F2158D">
      <w:pPr>
        <w:rPr>
          <w:rFonts w:ascii="Times New Roman" w:hAnsi="Times New Roman" w:cs="Times New Roman"/>
          <w:sz w:val="24"/>
          <w:szCs w:val="24"/>
        </w:rPr>
      </w:pPr>
      <w:r>
        <w:rPr>
          <w:rFonts w:ascii="Times New Roman" w:hAnsi="Times New Roman" w:cs="Times New Roman"/>
          <w:sz w:val="24"/>
          <w:szCs w:val="24"/>
        </w:rPr>
        <w:tab/>
        <w:t>Legitimacy being a key theme in freedmen culture</w:t>
      </w:r>
      <w:r w:rsidR="00B92ED4">
        <w:rPr>
          <w:rStyle w:val="FootnoteReference"/>
          <w:rFonts w:ascii="Times New Roman" w:hAnsi="Times New Roman" w:cs="Times New Roman"/>
          <w:sz w:val="24"/>
          <w:szCs w:val="24"/>
        </w:rPr>
        <w:footnoteReference w:id="23"/>
      </w:r>
      <w:r>
        <w:rPr>
          <w:rFonts w:ascii="Times New Roman" w:hAnsi="Times New Roman" w:cs="Times New Roman"/>
          <w:sz w:val="24"/>
          <w:szCs w:val="24"/>
        </w:rPr>
        <w:t xml:space="preserve">, and throughout the chapter, it is worth arguing </w:t>
      </w:r>
      <w:r w:rsidR="009F6EA1">
        <w:rPr>
          <w:rFonts w:ascii="Times New Roman" w:hAnsi="Times New Roman" w:cs="Times New Roman"/>
          <w:sz w:val="24"/>
          <w:szCs w:val="24"/>
        </w:rPr>
        <w:t xml:space="preserve">however </w:t>
      </w:r>
      <w:r>
        <w:rPr>
          <w:rFonts w:ascii="Times New Roman" w:hAnsi="Times New Roman" w:cs="Times New Roman"/>
          <w:sz w:val="24"/>
          <w:szCs w:val="24"/>
        </w:rPr>
        <w:t xml:space="preserve">why Carroll does not scrutinise the lack of freedmen </w:t>
      </w:r>
      <w:r w:rsidR="00B92ED4">
        <w:rPr>
          <w:rFonts w:ascii="Times New Roman" w:hAnsi="Times New Roman" w:cs="Times New Roman"/>
          <w:sz w:val="24"/>
          <w:szCs w:val="24"/>
        </w:rPr>
        <w:t xml:space="preserve">married to freeborn women and the reasons behind this, despite freeborn men marrying former or </w:t>
      </w:r>
      <w:r w:rsidR="00B92ED4">
        <w:rPr>
          <w:rFonts w:ascii="Times New Roman" w:hAnsi="Times New Roman" w:cs="Times New Roman"/>
          <w:sz w:val="24"/>
          <w:szCs w:val="24"/>
        </w:rPr>
        <w:lastRenderedPageBreak/>
        <w:t>current slaves being prevalent in the epigraphical evidence.</w:t>
      </w:r>
      <w:r w:rsidR="00B92ED4">
        <w:rPr>
          <w:rStyle w:val="FootnoteReference"/>
          <w:rFonts w:ascii="Times New Roman" w:hAnsi="Times New Roman" w:cs="Times New Roman"/>
          <w:sz w:val="24"/>
          <w:szCs w:val="24"/>
        </w:rPr>
        <w:footnoteReference w:id="24"/>
      </w:r>
      <w:r w:rsidR="009F6EA1">
        <w:rPr>
          <w:rFonts w:ascii="Times New Roman" w:hAnsi="Times New Roman" w:cs="Times New Roman"/>
          <w:sz w:val="24"/>
          <w:szCs w:val="24"/>
        </w:rPr>
        <w:t xml:space="preserve"> Whilst it is perhaps rarer its lack of inclusion here and debate regarding the reasoning behind this epigraphical anomaly would have produced a more thorough picture of marriage amongst both freeborn and those who came from bondage. But, Carroll does show a habit worth picking up on, that the only way in Roman law to have legitimate children was to be married.</w:t>
      </w:r>
      <w:r w:rsidR="009F6EA1">
        <w:rPr>
          <w:rStyle w:val="FootnoteReference"/>
          <w:rFonts w:ascii="Times New Roman" w:hAnsi="Times New Roman" w:cs="Times New Roman"/>
          <w:sz w:val="24"/>
          <w:szCs w:val="24"/>
        </w:rPr>
        <w:footnoteReference w:id="25"/>
      </w:r>
      <w:r w:rsidR="009F6EA1">
        <w:rPr>
          <w:rFonts w:ascii="Times New Roman" w:hAnsi="Times New Roman" w:cs="Times New Roman"/>
          <w:sz w:val="24"/>
          <w:szCs w:val="24"/>
        </w:rPr>
        <w:t xml:space="preserve"> This in turn may be another</w:t>
      </w:r>
      <w:r w:rsidR="003F08A1">
        <w:rPr>
          <w:rFonts w:ascii="Times New Roman" w:hAnsi="Times New Roman" w:cs="Times New Roman"/>
          <w:sz w:val="24"/>
          <w:szCs w:val="24"/>
        </w:rPr>
        <w:t xml:space="preserve"> reason for why the majority of the significant amount of </w:t>
      </w:r>
      <w:r w:rsidR="009F6EA1">
        <w:rPr>
          <w:rFonts w:ascii="Times New Roman" w:hAnsi="Times New Roman" w:cs="Times New Roman"/>
          <w:sz w:val="24"/>
          <w:szCs w:val="24"/>
        </w:rPr>
        <w:t>epitaphs of freedmen contain the familial unit; husband wife and child, and therefore show the legitimacy of the family line.</w:t>
      </w:r>
      <w:r w:rsidR="009F6EA1">
        <w:rPr>
          <w:rStyle w:val="FootnoteReference"/>
          <w:rFonts w:ascii="Times New Roman" w:hAnsi="Times New Roman" w:cs="Times New Roman"/>
          <w:sz w:val="24"/>
          <w:szCs w:val="24"/>
        </w:rPr>
        <w:footnoteReference w:id="26"/>
      </w:r>
    </w:p>
    <w:p w:rsidR="003B2871" w:rsidRDefault="00461FDD" w:rsidP="00F5563B">
      <w:pPr>
        <w:rPr>
          <w:rFonts w:ascii="Times New Roman" w:hAnsi="Times New Roman" w:cs="Times New Roman"/>
          <w:sz w:val="24"/>
          <w:szCs w:val="24"/>
        </w:rPr>
      </w:pPr>
      <w:r>
        <w:rPr>
          <w:rFonts w:ascii="Times New Roman" w:hAnsi="Times New Roman" w:cs="Times New Roman"/>
          <w:sz w:val="24"/>
          <w:szCs w:val="24"/>
        </w:rPr>
        <w:tab/>
        <w:t>Carroll in the chapter shows the value we can ascertain from funerary commemoration in the Roman world. The piece shows us that the epigraphic habit amongst freedmen was more significant and widespread than their freeborn counterparts.</w:t>
      </w:r>
      <w:r>
        <w:rPr>
          <w:rStyle w:val="FootnoteReference"/>
          <w:rFonts w:ascii="Times New Roman" w:hAnsi="Times New Roman" w:cs="Times New Roman"/>
          <w:sz w:val="24"/>
          <w:szCs w:val="24"/>
        </w:rPr>
        <w:footnoteReference w:id="27"/>
      </w:r>
      <w:r>
        <w:rPr>
          <w:rFonts w:ascii="Times New Roman" w:hAnsi="Times New Roman" w:cs="Times New Roman"/>
          <w:sz w:val="24"/>
          <w:szCs w:val="24"/>
        </w:rPr>
        <w:t xml:space="preserve"> In the provinces and even on the mainland being a sense of Romanization and the appropriation of Roman culture, but moreover it shows the value that freedmen themselves placed of proving both their own legitimacy and that of their future familial line.</w:t>
      </w:r>
      <w:r>
        <w:rPr>
          <w:rStyle w:val="FootnoteReference"/>
          <w:rFonts w:ascii="Times New Roman" w:hAnsi="Times New Roman" w:cs="Times New Roman"/>
          <w:sz w:val="24"/>
          <w:szCs w:val="24"/>
        </w:rPr>
        <w:footnoteReference w:id="28"/>
      </w:r>
      <w:r>
        <w:rPr>
          <w:rFonts w:ascii="Times New Roman" w:hAnsi="Times New Roman" w:cs="Times New Roman"/>
          <w:sz w:val="24"/>
          <w:szCs w:val="24"/>
        </w:rPr>
        <w:t xml:space="preserve"> However, whilst the selection of epitaphs was extensive and the conclusions drawn in line with most scholarly debate, I argue that Carroll could have assessed to greater depths the nature of marriage between freeborn </w:t>
      </w:r>
      <w:r w:rsidR="004D50EA">
        <w:rPr>
          <w:rFonts w:ascii="Times New Roman" w:hAnsi="Times New Roman" w:cs="Times New Roman"/>
          <w:sz w:val="24"/>
          <w:szCs w:val="24"/>
        </w:rPr>
        <w:t>wome</w:t>
      </w:r>
      <w:r>
        <w:rPr>
          <w:rFonts w:ascii="Times New Roman" w:hAnsi="Times New Roman" w:cs="Times New Roman"/>
          <w:sz w:val="24"/>
          <w:szCs w:val="24"/>
        </w:rPr>
        <w:t>n and freed</w:t>
      </w:r>
      <w:r w:rsidR="004D50EA">
        <w:rPr>
          <w:rFonts w:ascii="Times New Roman" w:hAnsi="Times New Roman" w:cs="Times New Roman"/>
          <w:sz w:val="24"/>
          <w:szCs w:val="24"/>
        </w:rPr>
        <w:t>men, to give a greater scope to social status in Roman society. Nontheless, the chapter itself is of immense academic value, evident in its use in later works as a source, of which none have significantly disputed or countered the points made therein.</w:t>
      </w:r>
    </w:p>
    <w:p w:rsidR="004D50EA" w:rsidRDefault="004D50EA" w:rsidP="00F5563B">
      <w:pPr>
        <w:rPr>
          <w:rFonts w:ascii="Times New Roman" w:hAnsi="Times New Roman" w:cs="Times New Roman"/>
          <w:sz w:val="24"/>
          <w:szCs w:val="24"/>
        </w:rPr>
      </w:pPr>
    </w:p>
    <w:p w:rsidR="004D50EA" w:rsidRPr="004D50EA" w:rsidRDefault="004D50EA" w:rsidP="00F5563B">
      <w:pPr>
        <w:rPr>
          <w:rFonts w:ascii="Times New Roman" w:hAnsi="Times New Roman" w:cs="Times New Roman"/>
          <w:sz w:val="24"/>
          <w:szCs w:val="24"/>
        </w:rPr>
      </w:pPr>
      <w:r>
        <w:rPr>
          <w:rFonts w:ascii="Times New Roman" w:hAnsi="Times New Roman" w:cs="Times New Roman"/>
          <w:b/>
          <w:sz w:val="24"/>
          <w:szCs w:val="24"/>
        </w:rPr>
        <w:t xml:space="preserve">Word Count: </w:t>
      </w:r>
      <w:r w:rsidR="0070653E">
        <w:rPr>
          <w:rFonts w:ascii="Times New Roman" w:hAnsi="Times New Roman" w:cs="Times New Roman"/>
          <w:sz w:val="24"/>
          <w:szCs w:val="24"/>
        </w:rPr>
        <w:t>2,168</w:t>
      </w:r>
    </w:p>
    <w:p w:rsidR="003B2871" w:rsidRDefault="003B2871" w:rsidP="00F5563B">
      <w:pPr>
        <w:rPr>
          <w:rFonts w:ascii="Times New Roman" w:hAnsi="Times New Roman" w:cs="Times New Roman"/>
          <w:sz w:val="24"/>
          <w:szCs w:val="24"/>
        </w:rPr>
      </w:pPr>
    </w:p>
    <w:p w:rsidR="003B2871" w:rsidRDefault="003B2871" w:rsidP="00F5563B">
      <w:pPr>
        <w:rPr>
          <w:rFonts w:ascii="Times New Roman" w:hAnsi="Times New Roman" w:cs="Times New Roman"/>
          <w:sz w:val="24"/>
          <w:szCs w:val="24"/>
        </w:rPr>
      </w:pPr>
    </w:p>
    <w:p w:rsidR="003B2871" w:rsidRDefault="003B2871" w:rsidP="00F5563B">
      <w:pPr>
        <w:rPr>
          <w:rFonts w:ascii="Times New Roman" w:hAnsi="Times New Roman" w:cs="Times New Roman"/>
          <w:sz w:val="24"/>
          <w:szCs w:val="24"/>
        </w:rPr>
      </w:pPr>
    </w:p>
    <w:p w:rsidR="00066E62" w:rsidRDefault="00066E62" w:rsidP="00F5563B">
      <w:pPr>
        <w:rPr>
          <w:rFonts w:ascii="Times New Roman" w:hAnsi="Times New Roman" w:cs="Times New Roman"/>
          <w:sz w:val="24"/>
          <w:szCs w:val="24"/>
        </w:rPr>
      </w:pPr>
    </w:p>
    <w:p w:rsidR="00066E62" w:rsidRDefault="00066E62" w:rsidP="00F5563B">
      <w:pPr>
        <w:rPr>
          <w:rFonts w:ascii="Times New Roman" w:hAnsi="Times New Roman" w:cs="Times New Roman"/>
          <w:sz w:val="24"/>
          <w:szCs w:val="24"/>
        </w:rPr>
      </w:pPr>
    </w:p>
    <w:p w:rsidR="00066E62" w:rsidRDefault="00066E62" w:rsidP="00F5563B">
      <w:pPr>
        <w:rPr>
          <w:rFonts w:ascii="Times New Roman" w:hAnsi="Times New Roman" w:cs="Times New Roman"/>
          <w:sz w:val="24"/>
          <w:szCs w:val="24"/>
        </w:rPr>
      </w:pPr>
    </w:p>
    <w:p w:rsidR="00066E62" w:rsidRDefault="00066E62" w:rsidP="00F5563B">
      <w:pPr>
        <w:rPr>
          <w:rFonts w:ascii="Times New Roman" w:hAnsi="Times New Roman" w:cs="Times New Roman"/>
          <w:sz w:val="24"/>
          <w:szCs w:val="24"/>
        </w:rPr>
      </w:pPr>
    </w:p>
    <w:p w:rsidR="00066E62" w:rsidRDefault="00066E62" w:rsidP="00F5563B">
      <w:pPr>
        <w:rPr>
          <w:rFonts w:ascii="Times New Roman" w:hAnsi="Times New Roman" w:cs="Times New Roman"/>
          <w:sz w:val="24"/>
          <w:szCs w:val="24"/>
        </w:rPr>
      </w:pPr>
    </w:p>
    <w:p w:rsidR="00D01D5C" w:rsidRDefault="00D01D5C" w:rsidP="00F5563B">
      <w:pPr>
        <w:rPr>
          <w:rFonts w:ascii="Times New Roman" w:hAnsi="Times New Roman" w:cs="Times New Roman"/>
          <w:sz w:val="24"/>
          <w:szCs w:val="24"/>
        </w:rPr>
      </w:pPr>
    </w:p>
    <w:p w:rsidR="00066E62" w:rsidRDefault="00066E62" w:rsidP="00F5563B">
      <w:pPr>
        <w:rPr>
          <w:rFonts w:ascii="Times New Roman" w:hAnsi="Times New Roman" w:cs="Times New Roman"/>
          <w:b/>
          <w:sz w:val="24"/>
          <w:szCs w:val="24"/>
        </w:rPr>
      </w:pPr>
      <w:r>
        <w:rPr>
          <w:rFonts w:ascii="Times New Roman" w:hAnsi="Times New Roman" w:cs="Times New Roman"/>
          <w:b/>
          <w:sz w:val="24"/>
          <w:szCs w:val="24"/>
        </w:rPr>
        <w:lastRenderedPageBreak/>
        <w:t>Bibliography:</w:t>
      </w:r>
    </w:p>
    <w:p w:rsidR="00735450" w:rsidRDefault="00735450" w:rsidP="00F5563B">
      <w:pPr>
        <w:rPr>
          <w:rFonts w:ascii="Times New Roman" w:hAnsi="Times New Roman" w:cs="Times New Roman"/>
          <w:b/>
          <w:sz w:val="24"/>
          <w:szCs w:val="24"/>
        </w:rPr>
      </w:pPr>
    </w:p>
    <w:p w:rsidR="00735450" w:rsidRDefault="00735450" w:rsidP="00F5563B">
      <w:pPr>
        <w:rPr>
          <w:rFonts w:ascii="Times New Roman" w:hAnsi="Times New Roman" w:cs="Times New Roman"/>
          <w:sz w:val="24"/>
          <w:szCs w:val="24"/>
        </w:rPr>
      </w:pPr>
      <w:r>
        <w:rPr>
          <w:rFonts w:ascii="Times New Roman" w:hAnsi="Times New Roman" w:cs="Times New Roman"/>
          <w:b/>
          <w:sz w:val="24"/>
          <w:szCs w:val="24"/>
        </w:rPr>
        <w:t>Ancient:</w:t>
      </w:r>
    </w:p>
    <w:p w:rsidR="00735450" w:rsidRDefault="00735450" w:rsidP="00F5563B">
      <w:pPr>
        <w:rPr>
          <w:rFonts w:ascii="Times New Roman" w:hAnsi="Times New Roman" w:cs="Times New Roman"/>
          <w:sz w:val="24"/>
          <w:szCs w:val="24"/>
        </w:rPr>
      </w:pPr>
    </w:p>
    <w:p w:rsidR="0096273D" w:rsidRDefault="0096273D" w:rsidP="00F5563B">
      <w:pPr>
        <w:rPr>
          <w:rFonts w:ascii="Times New Roman" w:hAnsi="Times New Roman" w:cs="Times New Roman"/>
          <w:sz w:val="24"/>
          <w:szCs w:val="24"/>
        </w:rPr>
      </w:pPr>
      <w:r>
        <w:rPr>
          <w:rFonts w:ascii="Times New Roman" w:hAnsi="Times New Roman" w:cs="Times New Roman"/>
          <w:sz w:val="24"/>
          <w:szCs w:val="24"/>
        </w:rPr>
        <w:t>Petronius (1923)</w:t>
      </w:r>
      <w:r w:rsidRPr="0096273D">
        <w:rPr>
          <w:rFonts w:ascii="Times New Roman" w:hAnsi="Times New Roman" w:cs="Times New Roman"/>
          <w:sz w:val="24"/>
          <w:szCs w:val="24"/>
        </w:rPr>
        <w:t xml:space="preserve"> </w:t>
      </w:r>
      <w:r w:rsidRPr="0096273D">
        <w:rPr>
          <w:rFonts w:ascii="Times New Roman" w:hAnsi="Times New Roman" w:cs="Times New Roman"/>
          <w:i/>
          <w:sz w:val="24"/>
          <w:szCs w:val="24"/>
        </w:rPr>
        <w:t>Petronius: the Satyricon</w:t>
      </w:r>
      <w:r>
        <w:rPr>
          <w:rFonts w:ascii="Times New Roman" w:hAnsi="Times New Roman" w:cs="Times New Roman"/>
          <w:sz w:val="24"/>
          <w:szCs w:val="24"/>
        </w:rPr>
        <w:t>,</w:t>
      </w:r>
      <w:r w:rsidRPr="0096273D">
        <w:rPr>
          <w:rFonts w:ascii="Times New Roman" w:hAnsi="Times New Roman" w:cs="Times New Roman"/>
          <w:sz w:val="24"/>
          <w:szCs w:val="24"/>
        </w:rPr>
        <w:t xml:space="preserve"> A</w:t>
      </w:r>
      <w:r>
        <w:rPr>
          <w:rFonts w:ascii="Times New Roman" w:hAnsi="Times New Roman" w:cs="Times New Roman"/>
          <w:sz w:val="24"/>
          <w:szCs w:val="24"/>
        </w:rPr>
        <w:t>rbiter, &amp; Mitchell, J. M</w:t>
      </w:r>
      <w:r w:rsidRPr="0096273D">
        <w:rPr>
          <w:rFonts w:ascii="Times New Roman" w:hAnsi="Times New Roman" w:cs="Times New Roman"/>
          <w:sz w:val="24"/>
          <w:szCs w:val="24"/>
        </w:rPr>
        <w:t xml:space="preserve">. </w:t>
      </w:r>
      <w:r>
        <w:rPr>
          <w:rFonts w:ascii="Times New Roman" w:hAnsi="Times New Roman" w:cs="Times New Roman"/>
          <w:sz w:val="24"/>
          <w:szCs w:val="24"/>
        </w:rPr>
        <w:t xml:space="preserve">(trans.), London, </w:t>
      </w:r>
      <w:r w:rsidRPr="0096273D">
        <w:rPr>
          <w:rFonts w:ascii="Times New Roman" w:hAnsi="Times New Roman" w:cs="Times New Roman"/>
          <w:sz w:val="24"/>
          <w:szCs w:val="24"/>
        </w:rPr>
        <w:t>Routledge.</w:t>
      </w:r>
      <w:bookmarkStart w:id="0" w:name="_GoBack"/>
      <w:bookmarkEnd w:id="0"/>
    </w:p>
    <w:p w:rsidR="00735450" w:rsidRDefault="00D01D5C" w:rsidP="00F5563B">
      <w:pPr>
        <w:rPr>
          <w:rFonts w:ascii="Times New Roman" w:hAnsi="Times New Roman" w:cs="Times New Roman"/>
          <w:sz w:val="24"/>
          <w:szCs w:val="24"/>
        </w:rPr>
      </w:pPr>
      <w:r>
        <w:rPr>
          <w:rFonts w:ascii="Times New Roman" w:hAnsi="Times New Roman" w:cs="Times New Roman"/>
          <w:sz w:val="24"/>
          <w:szCs w:val="24"/>
        </w:rPr>
        <w:t xml:space="preserve">Tacitus (1956) </w:t>
      </w:r>
      <w:r w:rsidRPr="00D01D5C">
        <w:rPr>
          <w:rFonts w:ascii="Times New Roman" w:hAnsi="Times New Roman" w:cs="Times New Roman"/>
          <w:i/>
          <w:sz w:val="24"/>
          <w:szCs w:val="24"/>
        </w:rPr>
        <w:t>The Annals of Imperial Rome</w:t>
      </w:r>
      <w:r w:rsidR="0096273D">
        <w:rPr>
          <w:rFonts w:ascii="Times New Roman" w:hAnsi="Times New Roman" w:cs="Times New Roman"/>
          <w:sz w:val="24"/>
          <w:szCs w:val="24"/>
        </w:rPr>
        <w:t>,</w:t>
      </w:r>
      <w:r>
        <w:rPr>
          <w:rFonts w:ascii="Times New Roman" w:hAnsi="Times New Roman" w:cs="Times New Roman"/>
          <w:sz w:val="24"/>
          <w:szCs w:val="24"/>
        </w:rPr>
        <w:t xml:space="preserve"> M. Grant (trans.), London, </w:t>
      </w:r>
      <w:r w:rsidRPr="00D01D5C">
        <w:rPr>
          <w:rFonts w:ascii="Times New Roman" w:hAnsi="Times New Roman" w:cs="Times New Roman"/>
          <w:sz w:val="24"/>
          <w:szCs w:val="24"/>
        </w:rPr>
        <w:t>Penguin Group.</w:t>
      </w:r>
    </w:p>
    <w:p w:rsidR="00D01D5C" w:rsidRPr="00D01D5C" w:rsidRDefault="00D01D5C" w:rsidP="00F5563B">
      <w:pPr>
        <w:rPr>
          <w:rFonts w:ascii="Times New Roman" w:hAnsi="Times New Roman" w:cs="Times New Roman"/>
          <w:sz w:val="24"/>
          <w:szCs w:val="24"/>
        </w:rPr>
      </w:pPr>
    </w:p>
    <w:p w:rsidR="00735450" w:rsidRDefault="00735450" w:rsidP="00F5563B">
      <w:pPr>
        <w:rPr>
          <w:rFonts w:ascii="Times New Roman" w:hAnsi="Times New Roman" w:cs="Times New Roman"/>
          <w:b/>
          <w:sz w:val="24"/>
          <w:szCs w:val="24"/>
        </w:rPr>
      </w:pPr>
      <w:r>
        <w:rPr>
          <w:rFonts w:ascii="Times New Roman" w:hAnsi="Times New Roman" w:cs="Times New Roman"/>
          <w:b/>
          <w:sz w:val="24"/>
          <w:szCs w:val="24"/>
        </w:rPr>
        <w:t>Modern:</w:t>
      </w:r>
    </w:p>
    <w:p w:rsidR="00D01D5C" w:rsidRDefault="00D01D5C" w:rsidP="00F5563B">
      <w:pPr>
        <w:rPr>
          <w:rFonts w:ascii="Times New Roman" w:hAnsi="Times New Roman" w:cs="Times New Roman"/>
          <w:b/>
          <w:sz w:val="24"/>
          <w:szCs w:val="24"/>
        </w:rPr>
      </w:pPr>
    </w:p>
    <w:p w:rsidR="00F5563B" w:rsidRDefault="00066E62" w:rsidP="00F5563B">
      <w:pPr>
        <w:rPr>
          <w:rFonts w:ascii="Times New Roman" w:hAnsi="Times New Roman" w:cs="Times New Roman"/>
          <w:sz w:val="24"/>
          <w:szCs w:val="24"/>
        </w:rPr>
      </w:pPr>
      <w:r w:rsidRPr="00066E62">
        <w:rPr>
          <w:rFonts w:ascii="Times New Roman" w:hAnsi="Times New Roman" w:cs="Times New Roman"/>
          <w:sz w:val="24"/>
          <w:szCs w:val="24"/>
        </w:rPr>
        <w:t xml:space="preserve">Carroll, </w:t>
      </w:r>
      <w:r>
        <w:rPr>
          <w:rFonts w:ascii="Times New Roman" w:hAnsi="Times New Roman" w:cs="Times New Roman"/>
          <w:sz w:val="24"/>
          <w:szCs w:val="24"/>
        </w:rPr>
        <w:t xml:space="preserve">M. (2006) </w:t>
      </w:r>
      <w:r w:rsidRPr="00066E62">
        <w:rPr>
          <w:rFonts w:ascii="Times New Roman" w:hAnsi="Times New Roman" w:cs="Times New Roman"/>
          <w:i/>
          <w:sz w:val="24"/>
          <w:szCs w:val="24"/>
        </w:rPr>
        <w:t>Spirits of the Dead: Roman funerary commemoration in Western Europe</w:t>
      </w:r>
      <w:r>
        <w:rPr>
          <w:rFonts w:ascii="Times New Roman" w:hAnsi="Times New Roman" w:cs="Times New Roman"/>
          <w:sz w:val="24"/>
          <w:szCs w:val="24"/>
        </w:rPr>
        <w:t>,</w:t>
      </w:r>
      <w:r w:rsidRPr="00066E62">
        <w:rPr>
          <w:rFonts w:ascii="Times New Roman" w:hAnsi="Times New Roman" w:cs="Times New Roman"/>
          <w:sz w:val="24"/>
          <w:szCs w:val="24"/>
        </w:rPr>
        <w:t xml:space="preserve"> Oxfo</w:t>
      </w:r>
      <w:r>
        <w:rPr>
          <w:rFonts w:ascii="Times New Roman" w:hAnsi="Times New Roman" w:cs="Times New Roman"/>
          <w:sz w:val="24"/>
          <w:szCs w:val="24"/>
        </w:rPr>
        <w:t>rd, Oxford University Press.</w:t>
      </w:r>
    </w:p>
    <w:p w:rsidR="00145E31" w:rsidRDefault="00145E31" w:rsidP="00F5563B">
      <w:pPr>
        <w:rPr>
          <w:rFonts w:ascii="Times New Roman" w:hAnsi="Times New Roman" w:cs="Times New Roman"/>
          <w:sz w:val="24"/>
          <w:szCs w:val="24"/>
        </w:rPr>
      </w:pPr>
      <w:r>
        <w:rPr>
          <w:rFonts w:ascii="Times New Roman" w:hAnsi="Times New Roman" w:cs="Times New Roman"/>
          <w:sz w:val="24"/>
          <w:szCs w:val="24"/>
        </w:rPr>
        <w:t xml:space="preserve">Compostella, C. (1989) </w:t>
      </w:r>
      <w:r>
        <w:rPr>
          <w:rFonts w:ascii="Times New Roman" w:hAnsi="Times New Roman" w:cs="Times New Roman"/>
          <w:i/>
          <w:sz w:val="24"/>
          <w:szCs w:val="24"/>
        </w:rPr>
        <w:t>Iconografia, ideologia e status a Brixia nel I secolo D.C.: la lastra sepolcrale del seviro Anteros Asiaticus</w:t>
      </w:r>
      <w:r>
        <w:rPr>
          <w:rFonts w:ascii="Times New Roman" w:hAnsi="Times New Roman" w:cs="Times New Roman"/>
          <w:sz w:val="24"/>
          <w:szCs w:val="24"/>
        </w:rPr>
        <w:t>, RdA 13: 59-75.</w:t>
      </w:r>
    </w:p>
    <w:p w:rsidR="00145E31" w:rsidRDefault="00145E31" w:rsidP="00F5563B">
      <w:pPr>
        <w:rPr>
          <w:rFonts w:ascii="Times New Roman" w:hAnsi="Times New Roman" w:cs="Times New Roman"/>
          <w:sz w:val="24"/>
          <w:szCs w:val="24"/>
        </w:rPr>
      </w:pPr>
      <w:r>
        <w:rPr>
          <w:rFonts w:ascii="Times New Roman" w:hAnsi="Times New Roman" w:cs="Times New Roman"/>
          <w:sz w:val="24"/>
          <w:szCs w:val="24"/>
        </w:rPr>
        <w:t>Guidetti, F. (2006) ‘</w:t>
      </w:r>
      <w:r>
        <w:rPr>
          <w:rFonts w:ascii="Times New Roman" w:hAnsi="Times New Roman" w:cs="Times New Roman"/>
          <w:i/>
          <w:sz w:val="24"/>
          <w:szCs w:val="24"/>
        </w:rPr>
        <w:t>Note sull</w:t>
      </w:r>
      <w:r w:rsidR="006311EA">
        <w:rPr>
          <w:rFonts w:ascii="Times New Roman" w:hAnsi="Times New Roman" w:cs="Times New Roman"/>
          <w:i/>
          <w:sz w:val="24"/>
          <w:szCs w:val="24"/>
        </w:rPr>
        <w:t>’</w:t>
      </w:r>
      <w:r>
        <w:rPr>
          <w:rFonts w:ascii="Times New Roman" w:hAnsi="Times New Roman" w:cs="Times New Roman"/>
          <w:i/>
          <w:sz w:val="24"/>
          <w:szCs w:val="24"/>
        </w:rPr>
        <w:t>iconografia di un rilievo</w:t>
      </w:r>
      <w:r w:rsidR="006311EA">
        <w:rPr>
          <w:rFonts w:ascii="Times New Roman" w:hAnsi="Times New Roman" w:cs="Times New Roman"/>
          <w:i/>
          <w:sz w:val="24"/>
          <w:szCs w:val="24"/>
        </w:rPr>
        <w:t xml:space="preserve"> funetario da Amiternum: modelli s scelte figurative di un liberto municipale’</w:t>
      </w:r>
      <w:r w:rsidR="006311EA">
        <w:rPr>
          <w:rFonts w:ascii="Times New Roman" w:hAnsi="Times New Roman" w:cs="Times New Roman"/>
          <w:sz w:val="24"/>
          <w:szCs w:val="24"/>
        </w:rPr>
        <w:t>. Archeologia Classica 57: 387-403.</w:t>
      </w:r>
    </w:p>
    <w:p w:rsidR="004A2E99" w:rsidRDefault="004A2E99" w:rsidP="004A2E99">
      <w:pPr>
        <w:rPr>
          <w:rFonts w:ascii="Times New Roman" w:hAnsi="Times New Roman" w:cs="Times New Roman"/>
          <w:sz w:val="24"/>
          <w:szCs w:val="24"/>
        </w:rPr>
      </w:pPr>
      <w:r w:rsidRPr="004A2E99">
        <w:rPr>
          <w:rFonts w:ascii="Times New Roman" w:hAnsi="Times New Roman" w:cs="Times New Roman"/>
          <w:sz w:val="24"/>
          <w:szCs w:val="24"/>
        </w:rPr>
        <w:t xml:space="preserve">Leach, E. </w:t>
      </w:r>
      <w:r>
        <w:rPr>
          <w:rFonts w:ascii="Times New Roman" w:hAnsi="Times New Roman" w:cs="Times New Roman"/>
          <w:sz w:val="24"/>
          <w:szCs w:val="24"/>
        </w:rPr>
        <w:t xml:space="preserve">(2006) </w:t>
      </w:r>
      <w:r w:rsidRPr="004A2E99">
        <w:rPr>
          <w:rFonts w:ascii="Times New Roman" w:hAnsi="Times New Roman" w:cs="Times New Roman"/>
          <w:i/>
          <w:sz w:val="24"/>
          <w:szCs w:val="24"/>
        </w:rPr>
        <w:t xml:space="preserve">Freedmen and Immortality </w:t>
      </w:r>
      <w:r w:rsidRPr="004A2E99">
        <w:rPr>
          <w:rFonts w:ascii="Times New Roman" w:hAnsi="Times New Roman" w:cs="Times New Roman"/>
          <w:i/>
          <w:sz w:val="24"/>
          <w:szCs w:val="24"/>
        </w:rPr>
        <w:t>in the the Tomb of the Haterii</w:t>
      </w:r>
      <w:r>
        <w:rPr>
          <w:rFonts w:ascii="Times New Roman" w:hAnsi="Times New Roman" w:cs="Times New Roman"/>
          <w:sz w:val="24"/>
          <w:szCs w:val="24"/>
        </w:rPr>
        <w:t xml:space="preserve"> In The Art </w:t>
      </w:r>
      <w:r w:rsidRPr="004A2E99">
        <w:rPr>
          <w:rFonts w:ascii="Times New Roman" w:hAnsi="Times New Roman" w:cs="Times New Roman"/>
          <w:sz w:val="24"/>
          <w:szCs w:val="24"/>
        </w:rPr>
        <w:t xml:space="preserve">of Citizens, Soldiers, and Freedmen in the Roman </w:t>
      </w:r>
      <w:r>
        <w:rPr>
          <w:rFonts w:ascii="Times New Roman" w:hAnsi="Times New Roman" w:cs="Times New Roman"/>
          <w:sz w:val="24"/>
          <w:szCs w:val="24"/>
        </w:rPr>
        <w:t xml:space="preserve">World, edited by D’Ambra, E. and </w:t>
      </w:r>
      <w:r w:rsidRPr="004A2E99">
        <w:rPr>
          <w:rFonts w:ascii="Times New Roman" w:hAnsi="Times New Roman" w:cs="Times New Roman"/>
          <w:sz w:val="24"/>
          <w:szCs w:val="24"/>
        </w:rPr>
        <w:t xml:space="preserve">Metraux, </w:t>
      </w:r>
      <w:r>
        <w:rPr>
          <w:rFonts w:ascii="Times New Roman" w:hAnsi="Times New Roman" w:cs="Times New Roman"/>
          <w:sz w:val="24"/>
          <w:szCs w:val="24"/>
        </w:rPr>
        <w:t>G. P. R., 1-17, Oxford,</w:t>
      </w:r>
      <w:r w:rsidRPr="004A2E99">
        <w:rPr>
          <w:rFonts w:ascii="Times New Roman" w:hAnsi="Times New Roman" w:cs="Times New Roman"/>
          <w:sz w:val="24"/>
          <w:szCs w:val="24"/>
        </w:rPr>
        <w:t xml:space="preserve"> Archaeopress</w:t>
      </w:r>
      <w:r>
        <w:rPr>
          <w:rFonts w:ascii="Times New Roman" w:hAnsi="Times New Roman" w:cs="Times New Roman"/>
          <w:sz w:val="24"/>
          <w:szCs w:val="24"/>
        </w:rPr>
        <w:t>.</w:t>
      </w:r>
    </w:p>
    <w:p w:rsidR="009F6EA1" w:rsidRPr="006311EA" w:rsidRDefault="009F6EA1" w:rsidP="004A2E99">
      <w:pPr>
        <w:rPr>
          <w:rFonts w:ascii="Times New Roman" w:hAnsi="Times New Roman" w:cs="Times New Roman"/>
          <w:sz w:val="24"/>
          <w:szCs w:val="24"/>
        </w:rPr>
      </w:pPr>
      <w:r>
        <w:rPr>
          <w:rFonts w:ascii="Times New Roman" w:hAnsi="Times New Roman" w:cs="Times New Roman"/>
          <w:sz w:val="24"/>
          <w:szCs w:val="24"/>
        </w:rPr>
        <w:t>Loven</w:t>
      </w:r>
      <w:r w:rsidR="001B6B2F">
        <w:rPr>
          <w:rFonts w:ascii="Times New Roman" w:hAnsi="Times New Roman" w:cs="Times New Roman"/>
          <w:sz w:val="24"/>
          <w:szCs w:val="24"/>
        </w:rPr>
        <w:t xml:space="preserve">, L. L. (2003) </w:t>
      </w:r>
      <w:r w:rsidR="001B6B2F" w:rsidRPr="001B6B2F">
        <w:rPr>
          <w:rFonts w:ascii="Times New Roman" w:hAnsi="Times New Roman" w:cs="Times New Roman"/>
          <w:i/>
          <w:sz w:val="24"/>
          <w:szCs w:val="24"/>
        </w:rPr>
        <w:t>Funerary art, gender and social class. Some aspects from Roman Gaul</w:t>
      </w:r>
      <w:r w:rsidR="001B6B2F" w:rsidRPr="001B6B2F">
        <w:rPr>
          <w:rFonts w:ascii="Times New Roman" w:hAnsi="Times New Roman" w:cs="Times New Roman"/>
          <w:sz w:val="24"/>
          <w:szCs w:val="24"/>
        </w:rPr>
        <w:t>, in Gender, cult and culture in the Ancient World. From Mycen</w:t>
      </w:r>
      <w:r w:rsidR="001B6B2F">
        <w:rPr>
          <w:rFonts w:ascii="Times New Roman" w:hAnsi="Times New Roman" w:cs="Times New Roman"/>
          <w:sz w:val="24"/>
          <w:szCs w:val="24"/>
        </w:rPr>
        <w:t>ae to Byzantium, Sävedalen,</w:t>
      </w:r>
      <w:r w:rsidR="001B6B2F" w:rsidRPr="001B6B2F">
        <w:rPr>
          <w:rFonts w:ascii="Times New Roman" w:hAnsi="Times New Roman" w:cs="Times New Roman"/>
          <w:sz w:val="24"/>
          <w:szCs w:val="24"/>
        </w:rPr>
        <w:t xml:space="preserve"> 54-70</w:t>
      </w:r>
      <w:r w:rsidR="001B6B2F">
        <w:rPr>
          <w:rFonts w:ascii="Times New Roman" w:hAnsi="Times New Roman" w:cs="Times New Roman"/>
          <w:sz w:val="24"/>
          <w:szCs w:val="24"/>
        </w:rPr>
        <w:t>.</w:t>
      </w:r>
    </w:p>
    <w:p w:rsidR="00E62296" w:rsidRDefault="00E62296" w:rsidP="00F5563B">
      <w:pPr>
        <w:rPr>
          <w:rFonts w:ascii="Times New Roman" w:hAnsi="Times New Roman" w:cs="Times New Roman"/>
          <w:sz w:val="24"/>
          <w:szCs w:val="24"/>
        </w:rPr>
      </w:pPr>
      <w:r w:rsidRPr="00E62296">
        <w:rPr>
          <w:rFonts w:ascii="Times New Roman" w:hAnsi="Times New Roman" w:cs="Times New Roman"/>
          <w:sz w:val="24"/>
          <w:szCs w:val="24"/>
        </w:rPr>
        <w:t>Meinecke, K. (2007). Book Review: Maureen Carroll, Spirits of the Dead: Roman Funerary Commemoration in Western Europe (Oxford: Ox</w:t>
      </w:r>
      <w:r>
        <w:rPr>
          <w:rFonts w:ascii="Times New Roman" w:hAnsi="Times New Roman" w:cs="Times New Roman"/>
          <w:sz w:val="24"/>
          <w:szCs w:val="24"/>
        </w:rPr>
        <w:t>ford University Press, 2006</w:t>
      </w:r>
      <w:r w:rsidRPr="00E62296">
        <w:rPr>
          <w:rFonts w:ascii="Times New Roman" w:hAnsi="Times New Roman" w:cs="Times New Roman"/>
          <w:sz w:val="24"/>
          <w:szCs w:val="24"/>
        </w:rPr>
        <w:t xml:space="preserve">). European Journal </w:t>
      </w:r>
      <w:r>
        <w:rPr>
          <w:rFonts w:ascii="Times New Roman" w:hAnsi="Times New Roman" w:cs="Times New Roman"/>
          <w:sz w:val="24"/>
          <w:szCs w:val="24"/>
        </w:rPr>
        <w:t>of Archaeology, 10(1), 103–105.</w:t>
      </w:r>
    </w:p>
    <w:p w:rsidR="001059D2" w:rsidRDefault="001059D2" w:rsidP="00F5563B">
      <w:pPr>
        <w:rPr>
          <w:rFonts w:ascii="Times New Roman" w:hAnsi="Times New Roman" w:cs="Times New Roman"/>
          <w:sz w:val="24"/>
          <w:szCs w:val="24"/>
        </w:rPr>
      </w:pPr>
      <w:r>
        <w:rPr>
          <w:rFonts w:ascii="Times New Roman" w:hAnsi="Times New Roman" w:cs="Times New Roman"/>
          <w:sz w:val="24"/>
          <w:szCs w:val="24"/>
        </w:rPr>
        <w:t>Mouritsen, H. (</w:t>
      </w:r>
      <w:r w:rsidR="00145E31">
        <w:rPr>
          <w:rFonts w:ascii="Times New Roman" w:hAnsi="Times New Roman" w:cs="Times New Roman"/>
          <w:sz w:val="24"/>
          <w:szCs w:val="24"/>
        </w:rPr>
        <w:t xml:space="preserve">2011) </w:t>
      </w:r>
      <w:r w:rsidR="00145E31">
        <w:rPr>
          <w:rFonts w:ascii="Times New Roman" w:hAnsi="Times New Roman" w:cs="Times New Roman"/>
          <w:i/>
          <w:sz w:val="24"/>
          <w:szCs w:val="24"/>
        </w:rPr>
        <w:t>The Freedman in the Roman World</w:t>
      </w:r>
      <w:r w:rsidR="00145E31">
        <w:rPr>
          <w:rFonts w:ascii="Times New Roman" w:hAnsi="Times New Roman" w:cs="Times New Roman"/>
          <w:sz w:val="24"/>
          <w:szCs w:val="24"/>
        </w:rPr>
        <w:t>, Cambridge, Cambridge University Press.</w:t>
      </w:r>
    </w:p>
    <w:p w:rsidR="00694591" w:rsidRDefault="00694591" w:rsidP="00F5563B">
      <w:pPr>
        <w:rPr>
          <w:rFonts w:ascii="Times New Roman" w:hAnsi="Times New Roman" w:cs="Times New Roman"/>
          <w:sz w:val="24"/>
          <w:szCs w:val="24"/>
        </w:rPr>
      </w:pPr>
      <w:r>
        <w:rPr>
          <w:rFonts w:ascii="Times New Roman" w:hAnsi="Times New Roman" w:cs="Times New Roman"/>
          <w:sz w:val="24"/>
          <w:szCs w:val="24"/>
        </w:rPr>
        <w:t xml:space="preserve">Petersen, L. H. (2006) </w:t>
      </w:r>
      <w:r>
        <w:rPr>
          <w:rFonts w:ascii="Times New Roman" w:hAnsi="Times New Roman" w:cs="Times New Roman"/>
          <w:i/>
          <w:sz w:val="24"/>
          <w:szCs w:val="24"/>
        </w:rPr>
        <w:t>The Freedman in Roman Art and Art History</w:t>
      </w:r>
      <w:r>
        <w:rPr>
          <w:rFonts w:ascii="Times New Roman" w:hAnsi="Times New Roman" w:cs="Times New Roman"/>
          <w:sz w:val="24"/>
          <w:szCs w:val="24"/>
        </w:rPr>
        <w:t>, Cambridge, Cambridge University Press.</w:t>
      </w:r>
    </w:p>
    <w:p w:rsidR="00694591" w:rsidRDefault="00694591" w:rsidP="00F5563B">
      <w:pPr>
        <w:rPr>
          <w:rFonts w:ascii="Times New Roman" w:hAnsi="Times New Roman" w:cs="Times New Roman"/>
          <w:sz w:val="24"/>
          <w:szCs w:val="24"/>
        </w:rPr>
      </w:pPr>
      <w:r>
        <w:rPr>
          <w:rFonts w:ascii="Times New Roman" w:hAnsi="Times New Roman" w:cs="Times New Roman"/>
          <w:sz w:val="24"/>
          <w:szCs w:val="24"/>
        </w:rPr>
        <w:t xml:space="preserve">Purcell, N. (1987) </w:t>
      </w:r>
      <w:r>
        <w:rPr>
          <w:rFonts w:ascii="Times New Roman" w:hAnsi="Times New Roman" w:cs="Times New Roman"/>
          <w:i/>
          <w:sz w:val="24"/>
          <w:szCs w:val="24"/>
        </w:rPr>
        <w:t>Tomb and Suburb</w:t>
      </w:r>
      <w:r>
        <w:rPr>
          <w:rFonts w:ascii="Times New Roman" w:hAnsi="Times New Roman" w:cs="Times New Roman"/>
          <w:sz w:val="24"/>
          <w:szCs w:val="24"/>
        </w:rPr>
        <w:t xml:space="preserve"> in Romische Graberstrassen. Selbstdarstellung – Status –Standard ed. Von Hesberg, H. and Zanker, P., Munich: 25-41.</w:t>
      </w:r>
    </w:p>
    <w:p w:rsidR="002647E1" w:rsidRPr="00D01D5C" w:rsidRDefault="002647E1" w:rsidP="00F5563B">
      <w:pPr>
        <w:rPr>
          <w:rFonts w:ascii="Times New Roman" w:hAnsi="Times New Roman" w:cs="Times New Roman"/>
          <w:sz w:val="24"/>
          <w:szCs w:val="24"/>
        </w:rPr>
      </w:pPr>
      <w:r>
        <w:rPr>
          <w:rFonts w:ascii="Times New Roman" w:hAnsi="Times New Roman" w:cs="Times New Roman"/>
          <w:sz w:val="24"/>
          <w:szCs w:val="24"/>
        </w:rPr>
        <w:lastRenderedPageBreak/>
        <w:t>Taylor</w:t>
      </w:r>
      <w:r w:rsidR="001B6B2F">
        <w:rPr>
          <w:rFonts w:ascii="Times New Roman" w:hAnsi="Times New Roman" w:cs="Times New Roman"/>
          <w:sz w:val="24"/>
          <w:szCs w:val="24"/>
        </w:rPr>
        <w:t>, L. R. (1960)</w:t>
      </w:r>
      <w:r w:rsidR="001B6B2F">
        <w:rPr>
          <w:rFonts w:ascii="Times New Roman" w:hAnsi="Times New Roman" w:cs="Times New Roman"/>
          <w:i/>
          <w:sz w:val="24"/>
          <w:szCs w:val="24"/>
        </w:rPr>
        <w:t xml:space="preserve"> </w:t>
      </w:r>
      <w:r w:rsidR="00D01D5C">
        <w:rPr>
          <w:rFonts w:ascii="Times New Roman" w:hAnsi="Times New Roman" w:cs="Times New Roman"/>
          <w:i/>
          <w:sz w:val="24"/>
          <w:szCs w:val="24"/>
        </w:rPr>
        <w:t>The Voting Districts of the Roman Republic</w:t>
      </w:r>
      <w:r w:rsidR="00D01D5C">
        <w:rPr>
          <w:rFonts w:ascii="Times New Roman" w:hAnsi="Times New Roman" w:cs="Times New Roman"/>
          <w:sz w:val="24"/>
          <w:szCs w:val="24"/>
        </w:rPr>
        <w:t>, Ann Arbor, University of Michigan</w:t>
      </w:r>
    </w:p>
    <w:p w:rsidR="001B6B2F" w:rsidRPr="00D01D5C" w:rsidRDefault="001B6B2F" w:rsidP="00F5563B">
      <w:pPr>
        <w:rPr>
          <w:rFonts w:ascii="Times New Roman" w:hAnsi="Times New Roman" w:cs="Times New Roman"/>
          <w:sz w:val="24"/>
          <w:szCs w:val="24"/>
        </w:rPr>
      </w:pPr>
      <w:r>
        <w:rPr>
          <w:rFonts w:ascii="Times New Roman" w:hAnsi="Times New Roman" w:cs="Times New Roman"/>
          <w:sz w:val="24"/>
          <w:szCs w:val="24"/>
        </w:rPr>
        <w:t>Taylor, L. R. (1961)</w:t>
      </w:r>
      <w:r>
        <w:rPr>
          <w:rFonts w:ascii="Times New Roman" w:hAnsi="Times New Roman" w:cs="Times New Roman"/>
          <w:i/>
          <w:sz w:val="24"/>
          <w:szCs w:val="24"/>
        </w:rPr>
        <w:t xml:space="preserve"> </w:t>
      </w:r>
      <w:r w:rsidR="00D01D5C">
        <w:rPr>
          <w:rFonts w:ascii="Times New Roman" w:hAnsi="Times New Roman" w:cs="Times New Roman"/>
          <w:i/>
          <w:sz w:val="24"/>
          <w:szCs w:val="24"/>
        </w:rPr>
        <w:t>Freedmen and freeborn in the epitaphs of Imperial Rome</w:t>
      </w:r>
      <w:r w:rsidR="00D01D5C">
        <w:rPr>
          <w:rFonts w:ascii="Times New Roman" w:hAnsi="Times New Roman" w:cs="Times New Roman"/>
          <w:sz w:val="24"/>
          <w:szCs w:val="24"/>
        </w:rPr>
        <w:t>, AJPh 82: 113-32.</w:t>
      </w:r>
    </w:p>
    <w:p w:rsidR="002647E1" w:rsidRPr="001B6B2F" w:rsidRDefault="002647E1" w:rsidP="00F5563B">
      <w:pPr>
        <w:rPr>
          <w:rFonts w:ascii="Times New Roman" w:hAnsi="Times New Roman" w:cs="Times New Roman"/>
          <w:sz w:val="24"/>
          <w:szCs w:val="24"/>
        </w:rPr>
      </w:pPr>
      <w:r>
        <w:rPr>
          <w:rFonts w:ascii="Times New Roman" w:hAnsi="Times New Roman" w:cs="Times New Roman"/>
          <w:sz w:val="24"/>
          <w:szCs w:val="24"/>
        </w:rPr>
        <w:t>Thylander</w:t>
      </w:r>
      <w:r w:rsidR="001B6B2F">
        <w:rPr>
          <w:rFonts w:ascii="Times New Roman" w:hAnsi="Times New Roman" w:cs="Times New Roman"/>
          <w:sz w:val="24"/>
          <w:szCs w:val="24"/>
        </w:rPr>
        <w:t xml:space="preserve">, H. (1952) </w:t>
      </w:r>
      <w:r w:rsidR="001B6B2F">
        <w:rPr>
          <w:rFonts w:ascii="Times New Roman" w:hAnsi="Times New Roman" w:cs="Times New Roman"/>
          <w:i/>
          <w:sz w:val="24"/>
          <w:szCs w:val="24"/>
        </w:rPr>
        <w:t>Inscriptions du Port d’Ostie</w:t>
      </w:r>
      <w:r w:rsidR="001B6B2F">
        <w:rPr>
          <w:rFonts w:ascii="Times New Roman" w:hAnsi="Times New Roman" w:cs="Times New Roman"/>
          <w:sz w:val="24"/>
          <w:szCs w:val="24"/>
        </w:rPr>
        <w:t>, Lund.</w:t>
      </w:r>
    </w:p>
    <w:p w:rsidR="002647E1" w:rsidRPr="00D01D5C" w:rsidRDefault="002647E1" w:rsidP="00F5563B">
      <w:pPr>
        <w:rPr>
          <w:rFonts w:ascii="Times New Roman" w:hAnsi="Times New Roman" w:cs="Times New Roman"/>
          <w:sz w:val="24"/>
          <w:szCs w:val="24"/>
        </w:rPr>
      </w:pPr>
      <w:r>
        <w:rPr>
          <w:rFonts w:ascii="Times New Roman" w:hAnsi="Times New Roman" w:cs="Times New Roman"/>
          <w:sz w:val="24"/>
          <w:szCs w:val="24"/>
        </w:rPr>
        <w:t>Treggiari</w:t>
      </w:r>
      <w:r w:rsidR="00D01D5C">
        <w:rPr>
          <w:rFonts w:ascii="Times New Roman" w:hAnsi="Times New Roman" w:cs="Times New Roman"/>
          <w:sz w:val="24"/>
          <w:szCs w:val="24"/>
        </w:rPr>
        <w:t xml:space="preserve">, S. (1969) </w:t>
      </w:r>
      <w:r w:rsidR="00D01D5C">
        <w:rPr>
          <w:rFonts w:ascii="Times New Roman" w:hAnsi="Times New Roman" w:cs="Times New Roman"/>
          <w:i/>
          <w:sz w:val="24"/>
          <w:szCs w:val="24"/>
        </w:rPr>
        <w:t>Roman Freedmen during the Late Republic</w:t>
      </w:r>
      <w:r w:rsidR="00D01D5C">
        <w:rPr>
          <w:rFonts w:ascii="Times New Roman" w:hAnsi="Times New Roman" w:cs="Times New Roman"/>
          <w:sz w:val="24"/>
          <w:szCs w:val="24"/>
        </w:rPr>
        <w:t>, Oxford, Oxford University.</w:t>
      </w:r>
    </w:p>
    <w:p w:rsidR="009E0E5F" w:rsidRPr="009E0E5F" w:rsidRDefault="009E0E5F" w:rsidP="00F5563B">
      <w:pPr>
        <w:rPr>
          <w:rFonts w:ascii="Times New Roman" w:hAnsi="Times New Roman" w:cs="Times New Roman"/>
          <w:sz w:val="24"/>
          <w:szCs w:val="24"/>
        </w:rPr>
      </w:pPr>
      <w:r>
        <w:rPr>
          <w:rFonts w:ascii="Times New Roman" w:hAnsi="Times New Roman" w:cs="Times New Roman"/>
          <w:sz w:val="24"/>
          <w:szCs w:val="24"/>
        </w:rPr>
        <w:t xml:space="preserve">Whitehead, J. (1993) </w:t>
      </w:r>
      <w:r>
        <w:rPr>
          <w:rFonts w:ascii="Times New Roman" w:hAnsi="Times New Roman" w:cs="Times New Roman"/>
          <w:i/>
          <w:sz w:val="24"/>
          <w:szCs w:val="24"/>
        </w:rPr>
        <w:t>The Cena Trimalchionis and biographical narration in Roman middle-class art</w:t>
      </w:r>
      <w:r>
        <w:rPr>
          <w:rFonts w:ascii="Times New Roman" w:hAnsi="Times New Roman" w:cs="Times New Roman"/>
          <w:sz w:val="24"/>
          <w:szCs w:val="24"/>
        </w:rPr>
        <w:t xml:space="preserve"> in Narrative and Event in Ancient Art, ed. Holliday, P. J., Cambridge: 299-325.</w:t>
      </w:r>
    </w:p>
    <w:sectPr w:rsidR="009E0E5F" w:rsidRPr="009E0E5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F1642" w:rsidRDefault="003F1642" w:rsidP="008632C8">
      <w:pPr>
        <w:spacing w:after="0" w:line="240" w:lineRule="auto"/>
      </w:pPr>
      <w:r>
        <w:separator/>
      </w:r>
    </w:p>
  </w:endnote>
  <w:endnote w:type="continuationSeparator" w:id="0">
    <w:p w:rsidR="003F1642" w:rsidRDefault="003F1642" w:rsidP="00863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81941743"/>
      <w:docPartObj>
        <w:docPartGallery w:val="Page Numbers (Bottom of Page)"/>
        <w:docPartUnique/>
      </w:docPartObj>
    </w:sdtPr>
    <w:sdtEndPr>
      <w:rPr>
        <w:noProof/>
      </w:rPr>
    </w:sdtEndPr>
    <w:sdtContent>
      <w:p w:rsidR="008632C8" w:rsidRDefault="008632C8">
        <w:pPr>
          <w:pStyle w:val="Footer"/>
        </w:pPr>
        <w:r>
          <w:fldChar w:fldCharType="begin"/>
        </w:r>
        <w:r>
          <w:instrText xml:space="preserve"> PAGE   \* MERGEFORMAT </w:instrText>
        </w:r>
        <w:r>
          <w:fldChar w:fldCharType="separate"/>
        </w:r>
        <w:r w:rsidR="0096273D">
          <w:rPr>
            <w:noProof/>
          </w:rPr>
          <w:t>2</w:t>
        </w:r>
        <w:r>
          <w:rPr>
            <w:noProof/>
          </w:rPr>
          <w:fldChar w:fldCharType="end"/>
        </w:r>
      </w:p>
    </w:sdtContent>
  </w:sdt>
  <w:p w:rsidR="008632C8" w:rsidRDefault="008632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F1642" w:rsidRDefault="003F1642" w:rsidP="008632C8">
      <w:pPr>
        <w:spacing w:after="0" w:line="240" w:lineRule="auto"/>
      </w:pPr>
      <w:r>
        <w:separator/>
      </w:r>
    </w:p>
  </w:footnote>
  <w:footnote w:type="continuationSeparator" w:id="0">
    <w:p w:rsidR="003F1642" w:rsidRDefault="003F1642" w:rsidP="008632C8">
      <w:pPr>
        <w:spacing w:after="0" w:line="240" w:lineRule="auto"/>
      </w:pPr>
      <w:r>
        <w:continuationSeparator/>
      </w:r>
    </w:p>
  </w:footnote>
  <w:footnote w:id="1">
    <w:p w:rsidR="00563EE7" w:rsidRDefault="00563EE7">
      <w:pPr>
        <w:pStyle w:val="FootnoteText"/>
      </w:pPr>
      <w:r>
        <w:rPr>
          <w:rStyle w:val="FootnoteReference"/>
        </w:rPr>
        <w:footnoteRef/>
      </w:r>
      <w:r>
        <w:t xml:space="preserve"> </w:t>
      </w:r>
      <w:r w:rsidR="00E62296">
        <w:t>Meinecke, 2007</w:t>
      </w:r>
      <w:r>
        <w:t>, Pp. 103-4.</w:t>
      </w:r>
    </w:p>
  </w:footnote>
  <w:footnote w:id="2">
    <w:p w:rsidR="0079353B" w:rsidRDefault="0079353B">
      <w:pPr>
        <w:pStyle w:val="FootnoteText"/>
      </w:pPr>
      <w:r>
        <w:rPr>
          <w:rStyle w:val="FootnoteReference"/>
        </w:rPr>
        <w:footnoteRef/>
      </w:r>
      <w:r>
        <w:t xml:space="preserve"> Carroll, 2006, Pp. 233.</w:t>
      </w:r>
    </w:p>
  </w:footnote>
  <w:footnote w:id="3">
    <w:p w:rsidR="00093853" w:rsidRDefault="00093853">
      <w:pPr>
        <w:pStyle w:val="FootnoteText"/>
      </w:pPr>
      <w:r>
        <w:rPr>
          <w:rStyle w:val="FootnoteReference"/>
        </w:rPr>
        <w:footnoteRef/>
      </w:r>
      <w:r>
        <w:t xml:space="preserve"> Carroll, 2006, Pp. 253-59.</w:t>
      </w:r>
    </w:p>
  </w:footnote>
  <w:footnote w:id="4">
    <w:p w:rsidR="003B2871" w:rsidRDefault="003B2871">
      <w:pPr>
        <w:pStyle w:val="FootnoteText"/>
      </w:pPr>
      <w:r>
        <w:rPr>
          <w:rStyle w:val="FootnoteReference"/>
        </w:rPr>
        <w:footnoteRef/>
      </w:r>
      <w:r>
        <w:t xml:space="preserve"> Carroll, 2006, Pp. 247-53.</w:t>
      </w:r>
    </w:p>
  </w:footnote>
  <w:footnote w:id="5">
    <w:p w:rsidR="00002584" w:rsidRDefault="00002584">
      <w:pPr>
        <w:pStyle w:val="FootnoteText"/>
      </w:pPr>
      <w:r>
        <w:rPr>
          <w:rStyle w:val="FootnoteReference"/>
        </w:rPr>
        <w:footnoteRef/>
      </w:r>
      <w:r>
        <w:t xml:space="preserve"> Carroll, 2006, Pg. 233.</w:t>
      </w:r>
    </w:p>
  </w:footnote>
  <w:footnote w:id="6">
    <w:p w:rsidR="003B3525" w:rsidRDefault="003B3525">
      <w:pPr>
        <w:pStyle w:val="FootnoteText"/>
      </w:pPr>
      <w:r>
        <w:rPr>
          <w:rStyle w:val="FootnoteReference"/>
        </w:rPr>
        <w:footnoteRef/>
      </w:r>
      <w:r>
        <w:t xml:space="preserve"> Mouritsen, 2011, Pg. 279.</w:t>
      </w:r>
    </w:p>
  </w:footnote>
  <w:footnote w:id="7">
    <w:p w:rsidR="00BB4860" w:rsidRDefault="00BB4860">
      <w:pPr>
        <w:pStyle w:val="FootnoteText"/>
      </w:pPr>
      <w:r>
        <w:rPr>
          <w:rStyle w:val="FootnoteReference"/>
        </w:rPr>
        <w:footnoteRef/>
      </w:r>
      <w:r>
        <w:t xml:space="preserve"> Mouritsen, 2011, Pp. 279-80.</w:t>
      </w:r>
    </w:p>
  </w:footnote>
  <w:footnote w:id="8">
    <w:p w:rsidR="00BB4860" w:rsidRDefault="00BB4860">
      <w:pPr>
        <w:pStyle w:val="FootnoteText"/>
      </w:pPr>
      <w:r>
        <w:rPr>
          <w:rStyle w:val="FootnoteReference"/>
        </w:rPr>
        <w:footnoteRef/>
      </w:r>
      <w:r>
        <w:t xml:space="preserve"> Carroll,  2006, Pp. 236-39, 250-53; Mouritsen, 2011, Pg. 279.</w:t>
      </w:r>
    </w:p>
  </w:footnote>
  <w:footnote w:id="9">
    <w:p w:rsidR="00E23462" w:rsidRPr="006C4A91" w:rsidRDefault="00E23462">
      <w:pPr>
        <w:pStyle w:val="FootnoteText"/>
      </w:pPr>
      <w:r>
        <w:rPr>
          <w:rStyle w:val="FootnoteReference"/>
        </w:rPr>
        <w:footnoteRef/>
      </w:r>
      <w:r>
        <w:t xml:space="preserve"> Carroll, Pg. 236</w:t>
      </w:r>
      <w:r w:rsidR="00880A6F">
        <w:t>.</w:t>
      </w:r>
      <w:r w:rsidR="006C4A91">
        <w:t xml:space="preserve"> Petron. </w:t>
      </w:r>
      <w:r w:rsidR="006C4A91">
        <w:rPr>
          <w:i/>
        </w:rPr>
        <w:t>Sat</w:t>
      </w:r>
      <w:r w:rsidR="006C4A91">
        <w:t>.</w:t>
      </w:r>
    </w:p>
  </w:footnote>
  <w:footnote w:id="10">
    <w:p w:rsidR="00880A6F" w:rsidRPr="006C4A91" w:rsidRDefault="00880A6F">
      <w:pPr>
        <w:pStyle w:val="FootnoteText"/>
      </w:pPr>
      <w:r>
        <w:rPr>
          <w:rStyle w:val="FootnoteReference"/>
        </w:rPr>
        <w:footnoteRef/>
      </w:r>
      <w:r>
        <w:t xml:space="preserve"> Carroll, Pp. 250-52; </w:t>
      </w:r>
      <w:r w:rsidR="00D5576A" w:rsidRPr="00D5576A">
        <w:t>Corpus Inscr</w:t>
      </w:r>
      <w:r w:rsidR="0070653E">
        <w:t xml:space="preserve">iptionum Latinarum, XII, </w:t>
      </w:r>
      <w:r w:rsidR="00CF2E50">
        <w:t>7812</w:t>
      </w:r>
      <w:r w:rsidR="006C4A91">
        <w:t xml:space="preserve">; Petron. </w:t>
      </w:r>
      <w:r w:rsidR="006C4A91">
        <w:rPr>
          <w:i/>
        </w:rPr>
        <w:t>Sat</w:t>
      </w:r>
      <w:r w:rsidR="006C4A91">
        <w:t>.</w:t>
      </w:r>
    </w:p>
  </w:footnote>
  <w:footnote w:id="11">
    <w:p w:rsidR="004D663F" w:rsidRDefault="004D663F">
      <w:pPr>
        <w:pStyle w:val="FootnoteText"/>
      </w:pPr>
      <w:r>
        <w:rPr>
          <w:rStyle w:val="FootnoteReference"/>
        </w:rPr>
        <w:footnoteRef/>
      </w:r>
      <w:r>
        <w:t xml:space="preserve"> For discussion, contemporary to the writing of Carroll, on the similarities between the characters and the notion of the typical rich freed man see, Compostella, 1989; Guidetti, 2006,</w:t>
      </w:r>
      <w:r w:rsidR="009E0E5F">
        <w:t xml:space="preserve"> Leach, 2006 and Whitehead, 1993</w:t>
      </w:r>
      <w:r>
        <w:t>.</w:t>
      </w:r>
    </w:p>
  </w:footnote>
  <w:footnote w:id="12">
    <w:p w:rsidR="006C4A91" w:rsidRDefault="006C4A91">
      <w:pPr>
        <w:pStyle w:val="FootnoteText"/>
      </w:pPr>
      <w:r>
        <w:rPr>
          <w:rStyle w:val="FootnoteReference"/>
        </w:rPr>
        <w:footnoteRef/>
      </w:r>
      <w:r>
        <w:t xml:space="preserve"> The line between what is real and what is imagined in the i</w:t>
      </w:r>
      <w:r w:rsidR="001059D2">
        <w:t>dentity of the freedman has been</w:t>
      </w:r>
      <w:r>
        <w:t xml:space="preserve"> debated by scholars and seen as something which has become blurred. See Purcell, 1987, Pg. 25 and Petersen, 2006, Pg. 8.</w:t>
      </w:r>
    </w:p>
  </w:footnote>
  <w:footnote w:id="13">
    <w:p w:rsidR="00C556C8" w:rsidRDefault="00C556C8">
      <w:pPr>
        <w:pStyle w:val="FootnoteText"/>
      </w:pPr>
      <w:r>
        <w:rPr>
          <w:rStyle w:val="FootnoteReference"/>
        </w:rPr>
        <w:footnoteRef/>
      </w:r>
      <w:r>
        <w:t xml:space="preserve"> Carroll, 2006, Pg. 243; Treggiari, 1969, Pp. 229-34.</w:t>
      </w:r>
    </w:p>
  </w:footnote>
  <w:footnote w:id="14">
    <w:p w:rsidR="00253126" w:rsidRDefault="00253126">
      <w:pPr>
        <w:pStyle w:val="FootnoteText"/>
      </w:pPr>
      <w:r>
        <w:rPr>
          <w:rStyle w:val="FootnoteReference"/>
        </w:rPr>
        <w:footnoteRef/>
      </w:r>
      <w:r>
        <w:t xml:space="preserve"> Corpus Inscriptionum Latinarum, XII, 4410.</w:t>
      </w:r>
    </w:p>
  </w:footnote>
  <w:footnote w:id="15">
    <w:p w:rsidR="00714E1E" w:rsidRDefault="00714E1E">
      <w:pPr>
        <w:pStyle w:val="FootnoteText"/>
      </w:pPr>
      <w:r>
        <w:rPr>
          <w:rStyle w:val="FootnoteReference"/>
        </w:rPr>
        <w:footnoteRef/>
      </w:r>
      <w:r>
        <w:t xml:space="preserve"> </w:t>
      </w:r>
      <w:r w:rsidRPr="00714E1E">
        <w:t>Corpus In</w:t>
      </w:r>
      <w:r>
        <w:t>scriptionum Latinarum, V, 7462.</w:t>
      </w:r>
    </w:p>
  </w:footnote>
  <w:footnote w:id="16">
    <w:p w:rsidR="00F2158D" w:rsidRPr="00F2158D" w:rsidRDefault="00F2158D">
      <w:pPr>
        <w:pStyle w:val="FootnoteText"/>
      </w:pPr>
      <w:r>
        <w:rPr>
          <w:rStyle w:val="FootnoteReference"/>
        </w:rPr>
        <w:footnoteRef/>
      </w:r>
      <w:r>
        <w:t xml:space="preserve"> Tac. </w:t>
      </w:r>
      <w:r>
        <w:rPr>
          <w:i/>
        </w:rPr>
        <w:t>Ann.</w:t>
      </w:r>
      <w:r>
        <w:t xml:space="preserve"> 13.27</w:t>
      </w:r>
    </w:p>
  </w:footnote>
  <w:footnote w:id="17">
    <w:p w:rsidR="00F2158D" w:rsidRDefault="00F2158D">
      <w:pPr>
        <w:pStyle w:val="FootnoteText"/>
      </w:pPr>
      <w:r>
        <w:rPr>
          <w:rStyle w:val="FootnoteReference"/>
        </w:rPr>
        <w:footnoteRef/>
      </w:r>
      <w:r>
        <w:t xml:space="preserve"> Mouritsen, 2011, Pp. 290-91.</w:t>
      </w:r>
    </w:p>
  </w:footnote>
  <w:footnote w:id="18">
    <w:p w:rsidR="007B1994" w:rsidRDefault="007B1994">
      <w:pPr>
        <w:pStyle w:val="FootnoteText"/>
      </w:pPr>
      <w:r>
        <w:rPr>
          <w:rStyle w:val="FootnoteReference"/>
        </w:rPr>
        <w:footnoteRef/>
      </w:r>
      <w:r>
        <w:t xml:space="preserve"> Carroll, 2006, Pg. 146; Mouritsen; 2011, Pg.281; See also Taylor, 1961,</w:t>
      </w:r>
      <w:r w:rsidR="009A583B">
        <w:t xml:space="preserve"> Pp. 118-19 </w:t>
      </w:r>
      <w:r>
        <w:t>who supports the claim that epitaphs were used a way of showing a newfound status of freedom and therefore giving legitimacy to the future line.</w:t>
      </w:r>
    </w:p>
  </w:footnote>
  <w:footnote w:id="19">
    <w:p w:rsidR="000C5656" w:rsidRDefault="000C5656">
      <w:pPr>
        <w:pStyle w:val="FootnoteText"/>
      </w:pPr>
      <w:r>
        <w:rPr>
          <w:rStyle w:val="FootnoteReference"/>
        </w:rPr>
        <w:footnoteRef/>
      </w:r>
      <w:r>
        <w:t xml:space="preserve"> Thylander, 1952: A110, A196.</w:t>
      </w:r>
    </w:p>
  </w:footnote>
  <w:footnote w:id="20">
    <w:p w:rsidR="009A583B" w:rsidRDefault="009A583B">
      <w:pPr>
        <w:pStyle w:val="FootnoteText"/>
      </w:pPr>
      <w:r>
        <w:rPr>
          <w:rStyle w:val="FootnoteReference"/>
        </w:rPr>
        <w:footnoteRef/>
      </w:r>
      <w:r>
        <w:t xml:space="preserve"> Mouritsen, 2011, Pg. </w:t>
      </w:r>
      <w:r w:rsidR="009F6EA1">
        <w:t>282, Taylor, 1961, Pg. 122.</w:t>
      </w:r>
    </w:p>
  </w:footnote>
  <w:footnote w:id="21">
    <w:p w:rsidR="003C1695" w:rsidRDefault="003C1695">
      <w:pPr>
        <w:pStyle w:val="FootnoteText"/>
      </w:pPr>
      <w:r>
        <w:rPr>
          <w:rStyle w:val="FootnoteReference"/>
        </w:rPr>
        <w:footnoteRef/>
      </w:r>
      <w:r>
        <w:t xml:space="preserve"> Carroll, 2006, Pg. 242.</w:t>
      </w:r>
    </w:p>
  </w:footnote>
  <w:footnote w:id="22">
    <w:p w:rsidR="009A583B" w:rsidRDefault="009A583B">
      <w:pPr>
        <w:pStyle w:val="FootnoteText"/>
      </w:pPr>
      <w:r>
        <w:rPr>
          <w:rStyle w:val="FootnoteReference"/>
        </w:rPr>
        <w:footnoteRef/>
      </w:r>
      <w:r>
        <w:t xml:space="preserve"> Carroll, 2006</w:t>
      </w:r>
      <w:r w:rsidR="0006229A">
        <w:t>, Pp. 233-59.</w:t>
      </w:r>
    </w:p>
  </w:footnote>
  <w:footnote w:id="23">
    <w:p w:rsidR="00B92ED4" w:rsidRDefault="00B92ED4">
      <w:pPr>
        <w:pStyle w:val="FootnoteText"/>
      </w:pPr>
      <w:r>
        <w:rPr>
          <w:rStyle w:val="FootnoteReference"/>
        </w:rPr>
        <w:footnoteRef/>
      </w:r>
      <w:r>
        <w:t xml:space="preserve"> Whilst former slaves were not of a common race, location or status debate would argue they shared a common identity and drive in seeking to </w:t>
      </w:r>
      <w:r w:rsidR="000C5656">
        <w:t>be seen as legitimate in the eyes of citizenry freeborn peers.</w:t>
      </w:r>
    </w:p>
  </w:footnote>
  <w:footnote w:id="24">
    <w:p w:rsidR="00B92ED4" w:rsidRDefault="00B92ED4">
      <w:pPr>
        <w:pStyle w:val="FootnoteText"/>
      </w:pPr>
      <w:r>
        <w:rPr>
          <w:rStyle w:val="FootnoteReference"/>
        </w:rPr>
        <w:footnoteRef/>
      </w:r>
      <w:r>
        <w:t xml:space="preserve"> Philologus and Sabina are mentioned by Carroll, however it is not assessed in depth and does appear to be a rare case rather than a common occurrence, see Corpus Inscriptionum Latinarum, V, 7462.</w:t>
      </w:r>
    </w:p>
  </w:footnote>
  <w:footnote w:id="25">
    <w:p w:rsidR="009F6EA1" w:rsidRDefault="009F6EA1">
      <w:pPr>
        <w:pStyle w:val="FootnoteText"/>
      </w:pPr>
      <w:r>
        <w:rPr>
          <w:rStyle w:val="FootnoteReference"/>
        </w:rPr>
        <w:footnoteRef/>
      </w:r>
      <w:r>
        <w:t xml:space="preserve"> Loven</w:t>
      </w:r>
      <w:r w:rsidR="0070653E">
        <w:t>, 2003</w:t>
      </w:r>
      <w:r>
        <w:t>, Pg. 58.</w:t>
      </w:r>
    </w:p>
  </w:footnote>
  <w:footnote w:id="26">
    <w:p w:rsidR="009F6EA1" w:rsidRDefault="009F6EA1">
      <w:pPr>
        <w:pStyle w:val="FootnoteText"/>
      </w:pPr>
      <w:r>
        <w:rPr>
          <w:rStyle w:val="FootnoteReference"/>
        </w:rPr>
        <w:footnoteRef/>
      </w:r>
      <w:r>
        <w:t xml:space="preserve"> See Carroll, 2006, Pp. 233-259;</w:t>
      </w:r>
      <w:r w:rsidR="00461FDD">
        <w:t xml:space="preserve"> Taylor, 1960, Pp</w:t>
      </w:r>
      <w:r>
        <w:t xml:space="preserve">. </w:t>
      </w:r>
      <w:r w:rsidR="003F08A1">
        <w:t>118-19.</w:t>
      </w:r>
    </w:p>
  </w:footnote>
  <w:footnote w:id="27">
    <w:p w:rsidR="00461FDD" w:rsidRDefault="00461FDD">
      <w:pPr>
        <w:pStyle w:val="FootnoteText"/>
      </w:pPr>
      <w:r>
        <w:rPr>
          <w:rStyle w:val="FootnoteReference"/>
        </w:rPr>
        <w:footnoteRef/>
      </w:r>
      <w:r>
        <w:t xml:space="preserve"> Taylor, 1960, Pp. 118-19.</w:t>
      </w:r>
    </w:p>
  </w:footnote>
  <w:footnote w:id="28">
    <w:p w:rsidR="00461FDD" w:rsidRDefault="00461FDD">
      <w:pPr>
        <w:pStyle w:val="FootnoteText"/>
      </w:pPr>
      <w:r>
        <w:rPr>
          <w:rStyle w:val="FootnoteReference"/>
        </w:rPr>
        <w:footnoteRef/>
      </w:r>
      <w:r>
        <w:t xml:space="preserve"> </w:t>
      </w:r>
      <w:r w:rsidR="0070653E">
        <w:t>Loven, 2003</w:t>
      </w:r>
      <w:r>
        <w:t>, Pp. 57-9.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632C8" w:rsidRDefault="008632C8">
    <w:pPr>
      <w:pStyle w:val="Header"/>
    </w:pPr>
    <w:r>
      <w:t>David Pankhurst</w:t>
    </w:r>
    <w:r>
      <w:tab/>
      <w:t>CLCL7005</w:t>
    </w:r>
    <w:r>
      <w:tab/>
      <w:t>1302056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32C8"/>
    <w:rsid w:val="00002584"/>
    <w:rsid w:val="0006229A"/>
    <w:rsid w:val="00066E62"/>
    <w:rsid w:val="00093853"/>
    <w:rsid w:val="000C5656"/>
    <w:rsid w:val="001059D2"/>
    <w:rsid w:val="00145C3C"/>
    <w:rsid w:val="00145E31"/>
    <w:rsid w:val="00194314"/>
    <w:rsid w:val="001B6B2F"/>
    <w:rsid w:val="001F0FF8"/>
    <w:rsid w:val="001F3260"/>
    <w:rsid w:val="00253126"/>
    <w:rsid w:val="002647E1"/>
    <w:rsid w:val="00321A2B"/>
    <w:rsid w:val="003B2871"/>
    <w:rsid w:val="003B3525"/>
    <w:rsid w:val="003B672D"/>
    <w:rsid w:val="003C1695"/>
    <w:rsid w:val="003F08A1"/>
    <w:rsid w:val="003F1642"/>
    <w:rsid w:val="00461FDD"/>
    <w:rsid w:val="004A2E99"/>
    <w:rsid w:val="004D50EA"/>
    <w:rsid w:val="004D663F"/>
    <w:rsid w:val="00530ABD"/>
    <w:rsid w:val="00563EE7"/>
    <w:rsid w:val="005C3A46"/>
    <w:rsid w:val="005E04CF"/>
    <w:rsid w:val="006311EA"/>
    <w:rsid w:val="0063173B"/>
    <w:rsid w:val="00694591"/>
    <w:rsid w:val="006C4A91"/>
    <w:rsid w:val="006D72E1"/>
    <w:rsid w:val="0070653E"/>
    <w:rsid w:val="00714E1E"/>
    <w:rsid w:val="00721671"/>
    <w:rsid w:val="0073518D"/>
    <w:rsid w:val="00735450"/>
    <w:rsid w:val="0079353B"/>
    <w:rsid w:val="007B1994"/>
    <w:rsid w:val="007C4EFF"/>
    <w:rsid w:val="00810C98"/>
    <w:rsid w:val="008632C8"/>
    <w:rsid w:val="00880A6F"/>
    <w:rsid w:val="00927D4E"/>
    <w:rsid w:val="0096273D"/>
    <w:rsid w:val="00981083"/>
    <w:rsid w:val="009A583B"/>
    <w:rsid w:val="009E0E5F"/>
    <w:rsid w:val="009F6EA1"/>
    <w:rsid w:val="00A608D1"/>
    <w:rsid w:val="00AF7752"/>
    <w:rsid w:val="00B92ED4"/>
    <w:rsid w:val="00BB4860"/>
    <w:rsid w:val="00C229FE"/>
    <w:rsid w:val="00C556C8"/>
    <w:rsid w:val="00C65FD4"/>
    <w:rsid w:val="00CF2E50"/>
    <w:rsid w:val="00D01D5C"/>
    <w:rsid w:val="00D5576A"/>
    <w:rsid w:val="00DD68D7"/>
    <w:rsid w:val="00E23462"/>
    <w:rsid w:val="00E62296"/>
    <w:rsid w:val="00F2158D"/>
    <w:rsid w:val="00F423AC"/>
    <w:rsid w:val="00F5563B"/>
    <w:rsid w:val="00F77786"/>
    <w:rsid w:val="00FB6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32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2C8"/>
  </w:style>
  <w:style w:type="paragraph" w:styleId="Footer">
    <w:name w:val="footer"/>
    <w:basedOn w:val="Normal"/>
    <w:link w:val="FooterChar"/>
    <w:uiPriority w:val="99"/>
    <w:unhideWhenUsed/>
    <w:rsid w:val="008632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2C8"/>
  </w:style>
  <w:style w:type="paragraph" w:styleId="BalloonText">
    <w:name w:val="Balloon Text"/>
    <w:basedOn w:val="Normal"/>
    <w:link w:val="BalloonTextChar"/>
    <w:uiPriority w:val="99"/>
    <w:semiHidden/>
    <w:unhideWhenUsed/>
    <w:rsid w:val="008632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32C8"/>
    <w:rPr>
      <w:rFonts w:ascii="Tahoma" w:hAnsi="Tahoma" w:cs="Tahoma"/>
      <w:sz w:val="16"/>
      <w:szCs w:val="16"/>
    </w:rPr>
  </w:style>
  <w:style w:type="paragraph" w:styleId="FootnoteText">
    <w:name w:val="footnote text"/>
    <w:basedOn w:val="Normal"/>
    <w:link w:val="FootnoteTextChar"/>
    <w:uiPriority w:val="99"/>
    <w:semiHidden/>
    <w:unhideWhenUsed/>
    <w:rsid w:val="00563E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3EE7"/>
    <w:rPr>
      <w:sz w:val="20"/>
      <w:szCs w:val="20"/>
    </w:rPr>
  </w:style>
  <w:style w:type="character" w:styleId="FootnoteReference">
    <w:name w:val="footnote reference"/>
    <w:basedOn w:val="DefaultParagraphFont"/>
    <w:uiPriority w:val="99"/>
    <w:semiHidden/>
    <w:unhideWhenUsed/>
    <w:rsid w:val="00563EE7"/>
    <w:rPr>
      <w:vertAlign w:val="superscript"/>
    </w:rPr>
  </w:style>
  <w:style w:type="paragraph" w:styleId="NoSpacing">
    <w:name w:val="No Spacing"/>
    <w:uiPriority w:val="1"/>
    <w:qFormat/>
    <w:rsid w:val="005C3A46"/>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32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2C8"/>
  </w:style>
  <w:style w:type="paragraph" w:styleId="Footer">
    <w:name w:val="footer"/>
    <w:basedOn w:val="Normal"/>
    <w:link w:val="FooterChar"/>
    <w:uiPriority w:val="99"/>
    <w:unhideWhenUsed/>
    <w:rsid w:val="008632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2C8"/>
  </w:style>
  <w:style w:type="paragraph" w:styleId="BalloonText">
    <w:name w:val="Balloon Text"/>
    <w:basedOn w:val="Normal"/>
    <w:link w:val="BalloonTextChar"/>
    <w:uiPriority w:val="99"/>
    <w:semiHidden/>
    <w:unhideWhenUsed/>
    <w:rsid w:val="008632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32C8"/>
    <w:rPr>
      <w:rFonts w:ascii="Tahoma" w:hAnsi="Tahoma" w:cs="Tahoma"/>
      <w:sz w:val="16"/>
      <w:szCs w:val="16"/>
    </w:rPr>
  </w:style>
  <w:style w:type="paragraph" w:styleId="FootnoteText">
    <w:name w:val="footnote text"/>
    <w:basedOn w:val="Normal"/>
    <w:link w:val="FootnoteTextChar"/>
    <w:uiPriority w:val="99"/>
    <w:semiHidden/>
    <w:unhideWhenUsed/>
    <w:rsid w:val="00563E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3EE7"/>
    <w:rPr>
      <w:sz w:val="20"/>
      <w:szCs w:val="20"/>
    </w:rPr>
  </w:style>
  <w:style w:type="character" w:styleId="FootnoteReference">
    <w:name w:val="footnote reference"/>
    <w:basedOn w:val="DefaultParagraphFont"/>
    <w:uiPriority w:val="99"/>
    <w:semiHidden/>
    <w:unhideWhenUsed/>
    <w:rsid w:val="00563EE7"/>
    <w:rPr>
      <w:vertAlign w:val="superscript"/>
    </w:rPr>
  </w:style>
  <w:style w:type="paragraph" w:styleId="NoSpacing">
    <w:name w:val="No Spacing"/>
    <w:uiPriority w:val="1"/>
    <w:qFormat/>
    <w:rsid w:val="005C3A4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E42BE5-2B45-461F-848C-47DEB1818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7610</TotalTime>
  <Pages>6</Pages>
  <Words>1780</Words>
  <Characters>10146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Jennifer</dc:creator>
  <cp:lastModifiedBy>Jennifer</cp:lastModifiedBy>
  <cp:revision>33</cp:revision>
  <dcterms:created xsi:type="dcterms:W3CDTF">2018-01-02T21:21:00Z</dcterms:created>
  <dcterms:modified xsi:type="dcterms:W3CDTF">2018-01-10T05:08:00Z</dcterms:modified>
</cp:coreProperties>
</file>