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E19F8" w14:textId="364D4B27" w:rsidR="00D46920" w:rsidRPr="00D86F06" w:rsidRDefault="009D641D" w:rsidP="00D86F06">
      <w:pPr>
        <w:rPr>
          <w:rFonts w:ascii="Arial" w:hAnsi="Arial" w:cs="Arial"/>
        </w:rPr>
      </w:pPr>
      <w:r w:rsidRPr="00D86F06">
        <w:rPr>
          <w:rFonts w:ascii="Arial" w:hAnsi="Arial" w:cs="Arial"/>
          <w:noProof/>
        </w:rPr>
        <w:drawing>
          <wp:anchor distT="0" distB="0" distL="114300" distR="114300" simplePos="0" relativeHeight="251658240" behindDoc="0" locked="0" layoutInCell="1" allowOverlap="1" wp14:anchorId="7B112E65" wp14:editId="1B10F2AB">
            <wp:simplePos x="0" y="0"/>
            <wp:positionH relativeFrom="margin">
              <wp:align>left</wp:align>
            </wp:positionH>
            <wp:positionV relativeFrom="paragraph">
              <wp:posOffset>212</wp:posOffset>
            </wp:positionV>
            <wp:extent cx="3284855" cy="1108710"/>
            <wp:effectExtent l="0" t="0" r="0" b="0"/>
            <wp:wrapTopAndBottom/>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96685" cy="1113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28E8" w:rsidRPr="00D86F06">
        <w:rPr>
          <w:rFonts w:ascii="Arial" w:hAnsi="Arial" w:cs="Arial"/>
          <w:b/>
          <w:bCs/>
          <w:sz w:val="32"/>
          <w:szCs w:val="32"/>
        </w:rPr>
        <w:t xml:space="preserve">      </w:t>
      </w:r>
    </w:p>
    <w:p w14:paraId="1BD6F6D8" w14:textId="77777777" w:rsidR="00D46920" w:rsidRPr="00D86F06" w:rsidRDefault="00D46920" w:rsidP="00D86F06">
      <w:pPr>
        <w:rPr>
          <w:rStyle w:val="Strong"/>
          <w:rFonts w:ascii="Arial" w:hAnsi="Arial" w:cs="Arial"/>
          <w:color w:val="1D2125"/>
        </w:rPr>
      </w:pPr>
    </w:p>
    <w:p w14:paraId="20C87557" w14:textId="77777777" w:rsidR="00D46920" w:rsidRPr="00D86F06" w:rsidRDefault="00D46920" w:rsidP="00D86F06">
      <w:pPr>
        <w:rPr>
          <w:rStyle w:val="Strong"/>
          <w:rFonts w:ascii="Arial" w:hAnsi="Arial" w:cs="Arial"/>
          <w:color w:val="1D2125"/>
          <w:sz w:val="36"/>
          <w:szCs w:val="36"/>
        </w:rPr>
      </w:pPr>
    </w:p>
    <w:p w14:paraId="454A5F46" w14:textId="2231EEFB" w:rsidR="00D46920" w:rsidRPr="00D86F06" w:rsidRDefault="009D641D" w:rsidP="00D86F06">
      <w:pPr>
        <w:jc w:val="center"/>
        <w:rPr>
          <w:rStyle w:val="Strong"/>
          <w:rFonts w:ascii="Arial" w:hAnsi="Arial" w:cs="Arial"/>
          <w:color w:val="1D2125"/>
          <w:sz w:val="36"/>
          <w:szCs w:val="36"/>
        </w:rPr>
      </w:pPr>
      <w:r w:rsidRPr="00D86F06">
        <w:rPr>
          <w:rStyle w:val="Strong"/>
          <w:rFonts w:ascii="Arial" w:hAnsi="Arial" w:cs="Arial"/>
          <w:color w:val="1D2125"/>
          <w:sz w:val="36"/>
          <w:szCs w:val="36"/>
          <w:shd w:val="clear" w:color="auto" w:fill="FFFFFF"/>
        </w:rPr>
        <w:t>CHANGEMAKERS: CREATIVITY AND VALUE CREATION</w:t>
      </w:r>
    </w:p>
    <w:p w14:paraId="5135E402" w14:textId="3E382BFB" w:rsidR="00D46920" w:rsidRPr="00D86F06" w:rsidRDefault="009D641D" w:rsidP="00D86F06">
      <w:pPr>
        <w:jc w:val="center"/>
        <w:rPr>
          <w:rStyle w:val="Strong"/>
          <w:rFonts w:ascii="Arial" w:hAnsi="Arial" w:cs="Arial"/>
          <w:color w:val="1D2125"/>
          <w:sz w:val="36"/>
          <w:szCs w:val="36"/>
        </w:rPr>
      </w:pPr>
      <w:r w:rsidRPr="00D86F06">
        <w:rPr>
          <w:rStyle w:val="Strong"/>
          <w:rFonts w:ascii="Arial" w:hAnsi="Arial" w:cs="Arial"/>
          <w:color w:val="1D2125"/>
          <w:sz w:val="36"/>
          <w:szCs w:val="36"/>
        </w:rPr>
        <w:t>PROFESSIONS (BMHP5014)</w:t>
      </w:r>
    </w:p>
    <w:p w14:paraId="1B7909EE" w14:textId="77777777" w:rsidR="00D46920" w:rsidRPr="00D86F06" w:rsidRDefault="00D46920" w:rsidP="00D86F06">
      <w:pPr>
        <w:jc w:val="center"/>
        <w:rPr>
          <w:rStyle w:val="Strong"/>
          <w:rFonts w:ascii="Arial" w:hAnsi="Arial" w:cs="Arial"/>
          <w:color w:val="1D2125"/>
          <w:sz w:val="36"/>
          <w:szCs w:val="36"/>
        </w:rPr>
      </w:pPr>
    </w:p>
    <w:p w14:paraId="0D7EA3D7" w14:textId="77777777" w:rsidR="00D46920" w:rsidRPr="00D86F06" w:rsidRDefault="00D46920" w:rsidP="00D86F06">
      <w:pPr>
        <w:jc w:val="center"/>
        <w:rPr>
          <w:rStyle w:val="Strong"/>
          <w:rFonts w:ascii="Arial" w:hAnsi="Arial" w:cs="Arial"/>
          <w:color w:val="1D2125"/>
          <w:sz w:val="36"/>
          <w:szCs w:val="36"/>
        </w:rPr>
      </w:pPr>
    </w:p>
    <w:p w14:paraId="4E60214F" w14:textId="77777777" w:rsidR="00D46920" w:rsidRPr="00D86F06" w:rsidRDefault="00D46920" w:rsidP="00D86F06">
      <w:pPr>
        <w:rPr>
          <w:rStyle w:val="Strong"/>
          <w:rFonts w:ascii="Arial" w:hAnsi="Arial" w:cs="Arial"/>
          <w:b w:val="0"/>
          <w:bCs w:val="0"/>
          <w:color w:val="1D2125"/>
          <w:sz w:val="32"/>
          <w:szCs w:val="32"/>
        </w:rPr>
      </w:pPr>
      <w:r w:rsidRPr="00D86F06">
        <w:rPr>
          <w:rFonts w:ascii="Arial" w:hAnsi="Arial" w:cs="Arial"/>
          <w:b/>
          <w:bCs/>
          <w:color w:val="000000"/>
          <w:sz w:val="32"/>
          <w:szCs w:val="32"/>
        </w:rPr>
        <w:t>Component 1:</w:t>
      </w:r>
      <w:r w:rsidRPr="00D86F06">
        <w:rPr>
          <w:rFonts w:ascii="Arial" w:hAnsi="Arial" w:cs="Arial"/>
        </w:rPr>
        <w:t xml:space="preserve"> </w:t>
      </w:r>
      <w:r w:rsidRPr="00D86F06">
        <w:rPr>
          <w:rFonts w:ascii="Arial" w:hAnsi="Arial" w:cs="Arial"/>
          <w:b/>
          <w:bCs/>
          <w:color w:val="000000"/>
          <w:sz w:val="32"/>
          <w:szCs w:val="32"/>
        </w:rPr>
        <w:t>Online portfolio of set exercises</w:t>
      </w:r>
    </w:p>
    <w:p w14:paraId="58EAA200" w14:textId="77777777" w:rsidR="00D46920" w:rsidRPr="00D86F06" w:rsidRDefault="00D46920" w:rsidP="00D86F06">
      <w:pPr>
        <w:rPr>
          <w:rStyle w:val="Strong"/>
          <w:rFonts w:ascii="Arial" w:hAnsi="Arial" w:cs="Arial"/>
          <w:color w:val="1D2125"/>
          <w:sz w:val="32"/>
          <w:szCs w:val="32"/>
        </w:rPr>
      </w:pPr>
    </w:p>
    <w:p w14:paraId="3C55ACB9" w14:textId="57983378" w:rsidR="00D46920" w:rsidRPr="00D86F06" w:rsidRDefault="00D46920" w:rsidP="00D86F06">
      <w:pPr>
        <w:rPr>
          <w:rStyle w:val="Strong"/>
          <w:rFonts w:ascii="Arial" w:hAnsi="Arial" w:cs="Arial"/>
          <w:color w:val="1D2125"/>
          <w:sz w:val="32"/>
          <w:szCs w:val="32"/>
        </w:rPr>
      </w:pPr>
      <w:r w:rsidRPr="00D86F06">
        <w:rPr>
          <w:rStyle w:val="Strong"/>
          <w:rFonts w:ascii="Arial" w:hAnsi="Arial" w:cs="Arial"/>
          <w:color w:val="1D2125"/>
          <w:sz w:val="32"/>
          <w:szCs w:val="32"/>
        </w:rPr>
        <w:t>Student name:</w:t>
      </w:r>
      <w:r w:rsidR="00B118D5" w:rsidRPr="00B118D5">
        <w:t xml:space="preserve"> </w:t>
      </w:r>
      <w:r w:rsidR="00B118D5" w:rsidRPr="00C75F29">
        <w:rPr>
          <w:rStyle w:val="Strong"/>
          <w:rFonts w:ascii="Arial" w:hAnsi="Arial" w:cs="Arial"/>
          <w:b w:val="0"/>
          <w:bCs w:val="0"/>
          <w:color w:val="1D2125"/>
          <w:sz w:val="32"/>
          <w:szCs w:val="32"/>
        </w:rPr>
        <w:t>DANIELA RIOS RENDON</w:t>
      </w:r>
    </w:p>
    <w:p w14:paraId="3DCFFD10" w14:textId="21D5BFE5" w:rsidR="00D46920" w:rsidRPr="00D86F06" w:rsidRDefault="00D46920" w:rsidP="00D86F06">
      <w:pPr>
        <w:rPr>
          <w:rStyle w:val="Strong"/>
          <w:rFonts w:ascii="Arial" w:hAnsi="Arial" w:cs="Arial"/>
          <w:color w:val="1D2125"/>
          <w:sz w:val="32"/>
          <w:szCs w:val="32"/>
        </w:rPr>
      </w:pPr>
      <w:r w:rsidRPr="00D86F06">
        <w:rPr>
          <w:rStyle w:val="Strong"/>
          <w:rFonts w:ascii="Arial" w:hAnsi="Arial" w:cs="Arial"/>
          <w:color w:val="1D2125"/>
          <w:sz w:val="32"/>
          <w:szCs w:val="32"/>
        </w:rPr>
        <w:t>Student number:</w:t>
      </w:r>
      <w:r w:rsidR="00C75F29" w:rsidRPr="00C75F29">
        <w:t xml:space="preserve"> </w:t>
      </w:r>
      <w:r w:rsidR="00C75F29" w:rsidRPr="00C75F29">
        <w:rPr>
          <w:rStyle w:val="Strong"/>
          <w:rFonts w:ascii="Arial" w:hAnsi="Arial" w:cs="Arial"/>
          <w:b w:val="0"/>
          <w:bCs w:val="0"/>
          <w:color w:val="1D2125"/>
          <w:sz w:val="32"/>
          <w:szCs w:val="32"/>
        </w:rPr>
        <w:t>2429798</w:t>
      </w:r>
    </w:p>
    <w:p w14:paraId="6F2C3011" w14:textId="539EF934" w:rsidR="00D46920" w:rsidRPr="00D86F06" w:rsidRDefault="00D46920" w:rsidP="00D86F06">
      <w:pPr>
        <w:rPr>
          <w:rStyle w:val="Strong"/>
          <w:rFonts w:ascii="Arial" w:hAnsi="Arial" w:cs="Arial"/>
          <w:color w:val="1D2125"/>
          <w:sz w:val="32"/>
          <w:szCs w:val="32"/>
        </w:rPr>
      </w:pPr>
      <w:r w:rsidRPr="00D86F06">
        <w:rPr>
          <w:rStyle w:val="Strong"/>
          <w:rFonts w:ascii="Arial" w:hAnsi="Arial" w:cs="Arial"/>
          <w:color w:val="1D2125"/>
          <w:sz w:val="32"/>
          <w:szCs w:val="32"/>
        </w:rPr>
        <w:t>Lecturer’s name:</w:t>
      </w:r>
      <w:r w:rsidR="00D91AC4">
        <w:rPr>
          <w:rStyle w:val="Strong"/>
          <w:rFonts w:ascii="Arial" w:hAnsi="Arial" w:cs="Arial"/>
          <w:color w:val="1D2125"/>
          <w:sz w:val="32"/>
          <w:szCs w:val="32"/>
        </w:rPr>
        <w:t xml:space="preserve"> </w:t>
      </w:r>
      <w:r w:rsidR="00D91AC4" w:rsidRPr="00D91AC4">
        <w:rPr>
          <w:rStyle w:val="Strong"/>
          <w:rFonts w:ascii="Arial" w:hAnsi="Arial" w:cs="Arial"/>
          <w:b w:val="0"/>
          <w:bCs w:val="0"/>
          <w:color w:val="1D2125"/>
          <w:sz w:val="32"/>
          <w:szCs w:val="32"/>
        </w:rPr>
        <w:t>SOBAN SADIQ</w:t>
      </w:r>
    </w:p>
    <w:p w14:paraId="0D3CF38A" w14:textId="77777777" w:rsidR="00D46920" w:rsidRPr="00D86F06" w:rsidRDefault="00D46920" w:rsidP="00D86F06">
      <w:pPr>
        <w:rPr>
          <w:rFonts w:ascii="Arial" w:hAnsi="Arial" w:cs="Arial"/>
          <w:sz w:val="36"/>
          <w:szCs w:val="36"/>
        </w:rPr>
      </w:pPr>
    </w:p>
    <w:p w14:paraId="45647516" w14:textId="77777777" w:rsidR="00D86F06" w:rsidRPr="00D86F06" w:rsidRDefault="00D86F06" w:rsidP="00D86F06">
      <w:pPr>
        <w:rPr>
          <w:rFonts w:ascii="Arial" w:hAnsi="Arial" w:cs="Arial"/>
          <w:sz w:val="36"/>
          <w:szCs w:val="36"/>
        </w:rPr>
      </w:pPr>
    </w:p>
    <w:p w14:paraId="462DD209" w14:textId="77777777" w:rsidR="00D86F06" w:rsidRPr="00D86F06" w:rsidRDefault="00D86F06" w:rsidP="00D86F06">
      <w:pPr>
        <w:rPr>
          <w:rFonts w:ascii="Arial" w:hAnsi="Arial" w:cs="Arial"/>
          <w:sz w:val="36"/>
          <w:szCs w:val="36"/>
        </w:rPr>
      </w:pPr>
    </w:p>
    <w:p w14:paraId="2598FAD0" w14:textId="77777777" w:rsidR="00D86F06" w:rsidRPr="00D86F06" w:rsidRDefault="00D86F06" w:rsidP="00D86F06">
      <w:pPr>
        <w:rPr>
          <w:rFonts w:ascii="Arial" w:hAnsi="Arial" w:cs="Arial"/>
          <w:sz w:val="36"/>
          <w:szCs w:val="36"/>
        </w:rPr>
      </w:pPr>
    </w:p>
    <w:p w14:paraId="7C2AB73F" w14:textId="77777777" w:rsidR="00D86F06" w:rsidRPr="00D86F06" w:rsidRDefault="00D86F06" w:rsidP="00D86F06">
      <w:pPr>
        <w:rPr>
          <w:rFonts w:ascii="Arial" w:hAnsi="Arial" w:cs="Arial"/>
          <w:sz w:val="36"/>
          <w:szCs w:val="36"/>
        </w:rPr>
      </w:pPr>
    </w:p>
    <w:p w14:paraId="7657B63E" w14:textId="77777777" w:rsidR="00D46920" w:rsidRDefault="00D46920" w:rsidP="00D86F06">
      <w:pPr>
        <w:rPr>
          <w:rFonts w:ascii="Arial" w:hAnsi="Arial" w:cs="Arial"/>
          <w:sz w:val="36"/>
          <w:szCs w:val="36"/>
        </w:rPr>
      </w:pPr>
    </w:p>
    <w:p w14:paraId="62B760E6" w14:textId="77777777" w:rsidR="009D641D" w:rsidRPr="00D86F06" w:rsidRDefault="009D641D" w:rsidP="00D86F06">
      <w:pPr>
        <w:rPr>
          <w:rFonts w:ascii="Arial" w:hAnsi="Arial" w:cs="Arial"/>
          <w:sz w:val="36"/>
          <w:szCs w:val="36"/>
        </w:rPr>
      </w:pPr>
    </w:p>
    <w:p w14:paraId="1DF762CF" w14:textId="77777777" w:rsidR="00D46920" w:rsidRPr="00D86F06" w:rsidRDefault="00D46920" w:rsidP="00D86F06">
      <w:pPr>
        <w:rPr>
          <w:rFonts w:ascii="Arial" w:hAnsi="Arial" w:cs="Arial"/>
          <w:sz w:val="36"/>
          <w:szCs w:val="36"/>
        </w:rPr>
      </w:pPr>
    </w:p>
    <w:sdt>
      <w:sdtPr>
        <w:rPr>
          <w:rFonts w:ascii="Arial" w:eastAsia="Aptos" w:hAnsi="Arial" w:cs="Arial"/>
          <w:b/>
          <w:bCs/>
          <w:color w:val="auto"/>
          <w:kern w:val="2"/>
          <w:sz w:val="24"/>
          <w:szCs w:val="24"/>
          <w:lang w:eastAsia="en-US"/>
        </w:rPr>
        <w:id w:val="268977986"/>
        <w:docPartObj>
          <w:docPartGallery w:val="Table of Contents"/>
          <w:docPartUnique/>
        </w:docPartObj>
      </w:sdtPr>
      <w:sdtEndPr>
        <w:rPr>
          <w:rFonts w:ascii="Aptos" w:hAnsi="Aptos" w:cs="Times New Roman"/>
        </w:rPr>
      </w:sdtEndPr>
      <w:sdtContent>
        <w:p w14:paraId="60DD596F" w14:textId="4CAA340B" w:rsidR="00DD0F65" w:rsidRPr="00F3330D" w:rsidRDefault="00DD0F65">
          <w:pPr>
            <w:pStyle w:val="TOCHeading"/>
            <w:rPr>
              <w:rFonts w:ascii="Arial" w:hAnsi="Arial" w:cs="Arial"/>
              <w:b/>
              <w:bCs/>
              <w:sz w:val="24"/>
              <w:szCs w:val="24"/>
            </w:rPr>
          </w:pPr>
          <w:r w:rsidRPr="00F3330D">
            <w:rPr>
              <w:rFonts w:ascii="Arial" w:hAnsi="Arial" w:cs="Arial"/>
              <w:b/>
              <w:bCs/>
              <w:sz w:val="24"/>
              <w:szCs w:val="24"/>
            </w:rPr>
            <w:t>TABLE OF CONTENTS</w:t>
          </w:r>
        </w:p>
        <w:p w14:paraId="461967D7" w14:textId="0D05F4A0" w:rsidR="00474CEF" w:rsidRPr="00474CEF" w:rsidRDefault="00DD0F65">
          <w:pPr>
            <w:pStyle w:val="TOC1"/>
            <w:tabs>
              <w:tab w:val="right" w:leader="dot" w:pos="9016"/>
            </w:tabs>
            <w:rPr>
              <w:rFonts w:ascii="Arial" w:eastAsiaTheme="minorEastAsia" w:hAnsi="Arial" w:cs="Arial"/>
              <w:noProof/>
              <w:lang w:eastAsia="en-GB"/>
              <w14:ligatures w14:val="standardContextual"/>
            </w:rPr>
          </w:pPr>
          <w:r w:rsidRPr="00474CEF">
            <w:rPr>
              <w:rFonts w:ascii="Arial" w:hAnsi="Arial" w:cs="Arial"/>
            </w:rPr>
            <w:fldChar w:fldCharType="begin"/>
          </w:r>
          <w:r w:rsidRPr="00474CEF">
            <w:rPr>
              <w:rFonts w:ascii="Arial" w:hAnsi="Arial" w:cs="Arial"/>
            </w:rPr>
            <w:instrText xml:space="preserve"> TOC \o "1-3" \h \z \u </w:instrText>
          </w:r>
          <w:r w:rsidRPr="00474CEF">
            <w:rPr>
              <w:rFonts w:ascii="Arial" w:hAnsi="Arial" w:cs="Arial"/>
            </w:rPr>
            <w:fldChar w:fldCharType="separate"/>
          </w:r>
          <w:hyperlink w:anchor="_Toc236176654" w:history="1">
            <w:r w:rsidR="00474CEF" w:rsidRPr="00474CEF">
              <w:rPr>
                <w:rStyle w:val="Hyperlink"/>
                <w:rFonts w:ascii="Arial" w:hAnsi="Arial" w:cs="Arial"/>
                <w:noProof/>
              </w:rPr>
              <w:t>INTRODUCTION</w:t>
            </w:r>
            <w:r w:rsidR="00474CEF" w:rsidRPr="00474CEF">
              <w:rPr>
                <w:rFonts w:ascii="Arial" w:hAnsi="Arial" w:cs="Arial"/>
                <w:noProof/>
                <w:webHidden/>
              </w:rPr>
              <w:tab/>
            </w:r>
            <w:r w:rsidR="00474CEF" w:rsidRPr="00474CEF">
              <w:rPr>
                <w:rFonts w:ascii="Arial" w:hAnsi="Arial" w:cs="Arial"/>
                <w:noProof/>
                <w:webHidden/>
              </w:rPr>
              <w:fldChar w:fldCharType="begin"/>
            </w:r>
            <w:r w:rsidR="00474CEF" w:rsidRPr="00474CEF">
              <w:rPr>
                <w:rFonts w:ascii="Arial" w:hAnsi="Arial" w:cs="Arial"/>
                <w:noProof/>
                <w:webHidden/>
              </w:rPr>
              <w:instrText xml:space="preserve"> PAGEREF _Toc236176654 \h </w:instrText>
            </w:r>
            <w:r w:rsidR="00474CEF" w:rsidRPr="00474CEF">
              <w:rPr>
                <w:rFonts w:ascii="Arial" w:hAnsi="Arial" w:cs="Arial"/>
                <w:noProof/>
                <w:webHidden/>
              </w:rPr>
            </w:r>
            <w:r w:rsidR="00474CEF" w:rsidRPr="00474CEF">
              <w:rPr>
                <w:rFonts w:ascii="Arial" w:hAnsi="Arial" w:cs="Arial"/>
                <w:noProof/>
                <w:webHidden/>
              </w:rPr>
              <w:fldChar w:fldCharType="separate"/>
            </w:r>
            <w:r w:rsidR="00474CEF" w:rsidRPr="00474CEF">
              <w:rPr>
                <w:rFonts w:ascii="Arial" w:hAnsi="Arial" w:cs="Arial"/>
                <w:noProof/>
                <w:webHidden/>
              </w:rPr>
              <w:t>4</w:t>
            </w:r>
            <w:r w:rsidR="00474CEF" w:rsidRPr="00474CEF">
              <w:rPr>
                <w:rFonts w:ascii="Arial" w:hAnsi="Arial" w:cs="Arial"/>
                <w:noProof/>
                <w:webHidden/>
              </w:rPr>
              <w:fldChar w:fldCharType="end"/>
            </w:r>
          </w:hyperlink>
        </w:p>
        <w:p w14:paraId="57B16C9C" w14:textId="15318465"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55" w:history="1">
            <w:r w:rsidRPr="00474CEF">
              <w:rPr>
                <w:rStyle w:val="Hyperlink"/>
                <w:rFonts w:ascii="Arial" w:hAnsi="Arial" w:cs="Arial"/>
                <w:noProof/>
              </w:rPr>
              <w:t>TASK 1- DEFINING KEY CONCEPTS IN PRACTICE</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_Toc236176655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5</w:t>
            </w:r>
            <w:r w:rsidRPr="00474CEF">
              <w:rPr>
                <w:rFonts w:ascii="Arial" w:hAnsi="Arial" w:cs="Arial"/>
                <w:noProof/>
                <w:webHidden/>
              </w:rPr>
              <w:fldChar w:fldCharType="end"/>
            </w:r>
          </w:hyperlink>
        </w:p>
        <w:p w14:paraId="4CA07DC7" w14:textId="454599EA"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56" w:history="1">
            <w:r w:rsidRPr="00474CEF">
              <w:rPr>
                <w:rStyle w:val="Hyperlink"/>
                <w:rFonts w:ascii="Arial" w:hAnsi="Arial" w:cs="Arial"/>
                <w:noProof/>
                <w:lang w:val="en-US"/>
              </w:rPr>
              <w:t>TASK 2 - MIND MAP</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_Toc236176656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7</w:t>
            </w:r>
            <w:r w:rsidRPr="00474CEF">
              <w:rPr>
                <w:rFonts w:ascii="Arial" w:hAnsi="Arial" w:cs="Arial"/>
                <w:noProof/>
                <w:webHidden/>
              </w:rPr>
              <w:fldChar w:fldCharType="end"/>
            </w:r>
          </w:hyperlink>
        </w:p>
        <w:p w14:paraId="440624B8" w14:textId="023F584A"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57" w:history="1">
            <w:r w:rsidRPr="00474CEF">
              <w:rPr>
                <w:rStyle w:val="Hyperlink"/>
                <w:rFonts w:ascii="Arial" w:hAnsi="Arial" w:cs="Arial"/>
                <w:noProof/>
                <w:lang w:val="en-US"/>
              </w:rPr>
              <w:t>TASK 3 - SELF-REFLECTION OF GROUP ACTIVITY</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_Toc236176657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8</w:t>
            </w:r>
            <w:r w:rsidRPr="00474CEF">
              <w:rPr>
                <w:rFonts w:ascii="Arial" w:hAnsi="Arial" w:cs="Arial"/>
                <w:noProof/>
                <w:webHidden/>
              </w:rPr>
              <w:fldChar w:fldCharType="end"/>
            </w:r>
          </w:hyperlink>
        </w:p>
        <w:p w14:paraId="3ABB7020" w14:textId="27DFB296"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58" w:history="1">
            <w:r w:rsidRPr="00474CEF">
              <w:rPr>
                <w:rStyle w:val="Hyperlink"/>
                <w:rFonts w:ascii="Arial" w:hAnsi="Arial" w:cs="Arial"/>
                <w:noProof/>
              </w:rPr>
              <w:t>TASK 4 – CASE STUDY ANALYSIS OF A UK INNOVATION</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_Toc236176658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9</w:t>
            </w:r>
            <w:r w:rsidRPr="00474CEF">
              <w:rPr>
                <w:rFonts w:ascii="Arial" w:hAnsi="Arial" w:cs="Arial"/>
                <w:noProof/>
                <w:webHidden/>
              </w:rPr>
              <w:fldChar w:fldCharType="end"/>
            </w:r>
          </w:hyperlink>
        </w:p>
        <w:p w14:paraId="43C947D4" w14:textId="7329F176"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59" w:history="1">
            <w:r w:rsidRPr="00474CEF">
              <w:rPr>
                <w:rStyle w:val="Hyperlink"/>
                <w:rFonts w:ascii="Arial" w:hAnsi="Arial" w:cs="Arial"/>
                <w:noProof/>
                <w:lang w:val="en-US"/>
              </w:rPr>
              <w:t>TASK 5 - RESEARCH TASK</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_Toc236176659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10</w:t>
            </w:r>
            <w:r w:rsidRPr="00474CEF">
              <w:rPr>
                <w:rFonts w:ascii="Arial" w:hAnsi="Arial" w:cs="Arial"/>
                <w:noProof/>
                <w:webHidden/>
              </w:rPr>
              <w:fldChar w:fldCharType="end"/>
            </w:r>
          </w:hyperlink>
        </w:p>
        <w:p w14:paraId="1BD55F71" w14:textId="32A60BE9"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60" w:history="1">
            <w:r w:rsidRPr="00474CEF">
              <w:rPr>
                <w:rStyle w:val="Hyperlink"/>
                <w:rFonts w:ascii="Arial" w:hAnsi="Arial" w:cs="Arial"/>
                <w:noProof/>
                <w:lang w:val="en-US"/>
              </w:rPr>
              <w:t>TASK 6 - EXPLORING DIGITAL INNOVATION IN HEALTH AND SOCIAL CARE</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_Toc236176660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11</w:t>
            </w:r>
            <w:r w:rsidRPr="00474CEF">
              <w:rPr>
                <w:rFonts w:ascii="Arial" w:hAnsi="Arial" w:cs="Arial"/>
                <w:noProof/>
                <w:webHidden/>
              </w:rPr>
              <w:fldChar w:fldCharType="end"/>
            </w:r>
          </w:hyperlink>
        </w:p>
        <w:p w14:paraId="63BB3A34" w14:textId="1DA5908C"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61" w:history="1">
            <w:r w:rsidRPr="00474CEF">
              <w:rPr>
                <w:rStyle w:val="Hyperlink"/>
                <w:rFonts w:ascii="Arial" w:hAnsi="Arial" w:cs="Arial"/>
                <w:noProof/>
                <w:lang w:val="en-US"/>
              </w:rPr>
              <w:t>TASK 7 - UNDERSTANDING THE NHS LEADERSHIP FRAMEWORK</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_Toc236176661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13</w:t>
            </w:r>
            <w:r w:rsidRPr="00474CEF">
              <w:rPr>
                <w:rFonts w:ascii="Arial" w:hAnsi="Arial" w:cs="Arial"/>
                <w:noProof/>
                <w:webHidden/>
              </w:rPr>
              <w:fldChar w:fldCharType="end"/>
            </w:r>
          </w:hyperlink>
        </w:p>
        <w:p w14:paraId="20B4DA06" w14:textId="69A5CD55"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62" w:history="1">
            <w:r w:rsidRPr="00474CEF">
              <w:rPr>
                <w:rStyle w:val="Hyperlink"/>
                <w:rFonts w:ascii="Arial" w:hAnsi="Arial" w:cs="Arial"/>
                <w:noProof/>
              </w:rPr>
              <w:t>TASK 8 – SELF-REFLECTION JOURNAL ENTRY</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_Toc236176662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15</w:t>
            </w:r>
            <w:r w:rsidRPr="00474CEF">
              <w:rPr>
                <w:rFonts w:ascii="Arial" w:hAnsi="Arial" w:cs="Arial"/>
                <w:noProof/>
                <w:webHidden/>
              </w:rPr>
              <w:fldChar w:fldCharType="end"/>
            </w:r>
          </w:hyperlink>
        </w:p>
        <w:p w14:paraId="551CD8B1" w14:textId="12552872" w:rsidR="00474CEF" w:rsidRPr="00474CEF" w:rsidRDefault="00474CEF">
          <w:pPr>
            <w:pStyle w:val="TOC1"/>
            <w:tabs>
              <w:tab w:val="right" w:leader="dot" w:pos="9016"/>
            </w:tabs>
            <w:rPr>
              <w:rFonts w:ascii="Arial" w:eastAsiaTheme="minorEastAsia" w:hAnsi="Arial" w:cs="Arial"/>
              <w:noProof/>
              <w:lang w:eastAsia="en-GB"/>
              <w14:ligatures w14:val="standardContextual"/>
            </w:rPr>
          </w:pPr>
          <w:hyperlink w:anchor="_Toc236176663" w:history="1">
            <w:r w:rsidRPr="00474CEF">
              <w:rPr>
                <w:rStyle w:val="Hyperlink"/>
                <w:rFonts w:ascii="Arial" w:hAnsi="Arial" w:cs="Arial"/>
                <w:noProof/>
                <w:lang w:val="en-US"/>
              </w:rPr>
              <w:t>REFERENCES</w:t>
            </w:r>
            <w:r w:rsidRPr="00474CEF">
              <w:rPr>
                <w:rFonts w:ascii="Arial" w:hAnsi="Arial" w:cs="Arial"/>
                <w:noProof/>
                <w:webHidden/>
              </w:rPr>
              <w:tab/>
            </w:r>
            <w:r w:rsidRPr="00474CEF">
              <w:rPr>
                <w:rFonts w:ascii="Arial" w:hAnsi="Arial" w:cs="Arial"/>
                <w:noProof/>
                <w:webHidden/>
              </w:rPr>
              <w:fldChar w:fldCharType="begin"/>
            </w:r>
            <w:r w:rsidRPr="00474CEF">
              <w:rPr>
                <w:rFonts w:ascii="Arial" w:hAnsi="Arial" w:cs="Arial"/>
                <w:noProof/>
                <w:webHidden/>
              </w:rPr>
              <w:instrText xml:space="preserve"> PAGEREF _Toc236176663 \h </w:instrText>
            </w:r>
            <w:r w:rsidRPr="00474CEF">
              <w:rPr>
                <w:rFonts w:ascii="Arial" w:hAnsi="Arial" w:cs="Arial"/>
                <w:noProof/>
                <w:webHidden/>
              </w:rPr>
            </w:r>
            <w:r w:rsidRPr="00474CEF">
              <w:rPr>
                <w:rFonts w:ascii="Arial" w:hAnsi="Arial" w:cs="Arial"/>
                <w:noProof/>
                <w:webHidden/>
              </w:rPr>
              <w:fldChar w:fldCharType="separate"/>
            </w:r>
            <w:r w:rsidRPr="00474CEF">
              <w:rPr>
                <w:rFonts w:ascii="Arial" w:hAnsi="Arial" w:cs="Arial"/>
                <w:noProof/>
                <w:webHidden/>
              </w:rPr>
              <w:t>16</w:t>
            </w:r>
            <w:r w:rsidRPr="00474CEF">
              <w:rPr>
                <w:rFonts w:ascii="Arial" w:hAnsi="Arial" w:cs="Arial"/>
                <w:noProof/>
                <w:webHidden/>
              </w:rPr>
              <w:fldChar w:fldCharType="end"/>
            </w:r>
          </w:hyperlink>
        </w:p>
        <w:p w14:paraId="26BCD463" w14:textId="4EB1E733" w:rsidR="00DD0F65" w:rsidRDefault="00DD0F65">
          <w:r w:rsidRPr="00474CEF">
            <w:rPr>
              <w:rFonts w:ascii="Arial" w:hAnsi="Arial" w:cs="Arial"/>
              <w:b/>
              <w:bCs/>
            </w:rPr>
            <w:fldChar w:fldCharType="end"/>
          </w:r>
        </w:p>
      </w:sdtContent>
    </w:sdt>
    <w:p w14:paraId="54071E1B" w14:textId="77777777" w:rsidR="00D86F06" w:rsidRPr="00D86F06" w:rsidRDefault="00D86F06" w:rsidP="00D86F06">
      <w:pPr>
        <w:pStyle w:val="NormalWeb"/>
        <w:spacing w:before="0" w:beforeAutospacing="0" w:after="0" w:afterAutospacing="0" w:line="360" w:lineRule="auto"/>
        <w:rPr>
          <w:rFonts w:ascii="Arial" w:hAnsi="Arial" w:cs="Arial"/>
          <w:b/>
          <w:bCs/>
          <w:color w:val="000000"/>
          <w:sz w:val="28"/>
          <w:szCs w:val="28"/>
        </w:rPr>
      </w:pPr>
    </w:p>
    <w:p w14:paraId="3A94D737" w14:textId="77777777" w:rsidR="00D46920" w:rsidRPr="00D86F06" w:rsidRDefault="00D46920" w:rsidP="00D86F06">
      <w:pPr>
        <w:pStyle w:val="NormalWeb"/>
        <w:spacing w:before="0" w:beforeAutospacing="0" w:after="0" w:afterAutospacing="0" w:line="360" w:lineRule="auto"/>
        <w:rPr>
          <w:rFonts w:ascii="Arial" w:hAnsi="Arial" w:cs="Arial"/>
          <w:b/>
          <w:bCs/>
          <w:color w:val="000000"/>
        </w:rPr>
      </w:pPr>
    </w:p>
    <w:p w14:paraId="23E97EEA" w14:textId="77777777" w:rsidR="00D46920" w:rsidRPr="00D86F06" w:rsidRDefault="00D46920" w:rsidP="00D86F06">
      <w:pPr>
        <w:rPr>
          <w:rFonts w:ascii="Arial" w:hAnsi="Arial" w:cs="Arial"/>
          <w:b/>
          <w:bCs/>
          <w:sz w:val="32"/>
          <w:szCs w:val="32"/>
        </w:rPr>
      </w:pPr>
    </w:p>
    <w:p w14:paraId="2BB188C7" w14:textId="77777777" w:rsidR="00D46920" w:rsidRPr="00D86F06" w:rsidRDefault="00D46920" w:rsidP="00D86F06">
      <w:pPr>
        <w:rPr>
          <w:rFonts w:ascii="Arial" w:hAnsi="Arial" w:cs="Arial"/>
          <w:b/>
          <w:bCs/>
          <w:sz w:val="32"/>
          <w:szCs w:val="32"/>
        </w:rPr>
      </w:pPr>
    </w:p>
    <w:p w14:paraId="23C4321B" w14:textId="77777777" w:rsidR="00D46920" w:rsidRPr="00D86F06" w:rsidRDefault="00D46920" w:rsidP="00D86F06">
      <w:pPr>
        <w:rPr>
          <w:rFonts w:ascii="Arial" w:hAnsi="Arial" w:cs="Arial"/>
          <w:b/>
          <w:bCs/>
          <w:sz w:val="32"/>
          <w:szCs w:val="32"/>
        </w:rPr>
      </w:pPr>
    </w:p>
    <w:p w14:paraId="2DFFC7B2" w14:textId="77777777" w:rsidR="00D46920" w:rsidRPr="00D86F06" w:rsidRDefault="00D46920" w:rsidP="00D86F06">
      <w:pPr>
        <w:rPr>
          <w:rFonts w:ascii="Arial" w:hAnsi="Arial" w:cs="Arial"/>
          <w:b/>
          <w:bCs/>
          <w:sz w:val="32"/>
          <w:szCs w:val="32"/>
        </w:rPr>
      </w:pPr>
    </w:p>
    <w:p w14:paraId="3EC5A596" w14:textId="77777777" w:rsidR="00D46920" w:rsidRPr="00D86F06" w:rsidRDefault="00D46920" w:rsidP="00D86F06">
      <w:pPr>
        <w:rPr>
          <w:rFonts w:ascii="Arial" w:hAnsi="Arial" w:cs="Arial"/>
          <w:b/>
          <w:bCs/>
          <w:sz w:val="32"/>
          <w:szCs w:val="32"/>
        </w:rPr>
      </w:pPr>
    </w:p>
    <w:p w14:paraId="01DFDCA7" w14:textId="77777777" w:rsidR="00D46920" w:rsidRPr="00D86F06" w:rsidRDefault="00D46920" w:rsidP="00D86F06">
      <w:pPr>
        <w:rPr>
          <w:rFonts w:ascii="Arial" w:hAnsi="Arial" w:cs="Arial"/>
          <w:b/>
          <w:bCs/>
          <w:sz w:val="32"/>
          <w:szCs w:val="32"/>
        </w:rPr>
      </w:pPr>
    </w:p>
    <w:p w14:paraId="747B80A3" w14:textId="77777777" w:rsidR="00D46920" w:rsidRPr="00D86F06" w:rsidRDefault="00D46920" w:rsidP="00D86F06">
      <w:pPr>
        <w:rPr>
          <w:rFonts w:ascii="Arial" w:hAnsi="Arial" w:cs="Arial"/>
          <w:b/>
          <w:bCs/>
          <w:sz w:val="32"/>
          <w:szCs w:val="32"/>
        </w:rPr>
      </w:pPr>
    </w:p>
    <w:p w14:paraId="27B40D1D" w14:textId="77777777" w:rsidR="00D46920" w:rsidRPr="00D86F06" w:rsidRDefault="00D46920" w:rsidP="00D86F06">
      <w:pPr>
        <w:rPr>
          <w:rFonts w:ascii="Arial" w:hAnsi="Arial" w:cs="Arial"/>
          <w:b/>
          <w:bCs/>
          <w:sz w:val="32"/>
          <w:szCs w:val="32"/>
        </w:rPr>
      </w:pPr>
    </w:p>
    <w:p w14:paraId="4A02BBF4" w14:textId="77777777" w:rsidR="00D46920" w:rsidRPr="00D86F06" w:rsidRDefault="00D46920" w:rsidP="00D86F06">
      <w:pPr>
        <w:rPr>
          <w:rFonts w:ascii="Arial" w:hAnsi="Arial" w:cs="Arial"/>
          <w:b/>
          <w:bCs/>
          <w:sz w:val="32"/>
          <w:szCs w:val="32"/>
        </w:rPr>
      </w:pPr>
    </w:p>
    <w:p w14:paraId="76D7774B" w14:textId="77777777" w:rsidR="00D46920" w:rsidRPr="00D86F06" w:rsidRDefault="00D46920" w:rsidP="00D86F06">
      <w:pPr>
        <w:rPr>
          <w:rFonts w:ascii="Arial" w:hAnsi="Arial" w:cs="Arial"/>
          <w:b/>
          <w:bCs/>
          <w:sz w:val="32"/>
          <w:szCs w:val="32"/>
        </w:rPr>
      </w:pPr>
    </w:p>
    <w:p w14:paraId="34B45FF6" w14:textId="77777777" w:rsidR="00D46920" w:rsidRPr="00D86F06" w:rsidRDefault="00D46920" w:rsidP="00D86F06">
      <w:pPr>
        <w:rPr>
          <w:rFonts w:ascii="Arial" w:hAnsi="Arial" w:cs="Arial"/>
          <w:b/>
          <w:bCs/>
          <w:sz w:val="32"/>
          <w:szCs w:val="32"/>
        </w:rPr>
      </w:pPr>
    </w:p>
    <w:p w14:paraId="1142114E" w14:textId="77777777" w:rsidR="00D86F06" w:rsidRDefault="00D86F06" w:rsidP="00D86F06">
      <w:pPr>
        <w:rPr>
          <w:rFonts w:ascii="Arial" w:hAnsi="Arial" w:cs="Arial"/>
          <w:b/>
          <w:bCs/>
          <w:sz w:val="32"/>
          <w:szCs w:val="32"/>
        </w:rPr>
      </w:pPr>
    </w:p>
    <w:p w14:paraId="15096305" w14:textId="77777777" w:rsidR="00D86F06" w:rsidRPr="00D86F06" w:rsidRDefault="00D86F06" w:rsidP="00D86F06">
      <w:pPr>
        <w:rPr>
          <w:rFonts w:ascii="Arial" w:hAnsi="Arial" w:cs="Arial"/>
          <w:b/>
          <w:bCs/>
          <w:sz w:val="32"/>
          <w:szCs w:val="32"/>
        </w:rPr>
      </w:pPr>
    </w:p>
    <w:tbl>
      <w:tblPr>
        <w:tblStyle w:val="TableGrid"/>
        <w:tblW w:w="0" w:type="auto"/>
        <w:tblLook w:val="04A0" w:firstRow="1" w:lastRow="0" w:firstColumn="1" w:lastColumn="0" w:noHBand="0" w:noVBand="1"/>
      </w:tblPr>
      <w:tblGrid>
        <w:gridCol w:w="9016"/>
      </w:tblGrid>
      <w:tr w:rsidR="00B44499" w:rsidRPr="00D86F06" w14:paraId="2A86D8D5" w14:textId="77777777" w:rsidTr="00114199">
        <w:tc>
          <w:tcPr>
            <w:tcW w:w="9016" w:type="dxa"/>
          </w:tcPr>
          <w:p w14:paraId="0B3F8D0D" w14:textId="2FAC3A49" w:rsidR="00B44499" w:rsidRPr="008152FE" w:rsidRDefault="0021415C" w:rsidP="00F3330D">
            <w:pPr>
              <w:pStyle w:val="Heading1"/>
              <w:rPr>
                <w:rFonts w:cs="Arial"/>
              </w:rPr>
            </w:pPr>
            <w:bookmarkStart w:id="0" w:name="_Toc236176654"/>
            <w:r w:rsidRPr="008152FE">
              <w:rPr>
                <w:rFonts w:cs="Arial"/>
              </w:rPr>
              <w:lastRenderedPageBreak/>
              <w:t>INTRODUCTION</w:t>
            </w:r>
            <w:bookmarkEnd w:id="0"/>
          </w:p>
          <w:p w14:paraId="255FCF8F" w14:textId="77777777" w:rsidR="008152FE" w:rsidRPr="008152FE" w:rsidRDefault="008152FE" w:rsidP="008152FE">
            <w:pPr>
              <w:rPr>
                <w:rFonts w:ascii="Arial" w:hAnsi="Arial" w:cs="Arial"/>
                <w:lang w:eastAsia="en-GB"/>
              </w:rPr>
            </w:pPr>
          </w:p>
          <w:p w14:paraId="03E6A773" w14:textId="3410F4A4" w:rsidR="0021415C" w:rsidRPr="008152FE" w:rsidRDefault="00951159" w:rsidP="00027375">
            <w:pPr>
              <w:pStyle w:val="NoSpacing"/>
              <w:spacing w:line="360" w:lineRule="auto"/>
              <w:rPr>
                <w:rFonts w:ascii="Arial" w:hAnsi="Arial" w:cs="Arial"/>
                <w:lang w:eastAsia="en-GB"/>
              </w:rPr>
            </w:pPr>
            <w:r w:rsidRPr="008152FE">
              <w:rPr>
                <w:rFonts w:ascii="Arial" w:hAnsi="Arial" w:cs="Arial"/>
                <w:lang w:eastAsia="en-GB"/>
              </w:rPr>
              <w:t>This portfolio will cover eight tasks that will investigate innovation, creativity, value creation and change in health and social care. The portfolio demonstrates engagement with content of the learning module as well as reflective application to the current challenges in the NHS.</w:t>
            </w:r>
          </w:p>
          <w:p w14:paraId="57DBE902" w14:textId="7C089471" w:rsidR="00B44499" w:rsidRPr="008152FE" w:rsidRDefault="00B44499" w:rsidP="00D86F06">
            <w:pPr>
              <w:pStyle w:val="NoSpacing"/>
              <w:spacing w:line="360" w:lineRule="auto"/>
              <w:rPr>
                <w:rFonts w:ascii="Arial" w:hAnsi="Arial" w:cs="Arial"/>
                <w:b/>
                <w:bCs/>
                <w:sz w:val="22"/>
                <w:szCs w:val="22"/>
                <w:lang w:eastAsia="en-GB"/>
              </w:rPr>
            </w:pPr>
          </w:p>
        </w:tc>
      </w:tr>
      <w:tr w:rsidR="00114199" w:rsidRPr="00D86F06" w14:paraId="4941CB47" w14:textId="77777777" w:rsidTr="00114199">
        <w:tc>
          <w:tcPr>
            <w:tcW w:w="9016" w:type="dxa"/>
          </w:tcPr>
          <w:p w14:paraId="329E3EDC" w14:textId="60A9FB95" w:rsidR="00114199" w:rsidRPr="008152FE" w:rsidRDefault="00951159" w:rsidP="00775BA0">
            <w:pPr>
              <w:pStyle w:val="Heading1"/>
              <w:rPr>
                <w:rFonts w:cs="Arial"/>
              </w:rPr>
            </w:pPr>
            <w:bookmarkStart w:id="1" w:name="_Toc236176655"/>
            <w:r w:rsidRPr="008152FE">
              <w:rPr>
                <w:rFonts w:cs="Arial"/>
              </w:rPr>
              <w:lastRenderedPageBreak/>
              <w:t>TASK 1- DEFINING KEY CONCEPTS IN PRACTICE</w:t>
            </w:r>
            <w:bookmarkEnd w:id="1"/>
          </w:p>
          <w:p w14:paraId="46753CB2" w14:textId="77777777" w:rsidR="00775BA0" w:rsidRPr="008152FE" w:rsidRDefault="00775BA0" w:rsidP="00027375">
            <w:pPr>
              <w:spacing w:line="360" w:lineRule="auto"/>
              <w:rPr>
                <w:rFonts w:ascii="Arial" w:hAnsi="Arial" w:cs="Arial"/>
                <w:lang w:eastAsia="en-GB"/>
              </w:rPr>
            </w:pPr>
            <w:r w:rsidRPr="008152FE">
              <w:rPr>
                <w:rFonts w:ascii="Arial" w:hAnsi="Arial" w:cs="Arial"/>
                <w:b/>
                <w:bCs/>
                <w:lang w:eastAsia="en-GB"/>
              </w:rPr>
              <w:t>Innovation</w:t>
            </w:r>
          </w:p>
          <w:p w14:paraId="1AA65E6B" w14:textId="290F41A3" w:rsidR="00775BA0" w:rsidRPr="008152FE" w:rsidRDefault="00354D64" w:rsidP="00027375">
            <w:pPr>
              <w:spacing w:line="360" w:lineRule="auto"/>
              <w:rPr>
                <w:rFonts w:ascii="Arial" w:hAnsi="Arial" w:cs="Arial"/>
                <w:lang w:eastAsia="en-GB"/>
              </w:rPr>
            </w:pPr>
            <w:r w:rsidRPr="008152FE">
              <w:rPr>
                <w:rFonts w:ascii="Arial" w:hAnsi="Arial" w:cs="Arial"/>
                <w:lang w:eastAsia="en-GB"/>
              </w:rPr>
              <w:t xml:space="preserve">Innovation is the introduction of new or improved processes within an organisation (Rogers, 2003). </w:t>
            </w:r>
            <w:r w:rsidR="00775BA0" w:rsidRPr="008152FE">
              <w:rPr>
                <w:rFonts w:ascii="Arial" w:hAnsi="Arial" w:cs="Arial"/>
                <w:lang w:eastAsia="en-GB"/>
              </w:rPr>
              <w:t>Innovation in health and social care is about achieving more with less, as it is about maximising the outcomes achieved with a limited set of resources (NHS England, 2023). The Diffusion of Innovation Theory, by Rogers (2003), is one way to explain the spread of new ideas through organisations, when the ideas are perceived by the staff as useful, compatible with the existing practice and easy to use.</w:t>
            </w:r>
          </w:p>
          <w:p w14:paraId="7B80FBF8" w14:textId="77777777" w:rsidR="00775BA0" w:rsidRPr="008152FE" w:rsidRDefault="00775BA0" w:rsidP="00027375">
            <w:pPr>
              <w:spacing w:line="360" w:lineRule="auto"/>
              <w:rPr>
                <w:rFonts w:ascii="Arial" w:hAnsi="Arial" w:cs="Arial"/>
                <w:lang w:eastAsia="en-GB"/>
              </w:rPr>
            </w:pPr>
          </w:p>
          <w:p w14:paraId="1E4F55C7" w14:textId="77777777" w:rsidR="00775BA0" w:rsidRPr="008152FE" w:rsidRDefault="00775BA0" w:rsidP="00027375">
            <w:pPr>
              <w:spacing w:line="360" w:lineRule="auto"/>
              <w:rPr>
                <w:rFonts w:ascii="Arial" w:hAnsi="Arial" w:cs="Arial"/>
                <w:lang w:eastAsia="en-GB"/>
              </w:rPr>
            </w:pPr>
            <w:r w:rsidRPr="008152FE">
              <w:rPr>
                <w:rFonts w:ascii="Arial" w:hAnsi="Arial" w:cs="Arial"/>
                <w:b/>
                <w:bCs/>
                <w:lang w:eastAsia="en-GB"/>
              </w:rPr>
              <w:t>Creativity</w:t>
            </w:r>
          </w:p>
          <w:p w14:paraId="649A705C" w14:textId="06C6F2D9" w:rsidR="00775BA0" w:rsidRPr="008152FE" w:rsidRDefault="00775BA0" w:rsidP="00027375">
            <w:pPr>
              <w:spacing w:line="360" w:lineRule="auto"/>
              <w:rPr>
                <w:rFonts w:ascii="Arial" w:hAnsi="Arial" w:cs="Arial"/>
                <w:lang w:eastAsia="en-GB"/>
              </w:rPr>
            </w:pPr>
            <w:r w:rsidRPr="008152FE">
              <w:rPr>
                <w:rFonts w:ascii="Arial" w:hAnsi="Arial" w:cs="Arial"/>
                <w:lang w:eastAsia="en-GB"/>
              </w:rPr>
              <w:t>Amabile (1996) states that creativity is the generation of original and valuable ideas in response to a specified problem. In care, creativity manifests in the approach or problem-solving strategies taken by teams that face challenges that cannot be addressed with the usual set of procedures. A particular example is a community nursing team that rethought the way discharges were planned and focused on patient availability rather than clinic schedules. Amabile's Componential Theory of Creativity postulates that to be creative, you must possess domain-relevant skills, intrinsic motivation and work environment that allows experimentation (Amabile, 1996</w:t>
            </w:r>
            <w:r w:rsidR="00BF1C5F" w:rsidRPr="008152FE">
              <w:rPr>
                <w:rFonts w:ascii="Arial" w:hAnsi="Arial" w:cs="Arial"/>
                <w:lang w:eastAsia="en-GB"/>
              </w:rPr>
              <w:t>).</w:t>
            </w:r>
          </w:p>
          <w:p w14:paraId="13D554B0" w14:textId="77777777" w:rsidR="00775BA0" w:rsidRPr="008152FE" w:rsidRDefault="00775BA0" w:rsidP="00027375">
            <w:pPr>
              <w:spacing w:line="360" w:lineRule="auto"/>
              <w:rPr>
                <w:rFonts w:ascii="Arial" w:hAnsi="Arial" w:cs="Arial"/>
                <w:lang w:eastAsia="en-GB"/>
              </w:rPr>
            </w:pPr>
          </w:p>
          <w:p w14:paraId="7A1EA08D" w14:textId="77777777" w:rsidR="00775BA0" w:rsidRPr="008152FE" w:rsidRDefault="00775BA0" w:rsidP="00027375">
            <w:pPr>
              <w:spacing w:line="360" w:lineRule="auto"/>
              <w:rPr>
                <w:rFonts w:ascii="Arial" w:hAnsi="Arial" w:cs="Arial"/>
                <w:lang w:eastAsia="en-GB"/>
              </w:rPr>
            </w:pPr>
            <w:r w:rsidRPr="008152FE">
              <w:rPr>
                <w:rFonts w:ascii="Arial" w:hAnsi="Arial" w:cs="Arial"/>
                <w:b/>
                <w:bCs/>
                <w:lang w:eastAsia="en-GB"/>
              </w:rPr>
              <w:t>Value Creation</w:t>
            </w:r>
          </w:p>
          <w:p w14:paraId="04023F68" w14:textId="195F12A7" w:rsidR="00775BA0" w:rsidRPr="008152FE" w:rsidRDefault="00775BA0" w:rsidP="00027375">
            <w:pPr>
              <w:spacing w:line="360" w:lineRule="auto"/>
              <w:rPr>
                <w:rFonts w:ascii="Arial" w:hAnsi="Arial" w:cs="Arial"/>
                <w:lang w:eastAsia="en-GB"/>
              </w:rPr>
            </w:pPr>
            <w:r w:rsidRPr="008152FE">
              <w:rPr>
                <w:rFonts w:ascii="Arial" w:hAnsi="Arial" w:cs="Arial"/>
                <w:lang w:eastAsia="en-GB"/>
              </w:rPr>
              <w:t xml:space="preserve">When it comes to healthcare, value is achieved by improving the results achieved by healthcare services at the same cost of providing them (Porter, 2010). The implementation of a community pharmacy providing blood pressure monitoring services is considered valuable as it can lead to earlier detection of hypertension and decrease the pressure on GP appointments. But the idea isn't just about saving money, it is about improving patient care, population health and employee satisfaction, as well (Porter, 2010). </w:t>
            </w:r>
          </w:p>
          <w:p w14:paraId="654727C2" w14:textId="77777777" w:rsidR="00775BA0" w:rsidRPr="008152FE" w:rsidRDefault="00775BA0" w:rsidP="00027375">
            <w:pPr>
              <w:spacing w:line="360" w:lineRule="auto"/>
              <w:rPr>
                <w:rFonts w:ascii="Arial" w:hAnsi="Arial" w:cs="Arial"/>
                <w:lang w:eastAsia="en-GB"/>
              </w:rPr>
            </w:pPr>
          </w:p>
          <w:p w14:paraId="75CD3968" w14:textId="77777777" w:rsidR="00775BA0" w:rsidRPr="008152FE" w:rsidRDefault="00775BA0" w:rsidP="00027375">
            <w:pPr>
              <w:spacing w:line="360" w:lineRule="auto"/>
              <w:rPr>
                <w:rFonts w:ascii="Arial" w:hAnsi="Arial" w:cs="Arial"/>
                <w:lang w:eastAsia="en-GB"/>
              </w:rPr>
            </w:pPr>
            <w:r w:rsidRPr="008152FE">
              <w:rPr>
                <w:rFonts w:ascii="Arial" w:hAnsi="Arial" w:cs="Arial"/>
                <w:b/>
                <w:bCs/>
                <w:lang w:eastAsia="en-GB"/>
              </w:rPr>
              <w:t>Change</w:t>
            </w:r>
          </w:p>
          <w:p w14:paraId="5D203541" w14:textId="6D14348D" w:rsidR="00775BA0" w:rsidRPr="008152FE" w:rsidRDefault="00775BA0" w:rsidP="00027375">
            <w:pPr>
              <w:spacing w:line="360" w:lineRule="auto"/>
              <w:rPr>
                <w:rFonts w:ascii="Arial" w:hAnsi="Arial" w:cs="Arial"/>
                <w:lang w:eastAsia="en-GB"/>
              </w:rPr>
            </w:pPr>
            <w:r w:rsidRPr="008152FE">
              <w:rPr>
                <w:rFonts w:ascii="Arial" w:hAnsi="Arial" w:cs="Arial"/>
                <w:lang w:eastAsia="en-GB"/>
              </w:rPr>
              <w:t xml:space="preserve">Change in health and social care is the transition from current working practices and methods to better (Burnes, 2004). Lewin's Change Management Model suggests that there are three steps in the model of change: Unfreezing, Moving and </w:t>
            </w:r>
            <w:r w:rsidRPr="008152FE">
              <w:rPr>
                <w:rFonts w:ascii="Arial" w:hAnsi="Arial" w:cs="Arial"/>
                <w:lang w:eastAsia="en-GB"/>
              </w:rPr>
              <w:lastRenderedPageBreak/>
              <w:t xml:space="preserve">Refreezing (Burnes, 2004). </w:t>
            </w:r>
            <w:r w:rsidR="00975667" w:rsidRPr="008152FE">
              <w:rPr>
                <w:rFonts w:ascii="Arial" w:hAnsi="Arial" w:cs="Arial"/>
                <w:lang w:eastAsia="en-GB"/>
              </w:rPr>
              <w:t xml:space="preserve">The EHR migration in NHS trusts illustrates all three stages. </w:t>
            </w:r>
            <w:r w:rsidRPr="008152FE">
              <w:rPr>
                <w:rFonts w:ascii="Arial" w:hAnsi="Arial" w:cs="Arial"/>
                <w:lang w:eastAsia="en-GB"/>
              </w:rPr>
              <w:t>Health and social care needs to change because the needs of patients, the policy requirements, and the technology available is ever changing (NHS England, 2023).</w:t>
            </w:r>
          </w:p>
          <w:p w14:paraId="6DDDF8A9" w14:textId="77777777" w:rsidR="00951159" w:rsidRPr="008152FE" w:rsidRDefault="00951159" w:rsidP="00775BA0">
            <w:pPr>
              <w:rPr>
                <w:rFonts w:ascii="Arial" w:hAnsi="Arial" w:cs="Arial"/>
                <w:lang w:eastAsia="en-GB"/>
              </w:rPr>
            </w:pPr>
          </w:p>
          <w:p w14:paraId="50438493" w14:textId="6AC09BE7" w:rsidR="00114199" w:rsidRPr="008152FE" w:rsidRDefault="00114199" w:rsidP="00775BA0">
            <w:pPr>
              <w:pStyle w:val="NoSpacing"/>
              <w:spacing w:line="360" w:lineRule="auto"/>
              <w:rPr>
                <w:rFonts w:ascii="Arial" w:hAnsi="Arial" w:cs="Arial"/>
                <w:sz w:val="22"/>
                <w:szCs w:val="22"/>
              </w:rPr>
            </w:pPr>
          </w:p>
        </w:tc>
      </w:tr>
      <w:tr w:rsidR="00114199" w:rsidRPr="00D86F06" w14:paraId="79A0BD18" w14:textId="77777777" w:rsidTr="00114199">
        <w:tc>
          <w:tcPr>
            <w:tcW w:w="9016" w:type="dxa"/>
          </w:tcPr>
          <w:p w14:paraId="0E59DCFF" w14:textId="2CACD4F2" w:rsidR="000B1AFC" w:rsidRPr="008152FE" w:rsidRDefault="001D08E9" w:rsidP="001D08E9">
            <w:pPr>
              <w:pStyle w:val="Heading1"/>
              <w:rPr>
                <w:rFonts w:cs="Arial"/>
                <w:lang w:val="en-US"/>
              </w:rPr>
            </w:pPr>
            <w:bookmarkStart w:id="2" w:name="_Toc236176656"/>
            <w:r w:rsidRPr="008152FE">
              <w:rPr>
                <w:rFonts w:cs="Arial"/>
                <w:lang w:val="en-US"/>
              </w:rPr>
              <w:lastRenderedPageBreak/>
              <w:t>TASK 2 - MIND MAP</w:t>
            </w:r>
            <w:bookmarkEnd w:id="2"/>
          </w:p>
          <w:p w14:paraId="78C778DF" w14:textId="51889F5E" w:rsidR="001D08E9" w:rsidRPr="008152FE" w:rsidRDefault="002D1567" w:rsidP="001D08E9">
            <w:pPr>
              <w:rPr>
                <w:rFonts w:ascii="Arial" w:hAnsi="Arial" w:cs="Arial"/>
                <w:lang w:val="en-US" w:eastAsia="en-GB"/>
              </w:rPr>
            </w:pPr>
            <w:r w:rsidRPr="008152FE">
              <w:rPr>
                <w:rFonts w:ascii="Arial" w:hAnsi="Arial" w:cs="Arial"/>
                <w:noProof/>
              </w:rPr>
              <w:drawing>
                <wp:anchor distT="0" distB="0" distL="114300" distR="114300" simplePos="0" relativeHeight="251660288" behindDoc="0" locked="0" layoutInCell="1" allowOverlap="1" wp14:anchorId="0156B0AB" wp14:editId="75C44997">
                  <wp:simplePos x="0" y="0"/>
                  <wp:positionH relativeFrom="margin">
                    <wp:posOffset>-6350</wp:posOffset>
                  </wp:positionH>
                  <wp:positionV relativeFrom="paragraph">
                    <wp:posOffset>190500</wp:posOffset>
                  </wp:positionV>
                  <wp:extent cx="5523230" cy="3712845"/>
                  <wp:effectExtent l="0" t="0" r="1270" b="1905"/>
                  <wp:wrapTopAndBottom/>
                  <wp:docPr id="1077464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3230" cy="3712845"/>
                          </a:xfrm>
                          <a:prstGeom prst="rect">
                            <a:avLst/>
                          </a:prstGeom>
                          <a:noFill/>
                        </pic:spPr>
                      </pic:pic>
                    </a:graphicData>
                  </a:graphic>
                </wp:anchor>
              </w:drawing>
            </w:r>
          </w:p>
          <w:p w14:paraId="038ECC1E" w14:textId="77777777" w:rsidR="00114199" w:rsidRPr="008152FE" w:rsidRDefault="00114199" w:rsidP="00D86F06">
            <w:pPr>
              <w:pStyle w:val="NoSpacing"/>
              <w:spacing w:line="360" w:lineRule="auto"/>
              <w:rPr>
                <w:rFonts w:ascii="Arial" w:hAnsi="Arial" w:cs="Arial"/>
                <w:sz w:val="22"/>
                <w:szCs w:val="22"/>
              </w:rPr>
            </w:pPr>
          </w:p>
          <w:p w14:paraId="135B7486" w14:textId="325EEEAA" w:rsidR="00027375" w:rsidRPr="008152FE" w:rsidRDefault="00027375" w:rsidP="00027375">
            <w:pPr>
              <w:spacing w:line="360" w:lineRule="auto"/>
              <w:rPr>
                <w:rFonts w:ascii="Arial" w:hAnsi="Arial" w:cs="Arial"/>
              </w:rPr>
            </w:pPr>
            <w:r w:rsidRPr="008152FE">
              <w:rPr>
                <w:rFonts w:ascii="Arial" w:hAnsi="Arial" w:cs="Arial"/>
              </w:rPr>
              <w:t xml:space="preserve">Burnout among NHS staff is a systemic issue related to a range of problems with workforce health and wellbeing and patient care (Maslach and Leiter, 2016). The mind map shown above describes burnout in the centre with three sections given to the causes, the impact and solutions. Some of the main reasons are lack of staff, high demands for emotional care and lack of management support. These have knock-on effects like lower quality care, more medical mistakes, and higher staff turnover. A systems thinking perspective acknowledges that these factors are not independent of each other but can impact on each other in the greater care system (Meadows, 2008). Policies and strategies like safe staffing ratios, peer support programmes and leadership training tackle root causes and not just surface symptoms. </w:t>
            </w:r>
          </w:p>
          <w:p w14:paraId="6902103C" w14:textId="77777777" w:rsidR="001D08E9" w:rsidRPr="008152FE" w:rsidRDefault="001D08E9" w:rsidP="00D86F06">
            <w:pPr>
              <w:pStyle w:val="NoSpacing"/>
              <w:spacing w:line="360" w:lineRule="auto"/>
              <w:rPr>
                <w:rFonts w:ascii="Arial" w:hAnsi="Arial" w:cs="Arial"/>
                <w:sz w:val="22"/>
                <w:szCs w:val="22"/>
              </w:rPr>
            </w:pPr>
          </w:p>
          <w:p w14:paraId="1C88FA8E" w14:textId="77777777" w:rsidR="001D08E9" w:rsidRPr="008152FE" w:rsidRDefault="001D08E9" w:rsidP="00D86F06">
            <w:pPr>
              <w:pStyle w:val="NoSpacing"/>
              <w:spacing w:line="360" w:lineRule="auto"/>
              <w:rPr>
                <w:rFonts w:ascii="Arial" w:hAnsi="Arial" w:cs="Arial"/>
                <w:sz w:val="22"/>
                <w:szCs w:val="22"/>
              </w:rPr>
            </w:pPr>
          </w:p>
          <w:p w14:paraId="13A48400" w14:textId="77777777" w:rsidR="001D08E9" w:rsidRPr="008152FE" w:rsidRDefault="001D08E9" w:rsidP="00D86F06">
            <w:pPr>
              <w:pStyle w:val="NoSpacing"/>
              <w:spacing w:line="360" w:lineRule="auto"/>
              <w:rPr>
                <w:rFonts w:ascii="Arial" w:hAnsi="Arial" w:cs="Arial"/>
                <w:sz w:val="22"/>
                <w:szCs w:val="22"/>
              </w:rPr>
            </w:pPr>
          </w:p>
          <w:p w14:paraId="7C202E64" w14:textId="4BE4F1D4" w:rsidR="001D08E9" w:rsidRPr="008152FE" w:rsidRDefault="001D08E9" w:rsidP="00D86F06">
            <w:pPr>
              <w:pStyle w:val="NoSpacing"/>
              <w:spacing w:line="360" w:lineRule="auto"/>
              <w:rPr>
                <w:rFonts w:ascii="Arial" w:hAnsi="Arial" w:cs="Arial"/>
                <w:sz w:val="22"/>
                <w:szCs w:val="22"/>
              </w:rPr>
            </w:pPr>
          </w:p>
        </w:tc>
      </w:tr>
      <w:tr w:rsidR="00114199" w:rsidRPr="00D86F06" w14:paraId="110F7451" w14:textId="77777777" w:rsidTr="00114199">
        <w:tc>
          <w:tcPr>
            <w:tcW w:w="9016" w:type="dxa"/>
          </w:tcPr>
          <w:p w14:paraId="5CD63A79" w14:textId="243637F9" w:rsidR="00B44499" w:rsidRPr="008152FE" w:rsidRDefault="00027375" w:rsidP="00027375">
            <w:pPr>
              <w:pStyle w:val="Heading1"/>
              <w:rPr>
                <w:rFonts w:cs="Arial"/>
                <w:lang w:val="en-US"/>
              </w:rPr>
            </w:pPr>
            <w:bookmarkStart w:id="3" w:name="_Toc236176657"/>
            <w:r w:rsidRPr="008152FE">
              <w:rPr>
                <w:rFonts w:cs="Arial"/>
                <w:lang w:val="en-US"/>
              </w:rPr>
              <w:lastRenderedPageBreak/>
              <w:t>TASK 3 - SELF-REFLECTION OF GROUP ACTIVITY</w:t>
            </w:r>
            <w:bookmarkEnd w:id="3"/>
          </w:p>
          <w:p w14:paraId="1DA28649" w14:textId="77777777" w:rsidR="00027375" w:rsidRPr="008152FE" w:rsidRDefault="00027375" w:rsidP="00027375">
            <w:pPr>
              <w:rPr>
                <w:rFonts w:ascii="Arial" w:hAnsi="Arial" w:cs="Arial"/>
                <w:lang w:val="en-US" w:eastAsia="en-GB"/>
              </w:rPr>
            </w:pPr>
          </w:p>
          <w:p w14:paraId="33249DF9" w14:textId="77777777" w:rsidR="00387219" w:rsidRPr="008152FE" w:rsidRDefault="00387219" w:rsidP="00387219">
            <w:pPr>
              <w:pStyle w:val="NoSpacing"/>
              <w:spacing w:line="360" w:lineRule="auto"/>
              <w:rPr>
                <w:rFonts w:ascii="Arial" w:hAnsi="Arial" w:cs="Arial"/>
                <w:lang w:eastAsia="en-GB"/>
              </w:rPr>
            </w:pPr>
            <w:r w:rsidRPr="008152FE">
              <w:rPr>
                <w:rFonts w:ascii="Arial" w:hAnsi="Arial" w:cs="Arial"/>
                <w:lang w:eastAsia="en-GB"/>
              </w:rPr>
              <w:t xml:space="preserve">With the guidance of Gibbs' (1988) reflective cycle, I reflect on the convergent and divergent thinking class activity. Divergent thinking is the idea of coming up with many ideas but no evaluation, and convergent thinking is the idea of narrowing down your ideas to what is most effective (Guilford, 1967). We were given the problem of reducing waiting time of patients in a community clinic during the activity. </w:t>
            </w:r>
          </w:p>
          <w:p w14:paraId="1ECD3399" w14:textId="77777777" w:rsidR="00387219" w:rsidRPr="008152FE" w:rsidRDefault="00387219" w:rsidP="00387219">
            <w:pPr>
              <w:pStyle w:val="NoSpacing"/>
              <w:spacing w:line="360" w:lineRule="auto"/>
              <w:rPr>
                <w:rFonts w:ascii="Arial" w:hAnsi="Arial" w:cs="Arial"/>
                <w:lang w:eastAsia="en-GB"/>
              </w:rPr>
            </w:pPr>
            <w:r w:rsidRPr="008152FE">
              <w:rPr>
                <w:rFonts w:ascii="Arial" w:hAnsi="Arial" w:cs="Arial"/>
                <w:lang w:eastAsia="en-GB"/>
              </w:rPr>
              <w:t xml:space="preserve">The divergent phase was energising. The discussion was rich and there were lots of great ideas put forward including an idea to have an 'algorithm' or text-based triage system. Convergent phase was the more challenging phase. There was disagreements when choosing the strongest idea and I saw some members of the group not being so actively involved during this stage. </w:t>
            </w:r>
          </w:p>
          <w:p w14:paraId="41414744" w14:textId="00E83085" w:rsidR="00387219" w:rsidRPr="008152FE" w:rsidRDefault="00387219" w:rsidP="00387219">
            <w:pPr>
              <w:pStyle w:val="NoSpacing"/>
              <w:spacing w:line="360" w:lineRule="auto"/>
              <w:rPr>
                <w:rFonts w:ascii="Arial" w:hAnsi="Arial" w:cs="Arial"/>
                <w:lang w:eastAsia="en-GB"/>
              </w:rPr>
            </w:pPr>
            <w:r w:rsidRPr="008152FE">
              <w:rPr>
                <w:rFonts w:ascii="Arial" w:hAnsi="Arial" w:cs="Arial"/>
                <w:lang w:eastAsia="en-GB"/>
              </w:rPr>
              <w:t xml:space="preserve">I found divergent thinking to be more of a natural approach. I was put forward with the idea of creating a pros and cons list when our group was not sure where to go from here and this helped to get the discussion going. </w:t>
            </w:r>
          </w:p>
          <w:p w14:paraId="5AAC451D" w14:textId="669A1264" w:rsidR="00114199" w:rsidRPr="008152FE" w:rsidRDefault="00387219" w:rsidP="00D86F06">
            <w:pPr>
              <w:pStyle w:val="NoSpacing"/>
              <w:spacing w:line="360" w:lineRule="auto"/>
              <w:rPr>
                <w:rFonts w:ascii="Arial" w:hAnsi="Arial" w:cs="Arial"/>
                <w:lang w:eastAsia="en-GB"/>
              </w:rPr>
            </w:pPr>
            <w:r w:rsidRPr="008152FE">
              <w:rPr>
                <w:rFonts w:ascii="Arial" w:hAnsi="Arial" w:cs="Arial"/>
                <w:lang w:eastAsia="en-GB"/>
              </w:rPr>
              <w:t xml:space="preserve">This has made me realize that hands-on instruments are helpful in decisions making within a group, especially when opinions are split. However, for the next time, I would establish clearer time limits for each phase and would go out of my way to encourage quiet participants to speak when it came to the convergent discussion. </w:t>
            </w:r>
          </w:p>
          <w:p w14:paraId="26832AD8" w14:textId="7C7116F0" w:rsidR="00387219" w:rsidRPr="008152FE" w:rsidRDefault="00387219" w:rsidP="00D86F06">
            <w:pPr>
              <w:pStyle w:val="NoSpacing"/>
              <w:spacing w:line="360" w:lineRule="auto"/>
              <w:rPr>
                <w:rFonts w:ascii="Arial" w:hAnsi="Arial" w:cs="Arial"/>
                <w:sz w:val="22"/>
                <w:szCs w:val="22"/>
                <w:lang w:eastAsia="en-GB"/>
              </w:rPr>
            </w:pPr>
          </w:p>
        </w:tc>
      </w:tr>
      <w:tr w:rsidR="00804E06" w:rsidRPr="00D86F06" w14:paraId="7E37D0A5" w14:textId="77777777" w:rsidTr="00114199">
        <w:tc>
          <w:tcPr>
            <w:tcW w:w="9016" w:type="dxa"/>
          </w:tcPr>
          <w:p w14:paraId="310AE88F" w14:textId="3EA7A0E3" w:rsidR="00804E06" w:rsidRPr="008152FE" w:rsidRDefault="00387219" w:rsidP="00387219">
            <w:pPr>
              <w:pStyle w:val="Heading1"/>
              <w:rPr>
                <w:rFonts w:cs="Arial"/>
              </w:rPr>
            </w:pPr>
            <w:bookmarkStart w:id="4" w:name="_Toc236176658"/>
            <w:r w:rsidRPr="008152FE">
              <w:rPr>
                <w:rFonts w:cs="Arial"/>
              </w:rPr>
              <w:lastRenderedPageBreak/>
              <w:t>TASK 4 – CASE STUDY ANALYSIS OF A UK INNOVATION</w:t>
            </w:r>
            <w:bookmarkEnd w:id="4"/>
          </w:p>
          <w:p w14:paraId="7DBABC3B" w14:textId="77777777" w:rsidR="00387219" w:rsidRPr="008152FE" w:rsidRDefault="00387219" w:rsidP="00387219">
            <w:pPr>
              <w:rPr>
                <w:rFonts w:ascii="Arial" w:hAnsi="Arial" w:cs="Arial"/>
                <w:lang w:eastAsia="en-GB"/>
              </w:rPr>
            </w:pPr>
          </w:p>
          <w:p w14:paraId="2B5A3423" w14:textId="77777777" w:rsidR="006C619B" w:rsidRPr="008152FE" w:rsidRDefault="006C619B" w:rsidP="006C619B">
            <w:pPr>
              <w:pStyle w:val="NoSpacing"/>
              <w:spacing w:line="360" w:lineRule="auto"/>
              <w:rPr>
                <w:rFonts w:ascii="Arial" w:hAnsi="Arial" w:cs="Arial"/>
              </w:rPr>
            </w:pPr>
            <w:r w:rsidRPr="008152FE">
              <w:rPr>
                <w:rFonts w:ascii="Arial" w:hAnsi="Arial" w:cs="Arial"/>
              </w:rPr>
              <w:t>NHS virtual wards were developed, as a solution to a specific problem, of admissions to hospital and waiting for hospital beds, especially for frail older patients (Norman, Bennett and Vardy, 2023). These wards enable patients to be monitored and treated at home to the hospital standard, with electronic devices like pulse oximeters, blood pressure machines, and telephoning platforms.</w:t>
            </w:r>
          </w:p>
          <w:p w14:paraId="3E8EFD74" w14:textId="5301B5D1" w:rsidR="006C619B" w:rsidRPr="008152FE" w:rsidRDefault="006C619B" w:rsidP="006C619B">
            <w:pPr>
              <w:pStyle w:val="NoSpacing"/>
              <w:spacing w:line="360" w:lineRule="auto"/>
              <w:rPr>
                <w:rFonts w:ascii="Arial" w:hAnsi="Arial" w:cs="Arial"/>
              </w:rPr>
            </w:pPr>
            <w:r w:rsidRPr="008152FE">
              <w:rPr>
                <w:rFonts w:ascii="Arial" w:hAnsi="Arial" w:cs="Arial"/>
              </w:rPr>
              <w:t>Instead of increasing the size of hospitals, the NHS rethought the location of care. The re-interpretation of the care setting is a creative reconfiguration of the service design and mirrors Rogers' (2003) tenet that innovation is all about reconceptualization so that it is perceived as compatible with existing needs and easy to use.</w:t>
            </w:r>
          </w:p>
          <w:p w14:paraId="0E9E2F36" w14:textId="77777777" w:rsidR="006C619B" w:rsidRPr="008152FE" w:rsidRDefault="006C619B" w:rsidP="006C619B">
            <w:pPr>
              <w:pStyle w:val="NoSpacing"/>
              <w:spacing w:line="360" w:lineRule="auto"/>
              <w:rPr>
                <w:rFonts w:ascii="Arial" w:hAnsi="Arial" w:cs="Arial"/>
              </w:rPr>
            </w:pPr>
            <w:r w:rsidRPr="008152FE">
              <w:rPr>
                <w:rFonts w:ascii="Arial" w:hAnsi="Arial" w:cs="Arial"/>
              </w:rPr>
              <w:t>The value that is created is measurable. One finding is that 2.5 admissions to a virtual ward equate to 1 fewer non-elective hospital admission, a virtual ward evaluation across 29 sites reported (NHS England, 2024). There was no difference between patient mortality and inpatient care, and readmission rates were comparable to or lower than inpatient care (Norman, Bennett and Vardy, 2023). Patient feedback indicated that the majority of patients would recommend the service (NHS England, 2024). More beds are free to treat other more acute patients; the model allows patients to recover at home, while also relieving bed pressure.</w:t>
            </w:r>
          </w:p>
          <w:p w14:paraId="6585E12A" w14:textId="77777777" w:rsidR="006C619B" w:rsidRPr="008152FE" w:rsidRDefault="006C619B" w:rsidP="006C619B">
            <w:pPr>
              <w:pStyle w:val="NoSpacing"/>
              <w:rPr>
                <w:rFonts w:ascii="Arial" w:hAnsi="Arial" w:cs="Arial"/>
                <w:sz w:val="22"/>
                <w:szCs w:val="22"/>
              </w:rPr>
            </w:pPr>
          </w:p>
          <w:p w14:paraId="5BD21409" w14:textId="77777777" w:rsidR="006C619B" w:rsidRPr="008152FE" w:rsidRDefault="006C619B" w:rsidP="006C619B">
            <w:pPr>
              <w:pStyle w:val="NoSpacing"/>
              <w:rPr>
                <w:rFonts w:ascii="Arial" w:hAnsi="Arial" w:cs="Arial"/>
                <w:sz w:val="22"/>
                <w:szCs w:val="22"/>
              </w:rPr>
            </w:pPr>
          </w:p>
          <w:p w14:paraId="0099E7B1" w14:textId="77777777" w:rsidR="00804E06" w:rsidRPr="008152FE" w:rsidRDefault="00804E06" w:rsidP="00D86F06">
            <w:pPr>
              <w:pStyle w:val="NoSpacing"/>
              <w:spacing w:line="360" w:lineRule="auto"/>
              <w:rPr>
                <w:rFonts w:ascii="Arial" w:hAnsi="Arial" w:cs="Arial"/>
                <w:sz w:val="22"/>
                <w:szCs w:val="22"/>
              </w:rPr>
            </w:pPr>
          </w:p>
          <w:p w14:paraId="18EE04B8" w14:textId="5C1E9A95" w:rsidR="006C619B" w:rsidRPr="008152FE" w:rsidRDefault="006C619B" w:rsidP="00D86F06">
            <w:pPr>
              <w:pStyle w:val="NoSpacing"/>
              <w:spacing w:line="360" w:lineRule="auto"/>
              <w:rPr>
                <w:rFonts w:ascii="Arial" w:hAnsi="Arial" w:cs="Arial"/>
                <w:sz w:val="22"/>
                <w:szCs w:val="22"/>
              </w:rPr>
            </w:pPr>
          </w:p>
        </w:tc>
      </w:tr>
      <w:tr w:rsidR="00804E06" w:rsidRPr="00D86F06" w14:paraId="0F49A4AD" w14:textId="77777777" w:rsidTr="00114199">
        <w:tc>
          <w:tcPr>
            <w:tcW w:w="9016" w:type="dxa"/>
          </w:tcPr>
          <w:p w14:paraId="58B2CC10" w14:textId="3ED2391B" w:rsidR="00804E06" w:rsidRPr="008152FE" w:rsidRDefault="006C619B" w:rsidP="006C619B">
            <w:pPr>
              <w:pStyle w:val="Heading1"/>
              <w:rPr>
                <w:rFonts w:cs="Arial"/>
                <w:lang w:val="en-US"/>
              </w:rPr>
            </w:pPr>
            <w:bookmarkStart w:id="5" w:name="_Toc236176659"/>
            <w:r w:rsidRPr="008152FE">
              <w:rPr>
                <w:rFonts w:cs="Arial"/>
                <w:lang w:val="en-US"/>
              </w:rPr>
              <w:lastRenderedPageBreak/>
              <w:t>TASK 5 - RESEARCH TASK</w:t>
            </w:r>
            <w:bookmarkEnd w:id="5"/>
          </w:p>
          <w:p w14:paraId="3EB2AAE7" w14:textId="77777777" w:rsidR="006C619B" w:rsidRPr="008152FE" w:rsidRDefault="006C619B" w:rsidP="006C619B">
            <w:pPr>
              <w:rPr>
                <w:rFonts w:ascii="Arial" w:hAnsi="Arial" w:cs="Arial"/>
                <w:lang w:val="en-US" w:eastAsia="en-GB"/>
              </w:rPr>
            </w:pPr>
          </w:p>
          <w:p w14:paraId="61EDEAD1" w14:textId="77777777" w:rsidR="00693840" w:rsidRPr="008152FE" w:rsidRDefault="00693840" w:rsidP="00693840">
            <w:pPr>
              <w:pStyle w:val="NoSpacing"/>
              <w:spacing w:line="360" w:lineRule="auto"/>
              <w:rPr>
                <w:rFonts w:ascii="Arial" w:hAnsi="Arial" w:cs="Arial"/>
                <w:color w:val="000000"/>
              </w:rPr>
            </w:pPr>
            <w:r w:rsidRPr="008152FE">
              <w:rPr>
                <w:rFonts w:ascii="Arial" w:hAnsi="Arial" w:cs="Arial"/>
                <w:color w:val="000000"/>
              </w:rPr>
              <w:t xml:space="preserve">Two peer reviewed articles were chosen, which both looked at the causes of staff burnout within the healthcare setting. </w:t>
            </w:r>
          </w:p>
          <w:p w14:paraId="7F564DAE" w14:textId="291CA995" w:rsidR="00693840" w:rsidRPr="008152FE" w:rsidRDefault="00276AAC" w:rsidP="00693840">
            <w:pPr>
              <w:pStyle w:val="NoSpacing"/>
              <w:spacing w:line="360" w:lineRule="auto"/>
              <w:rPr>
                <w:rFonts w:ascii="Arial" w:hAnsi="Arial" w:cs="Arial"/>
                <w:color w:val="000000"/>
              </w:rPr>
            </w:pPr>
            <w:r w:rsidRPr="00276AAC">
              <w:rPr>
                <w:rFonts w:ascii="Arial" w:hAnsi="Arial" w:cs="Arial"/>
                <w:color w:val="000000"/>
              </w:rPr>
              <w:t>Hall et al. (2016) found that burnout, specifically emotional exhaustion, was linked to poorer patient safety.</w:t>
            </w:r>
            <w:r>
              <w:rPr>
                <w:rFonts w:ascii="Arial" w:hAnsi="Arial" w:cs="Arial"/>
                <w:color w:val="000000"/>
              </w:rPr>
              <w:t xml:space="preserve"> </w:t>
            </w:r>
            <w:r w:rsidR="00693840" w:rsidRPr="008152FE">
              <w:rPr>
                <w:rFonts w:ascii="Arial" w:hAnsi="Arial" w:cs="Arial"/>
                <w:color w:val="000000"/>
              </w:rPr>
              <w:t xml:space="preserve">They found that burnout, specifically emotional exhaustion, was linked to poorer patient safety measures like increased medication errors, falls and healthcare-associated infections. Excessive workload, lack of staffing and lack of organisational support were all identified as key factors of burnout by the review. Wellbeing of staff are not unrelated to the quality of care (Hall et al., 2016). </w:t>
            </w:r>
          </w:p>
          <w:p w14:paraId="2CEF12C9" w14:textId="77777777" w:rsidR="00693840" w:rsidRPr="008152FE" w:rsidRDefault="00693840" w:rsidP="00693840">
            <w:pPr>
              <w:pStyle w:val="NoSpacing"/>
              <w:spacing w:line="360" w:lineRule="auto"/>
              <w:rPr>
                <w:rFonts w:ascii="Arial" w:hAnsi="Arial" w:cs="Arial"/>
                <w:color w:val="000000"/>
              </w:rPr>
            </w:pPr>
            <w:r w:rsidRPr="008152FE">
              <w:rPr>
                <w:rFonts w:ascii="Arial" w:hAnsi="Arial" w:cs="Arial"/>
                <w:color w:val="000000"/>
              </w:rPr>
              <w:t xml:space="preserve">A theoretical review of burnout in nursing was conducted by </w:t>
            </w:r>
            <w:proofErr w:type="spellStart"/>
            <w:r w:rsidRPr="008152FE">
              <w:rPr>
                <w:rFonts w:ascii="Arial" w:hAnsi="Arial" w:cs="Arial"/>
                <w:color w:val="000000"/>
              </w:rPr>
              <w:t>Dall'Ora</w:t>
            </w:r>
            <w:proofErr w:type="spellEnd"/>
            <w:r w:rsidRPr="008152FE">
              <w:rPr>
                <w:rFonts w:ascii="Arial" w:hAnsi="Arial" w:cs="Arial"/>
                <w:color w:val="000000"/>
              </w:rPr>
              <w:t xml:space="preserve"> et al. (2020) using three theoretical components of burnout: emotional exhaustion, depersonalisation, reduced personal accomplishment per Maslach. They found that organisational-level factors such as shift patterns, nurse-patient ratios, management style affect them more than individual-level factors. This calls into question that burnout is only a personal resilience issue. There is a consensus on the causes of burnout in both articles, which relate to conditions within the system at a workplace, not to the weakness of individuals. </w:t>
            </w:r>
          </w:p>
          <w:p w14:paraId="6AB0652F" w14:textId="26F2FDDC" w:rsidR="00693840" w:rsidRPr="008152FE" w:rsidRDefault="008152FE" w:rsidP="00693840">
            <w:pPr>
              <w:pStyle w:val="NoSpacing"/>
              <w:spacing w:line="360" w:lineRule="auto"/>
              <w:rPr>
                <w:rFonts w:ascii="Arial" w:hAnsi="Arial" w:cs="Arial"/>
                <w:color w:val="000000"/>
              </w:rPr>
            </w:pPr>
            <w:r w:rsidRPr="008152FE">
              <w:rPr>
                <w:rFonts w:ascii="Arial" w:hAnsi="Arial" w:cs="Arial"/>
                <w:color w:val="000000"/>
              </w:rPr>
              <w:t xml:space="preserve">They differ in focus: Hall et al. (2016) on patient safety, </w:t>
            </w:r>
            <w:proofErr w:type="spellStart"/>
            <w:r w:rsidRPr="008152FE">
              <w:rPr>
                <w:rFonts w:ascii="Arial" w:hAnsi="Arial" w:cs="Arial"/>
                <w:color w:val="000000"/>
              </w:rPr>
              <w:t>Dall'Ora</w:t>
            </w:r>
            <w:proofErr w:type="spellEnd"/>
            <w:r w:rsidRPr="008152FE">
              <w:rPr>
                <w:rFonts w:ascii="Arial" w:hAnsi="Arial" w:cs="Arial"/>
                <w:color w:val="000000"/>
              </w:rPr>
              <w:t xml:space="preserve"> et al. (2020) on theoretical underpinning. </w:t>
            </w:r>
          </w:p>
          <w:p w14:paraId="0C26B6CF" w14:textId="77777777" w:rsidR="00693840" w:rsidRPr="008152FE" w:rsidRDefault="00693840" w:rsidP="00693840">
            <w:pPr>
              <w:pStyle w:val="NoSpacing"/>
              <w:rPr>
                <w:rFonts w:ascii="Arial" w:hAnsi="Arial" w:cs="Arial"/>
                <w:color w:val="000000"/>
              </w:rPr>
            </w:pPr>
          </w:p>
          <w:p w14:paraId="443FEAE8" w14:textId="77777777" w:rsidR="00693840" w:rsidRPr="008152FE" w:rsidRDefault="00693840" w:rsidP="00693840">
            <w:pPr>
              <w:pStyle w:val="NoSpacing"/>
              <w:rPr>
                <w:rFonts w:ascii="Arial" w:hAnsi="Arial" w:cs="Arial"/>
                <w:color w:val="000000"/>
              </w:rPr>
            </w:pPr>
          </w:p>
          <w:p w14:paraId="3E4C46EC" w14:textId="2B3BAA0E" w:rsidR="00804E06" w:rsidRPr="008152FE" w:rsidRDefault="00804E06" w:rsidP="00D86F06">
            <w:pPr>
              <w:pStyle w:val="NoSpacing"/>
              <w:spacing w:line="360" w:lineRule="auto"/>
              <w:rPr>
                <w:rFonts w:ascii="Arial" w:hAnsi="Arial" w:cs="Arial"/>
                <w:color w:val="000000"/>
              </w:rPr>
            </w:pPr>
          </w:p>
        </w:tc>
      </w:tr>
      <w:tr w:rsidR="00804E06" w:rsidRPr="00D86F06" w14:paraId="72451D9A" w14:textId="77777777" w:rsidTr="00114199">
        <w:tc>
          <w:tcPr>
            <w:tcW w:w="9016" w:type="dxa"/>
          </w:tcPr>
          <w:p w14:paraId="40DABE4A" w14:textId="08CC656D" w:rsidR="00804E06" w:rsidRPr="008152FE" w:rsidRDefault="00693840" w:rsidP="00693840">
            <w:pPr>
              <w:pStyle w:val="Heading1"/>
              <w:rPr>
                <w:rFonts w:cs="Arial"/>
                <w:lang w:val="en-US"/>
              </w:rPr>
            </w:pPr>
            <w:bookmarkStart w:id="6" w:name="_Toc236176660"/>
            <w:r w:rsidRPr="008152FE">
              <w:rPr>
                <w:rFonts w:cs="Arial"/>
                <w:lang w:val="en-US"/>
              </w:rPr>
              <w:lastRenderedPageBreak/>
              <w:t>TASK 6 - EXPLORING DIGITAL INNOVATION IN HEALTH AND SOCIAL CARE</w:t>
            </w:r>
            <w:bookmarkEnd w:id="6"/>
          </w:p>
          <w:p w14:paraId="5F0E2803" w14:textId="77777777" w:rsidR="00693840" w:rsidRPr="008152FE" w:rsidRDefault="00693840" w:rsidP="00693840">
            <w:pPr>
              <w:rPr>
                <w:rFonts w:ascii="Arial" w:hAnsi="Arial" w:cs="Arial"/>
                <w:lang w:val="en-US" w:eastAsia="en-GB"/>
              </w:rPr>
            </w:pPr>
          </w:p>
          <w:p w14:paraId="7CC8598B" w14:textId="77777777" w:rsidR="00896682" w:rsidRPr="008152FE" w:rsidRDefault="00896682" w:rsidP="00896682">
            <w:pPr>
              <w:pStyle w:val="NoSpacing"/>
              <w:spacing w:line="360" w:lineRule="auto"/>
              <w:rPr>
                <w:rFonts w:ascii="Arial" w:hAnsi="Arial" w:cs="Arial"/>
                <w:i/>
              </w:rPr>
            </w:pPr>
            <w:r w:rsidRPr="008152FE">
              <w:rPr>
                <w:rFonts w:ascii="Arial" w:hAnsi="Arial" w:cs="Arial"/>
                <w:i/>
              </w:rPr>
              <w:t>6a. Wearable Health Technologies</w:t>
            </w:r>
          </w:p>
          <w:p w14:paraId="2D2011A6" w14:textId="77777777" w:rsidR="00896682" w:rsidRPr="008152FE" w:rsidRDefault="00896682" w:rsidP="00896682">
            <w:pPr>
              <w:pStyle w:val="NoSpacing"/>
              <w:spacing w:line="360" w:lineRule="auto"/>
              <w:rPr>
                <w:rFonts w:ascii="Arial" w:hAnsi="Arial" w:cs="Arial"/>
              </w:rPr>
            </w:pPr>
          </w:p>
          <w:p w14:paraId="4251D35D" w14:textId="2DA01B35" w:rsidR="00896682" w:rsidRPr="008152FE" w:rsidRDefault="005A50D0" w:rsidP="00896682">
            <w:pPr>
              <w:pStyle w:val="NoSpacing"/>
              <w:spacing w:line="360" w:lineRule="auto"/>
              <w:rPr>
                <w:rFonts w:ascii="Arial" w:hAnsi="Arial" w:cs="Arial"/>
              </w:rPr>
            </w:pPr>
            <w:r w:rsidRPr="008152FE">
              <w:rPr>
                <w:rFonts w:ascii="Arial" w:hAnsi="Arial" w:cs="Arial"/>
              </w:rPr>
              <w:t xml:space="preserve">Wearable devices like continuous glucose monitors give patients real-time data between appointments. </w:t>
            </w:r>
            <w:r w:rsidR="00896682" w:rsidRPr="008152FE">
              <w:rPr>
                <w:rFonts w:ascii="Arial" w:hAnsi="Arial" w:cs="Arial"/>
              </w:rPr>
              <w:t>One advantage is being able to identify signs of problems outside of the office. Using a CGM, a patient with Type 2 diabetes can get immediate feedback on his or her blood sugar levels to react sooner when self-managing Type 2 diabetes. Kamei et al. (2022) revealed that diabetes patients with wearable devices and educational support had significant reduction in their glucose level and Haemoglobin A1c. In a similar fashion, Shah et al. (2023) detected that wearable interventions led to a rise in the number of steps that patients with chronic obstructive pulmonary disease took each day, along with exercise capacity. One of the obstacles to adoption is that older people and the digitally excluded have major difficulties (De Santis et al., 2023).</w:t>
            </w:r>
          </w:p>
          <w:p w14:paraId="58266A41" w14:textId="77777777" w:rsidR="00896682" w:rsidRPr="008152FE" w:rsidRDefault="00896682" w:rsidP="00896682">
            <w:pPr>
              <w:pStyle w:val="NoSpacing"/>
              <w:spacing w:line="360" w:lineRule="auto"/>
              <w:rPr>
                <w:rFonts w:ascii="Arial" w:hAnsi="Arial" w:cs="Arial"/>
              </w:rPr>
            </w:pPr>
          </w:p>
          <w:p w14:paraId="54C726CA" w14:textId="77777777" w:rsidR="00896682" w:rsidRPr="008152FE" w:rsidRDefault="00896682" w:rsidP="00896682">
            <w:pPr>
              <w:pStyle w:val="NoSpacing"/>
              <w:spacing w:line="360" w:lineRule="auto"/>
              <w:rPr>
                <w:rFonts w:ascii="Arial" w:hAnsi="Arial" w:cs="Arial"/>
                <w:i/>
              </w:rPr>
            </w:pPr>
            <w:r w:rsidRPr="008152FE">
              <w:rPr>
                <w:rFonts w:ascii="Arial" w:hAnsi="Arial" w:cs="Arial"/>
                <w:i/>
              </w:rPr>
              <w:t>6b. Electronic Health Records</w:t>
            </w:r>
          </w:p>
          <w:p w14:paraId="7727F1CA" w14:textId="77777777" w:rsidR="00896682" w:rsidRPr="008152FE" w:rsidRDefault="00896682" w:rsidP="00896682">
            <w:pPr>
              <w:pStyle w:val="NoSpacing"/>
              <w:spacing w:line="360" w:lineRule="auto"/>
              <w:rPr>
                <w:rFonts w:ascii="Arial" w:hAnsi="Arial" w:cs="Arial"/>
              </w:rPr>
            </w:pPr>
          </w:p>
          <w:p w14:paraId="0A97DF06" w14:textId="716C8285" w:rsidR="0094091F" w:rsidRPr="008152FE" w:rsidRDefault="0094091F" w:rsidP="00896682">
            <w:pPr>
              <w:pStyle w:val="NoSpacing"/>
              <w:spacing w:line="360" w:lineRule="auto"/>
              <w:rPr>
                <w:rFonts w:ascii="Arial" w:hAnsi="Arial" w:cs="Arial"/>
              </w:rPr>
            </w:pPr>
            <w:r w:rsidRPr="008152FE">
              <w:rPr>
                <w:rFonts w:ascii="Arial" w:hAnsi="Arial" w:cs="Arial"/>
              </w:rPr>
              <w:t xml:space="preserve">EHRs centralise patient data in a shared digital system </w:t>
            </w:r>
            <w:r w:rsidR="00896682" w:rsidRPr="008152FE">
              <w:rPr>
                <w:rFonts w:ascii="Arial" w:hAnsi="Arial" w:cs="Arial"/>
              </w:rPr>
              <w:t>(Alharbi, 2025). As a patient's care shifts from the primary care provider to a different setting, like the hospital, an EHR enables another health care provider to receive current medications, allergy information and medical history without having to depend on the patient's memory or paper referrals. The systematic review by Alharbi (2025) revealed that the adoption of EHRs had a positive impact on clinical workflow, collaboration among healthcare providers, and the quality of care. EHRs also help to decrease duplication of diagnostic tests. Incorporating alerts and reminders into EHR systems can remind providers when preventive screenings and medication reviews are needed, encouraging proactive care. Interoperability continues to be a challenge. There are often gaps in the flow of information, at the transition of care between EHR systems at different NHS trusts.</w:t>
            </w:r>
          </w:p>
          <w:p w14:paraId="7F558221" w14:textId="77777777" w:rsidR="0094091F" w:rsidRPr="008152FE" w:rsidRDefault="0094091F" w:rsidP="00896682">
            <w:pPr>
              <w:pStyle w:val="NoSpacing"/>
              <w:spacing w:line="360" w:lineRule="auto"/>
              <w:rPr>
                <w:rFonts w:ascii="Arial" w:hAnsi="Arial" w:cs="Arial"/>
              </w:rPr>
            </w:pPr>
          </w:p>
          <w:p w14:paraId="3351A92B" w14:textId="77777777" w:rsidR="0094091F" w:rsidRPr="008152FE" w:rsidRDefault="0094091F" w:rsidP="00896682">
            <w:pPr>
              <w:pStyle w:val="NoSpacing"/>
              <w:spacing w:line="360" w:lineRule="auto"/>
              <w:rPr>
                <w:rFonts w:ascii="Arial" w:hAnsi="Arial" w:cs="Arial"/>
              </w:rPr>
            </w:pPr>
          </w:p>
          <w:p w14:paraId="7B2B04C4" w14:textId="77777777" w:rsidR="0094091F" w:rsidRPr="008152FE" w:rsidRDefault="0094091F" w:rsidP="00896682">
            <w:pPr>
              <w:pStyle w:val="NoSpacing"/>
              <w:spacing w:line="360" w:lineRule="auto"/>
              <w:rPr>
                <w:rFonts w:ascii="Arial" w:hAnsi="Arial" w:cs="Arial"/>
              </w:rPr>
            </w:pPr>
          </w:p>
          <w:p w14:paraId="378E605B" w14:textId="77777777" w:rsidR="0094091F" w:rsidRPr="008152FE" w:rsidRDefault="0094091F" w:rsidP="00896682">
            <w:pPr>
              <w:pStyle w:val="NoSpacing"/>
              <w:spacing w:line="360" w:lineRule="auto"/>
              <w:rPr>
                <w:rFonts w:ascii="Arial" w:hAnsi="Arial" w:cs="Arial"/>
              </w:rPr>
            </w:pPr>
          </w:p>
          <w:p w14:paraId="567661F4" w14:textId="77777777" w:rsidR="00896682" w:rsidRPr="008152FE" w:rsidRDefault="00896682" w:rsidP="00896682">
            <w:pPr>
              <w:pStyle w:val="NoSpacing"/>
              <w:spacing w:line="360" w:lineRule="auto"/>
              <w:rPr>
                <w:rFonts w:ascii="Arial" w:hAnsi="Arial" w:cs="Arial"/>
                <w:i/>
              </w:rPr>
            </w:pPr>
            <w:r w:rsidRPr="008152FE">
              <w:rPr>
                <w:rFonts w:ascii="Arial" w:hAnsi="Arial" w:cs="Arial"/>
                <w:i/>
              </w:rPr>
              <w:lastRenderedPageBreak/>
              <w:t>6c. Digital Technology for Preventative Care</w:t>
            </w:r>
          </w:p>
          <w:p w14:paraId="1698A4A3" w14:textId="77777777" w:rsidR="00896682" w:rsidRPr="008152FE" w:rsidRDefault="00896682" w:rsidP="00896682">
            <w:pPr>
              <w:pStyle w:val="NoSpacing"/>
              <w:spacing w:line="360" w:lineRule="auto"/>
              <w:rPr>
                <w:rFonts w:ascii="Arial" w:hAnsi="Arial" w:cs="Arial"/>
              </w:rPr>
            </w:pPr>
          </w:p>
          <w:p w14:paraId="78F0B044" w14:textId="30871C6B" w:rsidR="00896682" w:rsidRPr="008152FE" w:rsidRDefault="00896682" w:rsidP="00896682">
            <w:pPr>
              <w:pStyle w:val="NoSpacing"/>
              <w:spacing w:line="360" w:lineRule="auto"/>
              <w:rPr>
                <w:rFonts w:ascii="Arial" w:hAnsi="Arial" w:cs="Arial"/>
              </w:rPr>
            </w:pPr>
            <w:r w:rsidRPr="008152FE">
              <w:rPr>
                <w:rFonts w:ascii="Arial" w:hAnsi="Arial" w:cs="Arial"/>
              </w:rPr>
              <w:t xml:space="preserve">Digital technology can help to achieve preventative care, as it allows to identify health threats at an early stage and encourage behavioural changes to avoid the deterioration of the situation (De Santis et al., 2023). The shift from reactive to preventative service model is provided through the app, which gives the results of tests, reminders about appointments and health messages. Digital interventions for physical activity promotion are found to be effective, especially when paired with individualised goal setting in primary care (De Santis et al., 2023). </w:t>
            </w:r>
            <w:proofErr w:type="spellStart"/>
            <w:r w:rsidRPr="008152FE">
              <w:rPr>
                <w:rFonts w:ascii="Arial" w:hAnsi="Arial" w:cs="Arial"/>
              </w:rPr>
              <w:t>Davis'</w:t>
            </w:r>
            <w:proofErr w:type="spellEnd"/>
            <w:r w:rsidRPr="008152FE">
              <w:rPr>
                <w:rFonts w:ascii="Arial" w:hAnsi="Arial" w:cs="Arial"/>
              </w:rPr>
              <w:t xml:space="preserve"> (1989) Technology Acceptance Model is still holding: digital prevention tools are effective if they are accessible and personally helpful to the user. One of the main problems is digital exclusion and the lack of access of older people and those who are most deprived from an economic point of view to digital solutions to prevent.</w:t>
            </w:r>
          </w:p>
          <w:p w14:paraId="173F4BA1" w14:textId="77777777" w:rsidR="00804E06" w:rsidRPr="008152FE" w:rsidRDefault="00804E06" w:rsidP="00896682">
            <w:pPr>
              <w:pStyle w:val="NoSpacing"/>
              <w:spacing w:line="360" w:lineRule="auto"/>
              <w:rPr>
                <w:rFonts w:ascii="Arial" w:hAnsi="Arial" w:cs="Arial"/>
              </w:rPr>
            </w:pPr>
          </w:p>
        </w:tc>
      </w:tr>
      <w:tr w:rsidR="00804E06" w:rsidRPr="00D86F06" w14:paraId="31688848" w14:textId="77777777" w:rsidTr="00114199">
        <w:tc>
          <w:tcPr>
            <w:tcW w:w="9016" w:type="dxa"/>
          </w:tcPr>
          <w:p w14:paraId="7E1EF607" w14:textId="48F86C30" w:rsidR="00804E06" w:rsidRPr="008152FE" w:rsidRDefault="00896682" w:rsidP="00896682">
            <w:pPr>
              <w:pStyle w:val="Heading1"/>
              <w:rPr>
                <w:rFonts w:cs="Arial"/>
                <w:lang w:val="en-US"/>
              </w:rPr>
            </w:pPr>
            <w:bookmarkStart w:id="7" w:name="_Toc236176661"/>
            <w:r w:rsidRPr="008152FE">
              <w:rPr>
                <w:rFonts w:cs="Arial"/>
                <w:lang w:val="en-US"/>
              </w:rPr>
              <w:lastRenderedPageBreak/>
              <w:t>TASK 7 - UNDERSTANDING THE NHS LEADERSHIP FRAMEWORK</w:t>
            </w:r>
            <w:bookmarkEnd w:id="7"/>
          </w:p>
          <w:p w14:paraId="30EFCA4B" w14:textId="77777777" w:rsidR="00896682" w:rsidRPr="008152FE" w:rsidRDefault="00896682" w:rsidP="00896682">
            <w:pPr>
              <w:rPr>
                <w:rFonts w:ascii="Arial" w:hAnsi="Arial" w:cs="Arial"/>
                <w:lang w:val="en-US" w:eastAsia="en-GB"/>
              </w:rPr>
            </w:pPr>
          </w:p>
          <w:p w14:paraId="07728951" w14:textId="77777777" w:rsidR="00C56006" w:rsidRPr="008152FE" w:rsidRDefault="00C56006" w:rsidP="00C56006">
            <w:pPr>
              <w:pStyle w:val="NoSpacing"/>
              <w:spacing w:line="360" w:lineRule="auto"/>
              <w:rPr>
                <w:rFonts w:ascii="Arial" w:hAnsi="Arial" w:cs="Arial"/>
                <w:i/>
              </w:rPr>
            </w:pPr>
            <w:r w:rsidRPr="008152FE">
              <w:rPr>
                <w:rFonts w:ascii="Arial" w:hAnsi="Arial" w:cs="Arial"/>
                <w:i/>
              </w:rPr>
              <w:t>7a. Summary of the NHS Leadership Framework</w:t>
            </w:r>
          </w:p>
          <w:p w14:paraId="500A9EAC" w14:textId="77777777" w:rsidR="00C56006" w:rsidRPr="008152FE" w:rsidRDefault="00C56006" w:rsidP="00C56006">
            <w:pPr>
              <w:pStyle w:val="NoSpacing"/>
              <w:spacing w:line="360" w:lineRule="auto"/>
              <w:rPr>
                <w:rFonts w:ascii="Arial" w:hAnsi="Arial" w:cs="Arial"/>
              </w:rPr>
            </w:pPr>
          </w:p>
          <w:p w14:paraId="427619CE" w14:textId="396ABAE6" w:rsidR="00C56006" w:rsidRPr="008152FE" w:rsidRDefault="00C56006" w:rsidP="00C56006">
            <w:pPr>
              <w:pStyle w:val="NoSpacing"/>
              <w:spacing w:line="360" w:lineRule="auto"/>
              <w:rPr>
                <w:rFonts w:ascii="Arial" w:hAnsi="Arial" w:cs="Arial"/>
              </w:rPr>
            </w:pPr>
            <w:r w:rsidRPr="008152FE">
              <w:rPr>
                <w:rFonts w:ascii="Arial" w:hAnsi="Arial" w:cs="Arial"/>
              </w:rPr>
              <w:t>The NHS Leadership Framework is an outline of seven domains outlining the leadership behaviours that should be displayed at all levels of the Health Service (NHS Leadership Academy, 2011). All staff have five core domains: showcasing personal qualities, collaborating with others, directing services, enhancing services and managing services. There are two further domains which relate to senior leaders in particular: creating the vision and delivering the strategy. Each domain includes four elements, and they are each written up as behavioural descriptors (NHS Leadership Academy, 2011). It is important because the quality of leadership in healthcare is linked to patient outcomes, staff retention and the culture of the healthcare organisation (West, Eckert, Collins and Chowla, 2017)</w:t>
            </w:r>
            <w:r w:rsidR="00C64F59">
              <w:rPr>
                <w:rFonts w:ascii="Arial" w:hAnsi="Arial" w:cs="Arial"/>
              </w:rPr>
              <w:t>.</w:t>
            </w:r>
          </w:p>
          <w:p w14:paraId="47C8CE33" w14:textId="77777777" w:rsidR="00C56006" w:rsidRPr="008152FE" w:rsidRDefault="00C56006" w:rsidP="00C56006">
            <w:pPr>
              <w:pStyle w:val="NoSpacing"/>
              <w:spacing w:line="360" w:lineRule="auto"/>
              <w:rPr>
                <w:rFonts w:ascii="Arial" w:hAnsi="Arial" w:cs="Arial"/>
              </w:rPr>
            </w:pPr>
          </w:p>
          <w:p w14:paraId="7D9B569C" w14:textId="77777777" w:rsidR="00C56006" w:rsidRPr="008152FE" w:rsidRDefault="00C56006" w:rsidP="00C56006">
            <w:pPr>
              <w:pStyle w:val="NoSpacing"/>
              <w:spacing w:line="360" w:lineRule="auto"/>
              <w:rPr>
                <w:rFonts w:ascii="Arial" w:hAnsi="Arial" w:cs="Arial"/>
                <w:i/>
              </w:rPr>
            </w:pPr>
            <w:r w:rsidRPr="008152FE">
              <w:rPr>
                <w:rFonts w:ascii="Arial" w:hAnsi="Arial" w:cs="Arial"/>
                <w:i/>
              </w:rPr>
              <w:t>7b. Applying a Leadership Behaviour to Encourage Creativity</w:t>
            </w:r>
          </w:p>
          <w:p w14:paraId="4B56A7F1" w14:textId="77777777" w:rsidR="00C56006" w:rsidRPr="008152FE" w:rsidRDefault="00C56006" w:rsidP="00C56006">
            <w:pPr>
              <w:pStyle w:val="NoSpacing"/>
              <w:spacing w:line="360" w:lineRule="auto"/>
              <w:rPr>
                <w:rFonts w:ascii="Arial" w:hAnsi="Arial" w:cs="Arial"/>
              </w:rPr>
            </w:pPr>
          </w:p>
          <w:p w14:paraId="788AB784" w14:textId="0660FC01" w:rsidR="00C56006" w:rsidRPr="008152FE" w:rsidRDefault="00C56006" w:rsidP="00C56006">
            <w:pPr>
              <w:pStyle w:val="NoSpacing"/>
              <w:spacing w:line="360" w:lineRule="auto"/>
              <w:rPr>
                <w:rFonts w:ascii="Arial" w:hAnsi="Arial" w:cs="Arial"/>
              </w:rPr>
            </w:pPr>
            <w:r w:rsidRPr="008152FE">
              <w:rPr>
                <w:rFonts w:ascii="Arial" w:hAnsi="Arial" w:cs="Arial"/>
              </w:rPr>
              <w:t>One of the leadership areas that directly impact creativity in healthcare practices is improving services. The leader working in this domain seeks to challenge conventions, try new ways of working and review results using measurable criteria (NHS Leadership Academy, 2011). A manager for a ward who launches a scheme for suggestions to enhance discharges made by staff provides opportunities for frontline creativity. Bass and Avolio's (1994) theory of transformational leadership can be used to validate this. Such behaviour enhances the provision of care by keeping services flexible to the needs of their users and not locked in to outdated practices.</w:t>
            </w:r>
          </w:p>
          <w:p w14:paraId="41DDB6DC" w14:textId="77777777" w:rsidR="00C56006" w:rsidRPr="008152FE" w:rsidRDefault="00C56006" w:rsidP="00C56006">
            <w:pPr>
              <w:pStyle w:val="NoSpacing"/>
              <w:spacing w:line="360" w:lineRule="auto"/>
              <w:rPr>
                <w:rFonts w:ascii="Arial" w:hAnsi="Arial" w:cs="Arial"/>
              </w:rPr>
            </w:pPr>
          </w:p>
          <w:p w14:paraId="69FDEF4B" w14:textId="77777777" w:rsidR="00C56006" w:rsidRPr="008152FE" w:rsidRDefault="00C56006" w:rsidP="00C56006">
            <w:pPr>
              <w:pStyle w:val="NoSpacing"/>
              <w:spacing w:line="360" w:lineRule="auto"/>
              <w:rPr>
                <w:rFonts w:ascii="Arial" w:hAnsi="Arial" w:cs="Arial"/>
                <w:i/>
              </w:rPr>
            </w:pPr>
            <w:r w:rsidRPr="008152FE">
              <w:rPr>
                <w:rFonts w:ascii="Arial" w:hAnsi="Arial" w:cs="Arial"/>
                <w:i/>
              </w:rPr>
              <w:t>7c. Reflective Entry on Module Learning</w:t>
            </w:r>
          </w:p>
          <w:p w14:paraId="4DD20A01" w14:textId="77777777" w:rsidR="00C56006" w:rsidRPr="008152FE" w:rsidRDefault="00C56006" w:rsidP="00C56006">
            <w:pPr>
              <w:pStyle w:val="NoSpacing"/>
              <w:spacing w:line="360" w:lineRule="auto"/>
              <w:rPr>
                <w:rFonts w:ascii="Arial" w:hAnsi="Arial" w:cs="Arial"/>
              </w:rPr>
            </w:pPr>
          </w:p>
          <w:p w14:paraId="0DD6A893" w14:textId="51B060E5" w:rsidR="00C56006" w:rsidRPr="008152FE" w:rsidRDefault="00C56006" w:rsidP="00C56006">
            <w:pPr>
              <w:pStyle w:val="NoSpacing"/>
              <w:spacing w:line="360" w:lineRule="auto"/>
              <w:rPr>
                <w:rFonts w:ascii="Arial" w:hAnsi="Arial" w:cs="Arial"/>
              </w:rPr>
            </w:pPr>
            <w:r w:rsidRPr="008152FE">
              <w:rPr>
                <w:rFonts w:ascii="Arial" w:hAnsi="Arial" w:cs="Arial"/>
              </w:rPr>
              <w:t xml:space="preserve">I have had the opportunity to consider my thinking about who are leaders in health and social care through the course of the NHS Leadership Framework. Prior to this module, I saw leadership as being a role that is limited to Senior Management. This challenged the assumption of the framework, which put emphasis on leadership at all levels. It was a different way of thinking because I saw there were some </w:t>
            </w:r>
            <w:r w:rsidRPr="008152FE">
              <w:rPr>
                <w:rFonts w:ascii="Arial" w:hAnsi="Arial" w:cs="Arial"/>
              </w:rPr>
              <w:lastRenderedPageBreak/>
              <w:t>leadership behaviours in my practice, especially in group situations where I helped to facilitate meetings and discussions and helped to settle conflicts. The following information will influence my practice. I am going to take a leadership stance not for a status but for demonstrating leadership every day through my professional conduct.</w:t>
            </w:r>
          </w:p>
          <w:p w14:paraId="0810CC19" w14:textId="77777777" w:rsidR="00804E06" w:rsidRPr="008152FE" w:rsidRDefault="00804E06" w:rsidP="00D86F06">
            <w:pPr>
              <w:pStyle w:val="NoSpacing"/>
              <w:spacing w:line="360" w:lineRule="auto"/>
              <w:rPr>
                <w:rFonts w:ascii="Arial" w:hAnsi="Arial" w:cs="Arial"/>
                <w:sz w:val="20"/>
                <w:szCs w:val="20"/>
              </w:rPr>
            </w:pPr>
          </w:p>
          <w:p w14:paraId="608D8D09" w14:textId="45957E4E" w:rsidR="00C56006" w:rsidRPr="008152FE" w:rsidRDefault="00C56006" w:rsidP="00D86F06">
            <w:pPr>
              <w:pStyle w:val="NoSpacing"/>
              <w:spacing w:line="360" w:lineRule="auto"/>
              <w:rPr>
                <w:rFonts w:ascii="Arial" w:hAnsi="Arial" w:cs="Arial"/>
                <w:sz w:val="20"/>
                <w:szCs w:val="20"/>
              </w:rPr>
            </w:pPr>
          </w:p>
        </w:tc>
      </w:tr>
      <w:tr w:rsidR="00D46920" w:rsidRPr="00D86F06" w14:paraId="0D64A0E9" w14:textId="77777777" w:rsidTr="00114199">
        <w:tc>
          <w:tcPr>
            <w:tcW w:w="9016" w:type="dxa"/>
          </w:tcPr>
          <w:p w14:paraId="687DCE3A" w14:textId="2CBF2B57" w:rsidR="00D46920" w:rsidRPr="008152FE" w:rsidRDefault="00C56006" w:rsidP="00C56006">
            <w:pPr>
              <w:pStyle w:val="Heading1"/>
              <w:rPr>
                <w:rFonts w:cs="Arial"/>
              </w:rPr>
            </w:pPr>
            <w:bookmarkStart w:id="8" w:name="_Toc236176662"/>
            <w:r w:rsidRPr="008152FE">
              <w:rPr>
                <w:rFonts w:cs="Arial"/>
              </w:rPr>
              <w:lastRenderedPageBreak/>
              <w:t>TASK 8 – SELF-REFLECTION JOURNAL ENTRY</w:t>
            </w:r>
            <w:bookmarkEnd w:id="8"/>
          </w:p>
          <w:p w14:paraId="25A49A5D" w14:textId="77777777" w:rsidR="00C56006" w:rsidRPr="008152FE" w:rsidRDefault="00C56006" w:rsidP="00C56006">
            <w:pPr>
              <w:rPr>
                <w:rFonts w:ascii="Arial" w:hAnsi="Arial" w:cs="Arial"/>
                <w:lang w:eastAsia="en-GB"/>
              </w:rPr>
            </w:pPr>
          </w:p>
          <w:p w14:paraId="019E4195" w14:textId="5453CD24" w:rsidR="00602DF0" w:rsidRPr="008152FE" w:rsidRDefault="00602DF0" w:rsidP="00602DF0">
            <w:pPr>
              <w:pStyle w:val="NoSpacing"/>
              <w:spacing w:line="360" w:lineRule="auto"/>
              <w:rPr>
                <w:rFonts w:ascii="Arial" w:hAnsi="Arial" w:cs="Arial"/>
              </w:rPr>
            </w:pPr>
            <w:r w:rsidRPr="008152FE">
              <w:rPr>
                <w:rFonts w:ascii="Arial" w:hAnsi="Arial" w:cs="Arial"/>
              </w:rPr>
              <w:t xml:space="preserve">I looked at creativity as being "art" and only having to do with healthcare when I began this module. This opinion was very much transformed by the tasks and module discussions. Task 1 enabled me to learn what creativity is and how it relates to problem-solving as outlined by Amabile (1996). In Task 4, the virtual wards case study was a great insight into creativity being used at a system level as well as at the level of individual practice. Task 3 was the convergent and divergent thinking activity which I felt was a real eye opener in recognising my leaning towards coming up with ideas rather then evaluating them was an area of development. I believe in the idea of value creation (Porter, 2010) which will remain with me for professional practice. When considering any proposed change, the question is often whether or not the returns to the change are worth the expense of the change. </w:t>
            </w:r>
            <w:r w:rsidR="008152FE" w:rsidRPr="008152FE">
              <w:rPr>
                <w:rFonts w:ascii="Arial" w:hAnsi="Arial" w:cs="Arial"/>
              </w:rPr>
              <w:t>Using Kolb's (1984) experiential learning cycle,</w:t>
            </w:r>
            <w:r w:rsidR="00C64F59">
              <w:rPr>
                <w:rFonts w:ascii="Arial" w:hAnsi="Arial" w:cs="Arial"/>
              </w:rPr>
              <w:t xml:space="preserve"> </w:t>
            </w:r>
            <w:r w:rsidRPr="008152FE">
              <w:rPr>
                <w:rFonts w:ascii="Arial" w:hAnsi="Arial" w:cs="Arial"/>
              </w:rPr>
              <w:t>I will take this reflective learning strategy with me in future placement experiences, specifically when looking at projects that can enhance the service.</w:t>
            </w:r>
          </w:p>
          <w:p w14:paraId="0B2A35D2" w14:textId="77777777" w:rsidR="00D46920" w:rsidRPr="008152FE" w:rsidRDefault="00D46920" w:rsidP="00D86F06">
            <w:pPr>
              <w:pStyle w:val="NoSpacing"/>
              <w:spacing w:line="360" w:lineRule="auto"/>
              <w:rPr>
                <w:rFonts w:ascii="Arial" w:hAnsi="Arial" w:cs="Arial"/>
                <w:sz w:val="22"/>
                <w:szCs w:val="22"/>
              </w:rPr>
            </w:pPr>
          </w:p>
          <w:p w14:paraId="02047F8F" w14:textId="77777777" w:rsidR="00602DF0" w:rsidRPr="008152FE" w:rsidRDefault="00602DF0" w:rsidP="00D86F06">
            <w:pPr>
              <w:pStyle w:val="NoSpacing"/>
              <w:spacing w:line="360" w:lineRule="auto"/>
              <w:rPr>
                <w:rFonts w:ascii="Arial" w:hAnsi="Arial" w:cs="Arial"/>
                <w:sz w:val="22"/>
                <w:szCs w:val="22"/>
              </w:rPr>
            </w:pPr>
          </w:p>
          <w:p w14:paraId="39981EEC" w14:textId="77777777" w:rsidR="00602DF0" w:rsidRPr="008152FE" w:rsidRDefault="00602DF0" w:rsidP="00D86F06">
            <w:pPr>
              <w:pStyle w:val="NoSpacing"/>
              <w:spacing w:line="360" w:lineRule="auto"/>
              <w:rPr>
                <w:rFonts w:ascii="Arial" w:hAnsi="Arial" w:cs="Arial"/>
                <w:sz w:val="22"/>
                <w:szCs w:val="22"/>
              </w:rPr>
            </w:pPr>
          </w:p>
          <w:p w14:paraId="090AE8BF" w14:textId="77777777" w:rsidR="00DD0F65" w:rsidRPr="008152FE" w:rsidRDefault="00DD0F65" w:rsidP="00D86F06">
            <w:pPr>
              <w:pStyle w:val="NoSpacing"/>
              <w:spacing w:line="360" w:lineRule="auto"/>
              <w:rPr>
                <w:rFonts w:ascii="Arial" w:hAnsi="Arial" w:cs="Arial"/>
                <w:sz w:val="22"/>
                <w:szCs w:val="22"/>
              </w:rPr>
            </w:pPr>
          </w:p>
          <w:p w14:paraId="5AD2FAD8" w14:textId="77777777" w:rsidR="00DD0F65" w:rsidRPr="008152FE" w:rsidRDefault="00DD0F65" w:rsidP="00D86F06">
            <w:pPr>
              <w:pStyle w:val="NoSpacing"/>
              <w:spacing w:line="360" w:lineRule="auto"/>
              <w:rPr>
                <w:rFonts w:ascii="Arial" w:hAnsi="Arial" w:cs="Arial"/>
                <w:sz w:val="22"/>
                <w:szCs w:val="22"/>
              </w:rPr>
            </w:pPr>
          </w:p>
          <w:p w14:paraId="49843C12" w14:textId="77777777" w:rsidR="00DD0F65" w:rsidRPr="008152FE" w:rsidRDefault="00DD0F65" w:rsidP="00D86F06">
            <w:pPr>
              <w:pStyle w:val="NoSpacing"/>
              <w:spacing w:line="360" w:lineRule="auto"/>
              <w:rPr>
                <w:rFonts w:ascii="Arial" w:hAnsi="Arial" w:cs="Arial"/>
                <w:sz w:val="22"/>
                <w:szCs w:val="22"/>
              </w:rPr>
            </w:pPr>
          </w:p>
          <w:p w14:paraId="5DADBBA1" w14:textId="77777777" w:rsidR="00DD0F65" w:rsidRPr="008152FE" w:rsidRDefault="00DD0F65" w:rsidP="00D86F06">
            <w:pPr>
              <w:pStyle w:val="NoSpacing"/>
              <w:spacing w:line="360" w:lineRule="auto"/>
              <w:rPr>
                <w:rFonts w:ascii="Arial" w:hAnsi="Arial" w:cs="Arial"/>
                <w:sz w:val="22"/>
                <w:szCs w:val="22"/>
              </w:rPr>
            </w:pPr>
          </w:p>
          <w:p w14:paraId="4DE0E1BC" w14:textId="77777777" w:rsidR="00DD0F65" w:rsidRPr="008152FE" w:rsidRDefault="00DD0F65" w:rsidP="00D86F06">
            <w:pPr>
              <w:pStyle w:val="NoSpacing"/>
              <w:spacing w:line="360" w:lineRule="auto"/>
              <w:rPr>
                <w:rFonts w:ascii="Arial" w:hAnsi="Arial" w:cs="Arial"/>
                <w:sz w:val="22"/>
                <w:szCs w:val="22"/>
              </w:rPr>
            </w:pPr>
          </w:p>
          <w:p w14:paraId="19F56E1D" w14:textId="77777777" w:rsidR="00DD0F65" w:rsidRPr="008152FE" w:rsidRDefault="00DD0F65" w:rsidP="00D86F06">
            <w:pPr>
              <w:pStyle w:val="NoSpacing"/>
              <w:spacing w:line="360" w:lineRule="auto"/>
              <w:rPr>
                <w:rFonts w:ascii="Arial" w:hAnsi="Arial" w:cs="Arial"/>
                <w:sz w:val="22"/>
                <w:szCs w:val="22"/>
              </w:rPr>
            </w:pPr>
          </w:p>
          <w:p w14:paraId="213D18BE" w14:textId="77777777" w:rsidR="00DD0F65" w:rsidRPr="008152FE" w:rsidRDefault="00DD0F65" w:rsidP="00D86F06">
            <w:pPr>
              <w:pStyle w:val="NoSpacing"/>
              <w:spacing w:line="360" w:lineRule="auto"/>
              <w:rPr>
                <w:rFonts w:ascii="Arial" w:hAnsi="Arial" w:cs="Arial"/>
                <w:sz w:val="22"/>
                <w:szCs w:val="22"/>
              </w:rPr>
            </w:pPr>
          </w:p>
          <w:p w14:paraId="33A2B946" w14:textId="77777777" w:rsidR="00DD0F65" w:rsidRPr="008152FE" w:rsidRDefault="00DD0F65" w:rsidP="00D86F06">
            <w:pPr>
              <w:pStyle w:val="NoSpacing"/>
              <w:spacing w:line="360" w:lineRule="auto"/>
              <w:rPr>
                <w:rFonts w:ascii="Arial" w:hAnsi="Arial" w:cs="Arial"/>
                <w:sz w:val="22"/>
                <w:szCs w:val="22"/>
              </w:rPr>
            </w:pPr>
          </w:p>
          <w:p w14:paraId="1BC8DC47" w14:textId="77777777" w:rsidR="00DD0F65" w:rsidRPr="008152FE" w:rsidRDefault="00DD0F65" w:rsidP="00D86F06">
            <w:pPr>
              <w:pStyle w:val="NoSpacing"/>
              <w:spacing w:line="360" w:lineRule="auto"/>
              <w:rPr>
                <w:rFonts w:ascii="Arial" w:hAnsi="Arial" w:cs="Arial"/>
                <w:sz w:val="22"/>
                <w:szCs w:val="22"/>
              </w:rPr>
            </w:pPr>
          </w:p>
          <w:p w14:paraId="2BB5DC0C" w14:textId="77777777" w:rsidR="00DD0F65" w:rsidRPr="008152FE" w:rsidRDefault="00DD0F65" w:rsidP="00D86F06">
            <w:pPr>
              <w:pStyle w:val="NoSpacing"/>
              <w:spacing w:line="360" w:lineRule="auto"/>
              <w:rPr>
                <w:rFonts w:ascii="Arial" w:hAnsi="Arial" w:cs="Arial"/>
                <w:sz w:val="22"/>
                <w:szCs w:val="22"/>
              </w:rPr>
            </w:pPr>
          </w:p>
          <w:p w14:paraId="5174EBE9" w14:textId="77777777" w:rsidR="00DD0F65" w:rsidRPr="008152FE" w:rsidRDefault="00DD0F65" w:rsidP="00D86F06">
            <w:pPr>
              <w:pStyle w:val="NoSpacing"/>
              <w:spacing w:line="360" w:lineRule="auto"/>
              <w:rPr>
                <w:rFonts w:ascii="Arial" w:hAnsi="Arial" w:cs="Arial"/>
                <w:sz w:val="22"/>
                <w:szCs w:val="22"/>
              </w:rPr>
            </w:pPr>
          </w:p>
          <w:p w14:paraId="2F920A10" w14:textId="77777777" w:rsidR="00DD0F65" w:rsidRPr="008152FE" w:rsidRDefault="00DD0F65" w:rsidP="00D86F06">
            <w:pPr>
              <w:pStyle w:val="NoSpacing"/>
              <w:spacing w:line="360" w:lineRule="auto"/>
              <w:rPr>
                <w:rFonts w:ascii="Arial" w:hAnsi="Arial" w:cs="Arial"/>
                <w:sz w:val="22"/>
                <w:szCs w:val="22"/>
              </w:rPr>
            </w:pPr>
          </w:p>
          <w:p w14:paraId="52216BD7" w14:textId="77777777" w:rsidR="00DD0F65" w:rsidRPr="008152FE" w:rsidRDefault="00DD0F65" w:rsidP="00D86F06">
            <w:pPr>
              <w:pStyle w:val="NoSpacing"/>
              <w:spacing w:line="360" w:lineRule="auto"/>
              <w:rPr>
                <w:rFonts w:ascii="Arial" w:hAnsi="Arial" w:cs="Arial"/>
                <w:sz w:val="22"/>
                <w:szCs w:val="22"/>
              </w:rPr>
            </w:pPr>
          </w:p>
          <w:p w14:paraId="2EE11EBA" w14:textId="7AB5B533" w:rsidR="00DD0F65" w:rsidRPr="008152FE" w:rsidRDefault="00DD0F65" w:rsidP="00D86F06">
            <w:pPr>
              <w:pStyle w:val="NoSpacing"/>
              <w:spacing w:line="360" w:lineRule="auto"/>
              <w:rPr>
                <w:rFonts w:ascii="Arial" w:hAnsi="Arial" w:cs="Arial"/>
                <w:sz w:val="22"/>
                <w:szCs w:val="22"/>
              </w:rPr>
            </w:pPr>
          </w:p>
        </w:tc>
      </w:tr>
      <w:tr w:rsidR="00804E06" w:rsidRPr="00D86F06" w14:paraId="64F1A1BF" w14:textId="77777777" w:rsidTr="00114199">
        <w:tc>
          <w:tcPr>
            <w:tcW w:w="9016" w:type="dxa"/>
          </w:tcPr>
          <w:p w14:paraId="7A6DF201" w14:textId="77777777" w:rsidR="00602DF0" w:rsidRDefault="00602DF0" w:rsidP="00602DF0">
            <w:pPr>
              <w:pStyle w:val="Heading1"/>
              <w:rPr>
                <w:lang w:val="en-US"/>
              </w:rPr>
            </w:pPr>
            <w:bookmarkStart w:id="9" w:name="_Toc236176663"/>
            <w:r>
              <w:rPr>
                <w:lang w:val="en-US"/>
              </w:rPr>
              <w:lastRenderedPageBreak/>
              <w:t>REFERENCES</w:t>
            </w:r>
            <w:bookmarkEnd w:id="9"/>
          </w:p>
          <w:p w14:paraId="0F78583D" w14:textId="77777777" w:rsidR="00602DF0" w:rsidRDefault="00602DF0" w:rsidP="00602DF0">
            <w:pPr>
              <w:rPr>
                <w:lang w:val="en-US" w:eastAsia="en-GB"/>
              </w:rPr>
            </w:pPr>
          </w:p>
          <w:p w14:paraId="16DDD316"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Alharbi, M.F. (2025) ‘Does electronic health record implementation enhance hospital efficiency and patient outcomes? A comprehensive systematic review’, SAGE Open, 15(1). </w:t>
            </w:r>
            <w:proofErr w:type="spellStart"/>
            <w:r w:rsidRPr="00DD0F65">
              <w:rPr>
                <w:rFonts w:ascii="Arial" w:hAnsi="Arial" w:cs="Arial"/>
                <w:lang w:eastAsia="en-GB"/>
              </w:rPr>
              <w:t>doi</w:t>
            </w:r>
            <w:proofErr w:type="spellEnd"/>
            <w:r w:rsidRPr="00DD0F65">
              <w:rPr>
                <w:rFonts w:ascii="Arial" w:hAnsi="Arial" w:cs="Arial"/>
                <w:lang w:eastAsia="en-GB"/>
              </w:rPr>
              <w:t>: 10.1177/21582440251359791.</w:t>
            </w:r>
          </w:p>
          <w:p w14:paraId="56F7ABF0"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Alomar, D., </w:t>
            </w:r>
            <w:proofErr w:type="spellStart"/>
            <w:r w:rsidRPr="00DD0F65">
              <w:rPr>
                <w:rFonts w:ascii="Arial" w:hAnsi="Arial" w:cs="Arial"/>
                <w:lang w:eastAsia="en-GB"/>
              </w:rPr>
              <w:t>Almashmoum</w:t>
            </w:r>
            <w:proofErr w:type="spellEnd"/>
            <w:r w:rsidRPr="00DD0F65">
              <w:rPr>
                <w:rFonts w:ascii="Arial" w:hAnsi="Arial" w:cs="Arial"/>
                <w:lang w:eastAsia="en-GB"/>
              </w:rPr>
              <w:t xml:space="preserve">, M., Eleftheriou, I., Whelan, P. and Ainsworth, J. (2024) ‘The impact of patient access to electronic health records on health care engagement: systematic review’, Journal of Medical Internet Research, 26, e56473. </w:t>
            </w:r>
            <w:proofErr w:type="spellStart"/>
            <w:r w:rsidRPr="00DD0F65">
              <w:rPr>
                <w:rFonts w:ascii="Arial" w:hAnsi="Arial" w:cs="Arial"/>
                <w:lang w:eastAsia="en-GB"/>
              </w:rPr>
              <w:t>doi</w:t>
            </w:r>
            <w:proofErr w:type="spellEnd"/>
            <w:r w:rsidRPr="00DD0F65">
              <w:rPr>
                <w:rFonts w:ascii="Arial" w:hAnsi="Arial" w:cs="Arial"/>
                <w:lang w:eastAsia="en-GB"/>
              </w:rPr>
              <w:t>: 10.2196/56473.</w:t>
            </w:r>
          </w:p>
          <w:p w14:paraId="768BF1D2"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Amabile, T.M. (1996) Creativity in context. Boulder: Westview Press.</w:t>
            </w:r>
          </w:p>
          <w:p w14:paraId="71C90B1C"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Bass, B.M. and Avolio, B.J. (1994) Improving organizational effectiveness through transformational leadership. Thousand Oaks: Sage.</w:t>
            </w:r>
          </w:p>
          <w:p w14:paraId="48BC1AE5"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Burnes, B. (2004) ‘Kurt Lewin and the planned approach to change: a re-appraisal’, Journal of Management Studies, 41(6), pp. 977-1002.</w:t>
            </w:r>
          </w:p>
          <w:p w14:paraId="7360A86B" w14:textId="77777777" w:rsidR="00DD0F65" w:rsidRPr="00DD0F65" w:rsidRDefault="00DD0F65" w:rsidP="00DD0F65">
            <w:pPr>
              <w:spacing w:line="360" w:lineRule="auto"/>
              <w:rPr>
                <w:rFonts w:ascii="Arial" w:hAnsi="Arial" w:cs="Arial"/>
                <w:lang w:eastAsia="en-GB"/>
              </w:rPr>
            </w:pPr>
            <w:proofErr w:type="spellStart"/>
            <w:r w:rsidRPr="00DD0F65">
              <w:rPr>
                <w:rFonts w:ascii="Arial" w:hAnsi="Arial" w:cs="Arial"/>
                <w:lang w:eastAsia="en-GB"/>
              </w:rPr>
              <w:t>Dall’Ora</w:t>
            </w:r>
            <w:proofErr w:type="spellEnd"/>
            <w:r w:rsidRPr="00DD0F65">
              <w:rPr>
                <w:rFonts w:ascii="Arial" w:hAnsi="Arial" w:cs="Arial"/>
                <w:lang w:eastAsia="en-GB"/>
              </w:rPr>
              <w:t xml:space="preserve">, C., Ball, J., </w:t>
            </w:r>
            <w:proofErr w:type="spellStart"/>
            <w:r w:rsidRPr="00DD0F65">
              <w:rPr>
                <w:rFonts w:ascii="Arial" w:hAnsi="Arial" w:cs="Arial"/>
                <w:lang w:eastAsia="en-GB"/>
              </w:rPr>
              <w:t>Reinius</w:t>
            </w:r>
            <w:proofErr w:type="spellEnd"/>
            <w:r w:rsidRPr="00DD0F65">
              <w:rPr>
                <w:rFonts w:ascii="Arial" w:hAnsi="Arial" w:cs="Arial"/>
                <w:lang w:eastAsia="en-GB"/>
              </w:rPr>
              <w:t xml:space="preserve">, M. and Griffiths, P. (2020) ‘Burnout in nursing: a theoretical review’, Human Resources for Health, 18, 41. </w:t>
            </w:r>
            <w:proofErr w:type="spellStart"/>
            <w:r w:rsidRPr="00DD0F65">
              <w:rPr>
                <w:rFonts w:ascii="Arial" w:hAnsi="Arial" w:cs="Arial"/>
                <w:lang w:eastAsia="en-GB"/>
              </w:rPr>
              <w:t>doi</w:t>
            </w:r>
            <w:proofErr w:type="spellEnd"/>
            <w:r w:rsidRPr="00DD0F65">
              <w:rPr>
                <w:rFonts w:ascii="Arial" w:hAnsi="Arial" w:cs="Arial"/>
                <w:lang w:eastAsia="en-GB"/>
              </w:rPr>
              <w:t>: 10.1186/s12960-020-00469-9.</w:t>
            </w:r>
          </w:p>
          <w:p w14:paraId="5E29F9EB"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Davis, F.D. (1989) ‘Perceived usefulness, perceived ease of use, and user acceptance of information technology’, MIS Quarterly, 13(3), pp. 381-411.</w:t>
            </w:r>
          </w:p>
          <w:p w14:paraId="0B659FB0"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De Santis, K.K., Mergenthal, L., Christianson, L., </w:t>
            </w:r>
            <w:proofErr w:type="spellStart"/>
            <w:r w:rsidRPr="00DD0F65">
              <w:rPr>
                <w:rFonts w:ascii="Arial" w:hAnsi="Arial" w:cs="Arial"/>
                <w:lang w:eastAsia="en-GB"/>
              </w:rPr>
              <w:t>Busskamp</w:t>
            </w:r>
            <w:proofErr w:type="spellEnd"/>
            <w:r w:rsidRPr="00DD0F65">
              <w:rPr>
                <w:rFonts w:ascii="Arial" w:hAnsi="Arial" w:cs="Arial"/>
                <w:lang w:eastAsia="en-GB"/>
              </w:rPr>
              <w:t xml:space="preserve">, A., Vonstein, C. and Zeeb, H. (2023) ‘Digital technologies for health promotion and disease prevention in older people: scoping review’, Journal of Medical Internet Research, 25, e43542. </w:t>
            </w:r>
            <w:proofErr w:type="spellStart"/>
            <w:r w:rsidRPr="00DD0F65">
              <w:rPr>
                <w:rFonts w:ascii="Arial" w:hAnsi="Arial" w:cs="Arial"/>
                <w:lang w:eastAsia="en-GB"/>
              </w:rPr>
              <w:t>doi</w:t>
            </w:r>
            <w:proofErr w:type="spellEnd"/>
            <w:r w:rsidRPr="00DD0F65">
              <w:rPr>
                <w:rFonts w:ascii="Arial" w:hAnsi="Arial" w:cs="Arial"/>
                <w:lang w:eastAsia="en-GB"/>
              </w:rPr>
              <w:t>: 10.2196/43542.</w:t>
            </w:r>
          </w:p>
          <w:p w14:paraId="54ABEB51"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Gibbs, G. (1988) Learning by doing: a guide to teaching and learning methods. Oxford: Oxford Polytechnic.</w:t>
            </w:r>
          </w:p>
          <w:p w14:paraId="626F6E19"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Guilford, J.P. (1967) The nature of human intelligence. New York: McGraw-Hill.</w:t>
            </w:r>
          </w:p>
          <w:p w14:paraId="67DF8F98"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Hall, L.H., Johnson, J., Watt, I., </w:t>
            </w:r>
            <w:proofErr w:type="spellStart"/>
            <w:r w:rsidRPr="00DD0F65">
              <w:rPr>
                <w:rFonts w:ascii="Arial" w:hAnsi="Arial" w:cs="Arial"/>
                <w:lang w:eastAsia="en-GB"/>
              </w:rPr>
              <w:t>Tsipa</w:t>
            </w:r>
            <w:proofErr w:type="spellEnd"/>
            <w:r w:rsidRPr="00DD0F65">
              <w:rPr>
                <w:rFonts w:ascii="Arial" w:hAnsi="Arial" w:cs="Arial"/>
                <w:lang w:eastAsia="en-GB"/>
              </w:rPr>
              <w:t xml:space="preserve">, A. and O’Connor, D.B. (2016) ‘Healthcare staff wellbeing, burnout, and patient safety: a systematic review’, </w:t>
            </w:r>
            <w:proofErr w:type="spellStart"/>
            <w:r w:rsidRPr="00DD0F65">
              <w:rPr>
                <w:rFonts w:ascii="Arial" w:hAnsi="Arial" w:cs="Arial"/>
                <w:lang w:eastAsia="en-GB"/>
              </w:rPr>
              <w:t>PLoS</w:t>
            </w:r>
            <w:proofErr w:type="spellEnd"/>
            <w:r w:rsidRPr="00DD0F65">
              <w:rPr>
                <w:rFonts w:ascii="Arial" w:hAnsi="Arial" w:cs="Arial"/>
                <w:lang w:eastAsia="en-GB"/>
              </w:rPr>
              <w:t xml:space="preserve"> One, 11(7), e0159015. </w:t>
            </w:r>
            <w:proofErr w:type="spellStart"/>
            <w:r w:rsidRPr="00DD0F65">
              <w:rPr>
                <w:rFonts w:ascii="Arial" w:hAnsi="Arial" w:cs="Arial"/>
                <w:lang w:eastAsia="en-GB"/>
              </w:rPr>
              <w:t>doi</w:t>
            </w:r>
            <w:proofErr w:type="spellEnd"/>
            <w:r w:rsidRPr="00DD0F65">
              <w:rPr>
                <w:rFonts w:ascii="Arial" w:hAnsi="Arial" w:cs="Arial"/>
                <w:lang w:eastAsia="en-GB"/>
              </w:rPr>
              <w:t>: 10.1371/journal.pone.0159015.</w:t>
            </w:r>
          </w:p>
          <w:p w14:paraId="0694A43F"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Kamei, T., Kanamori, T., Yamamoto, Y. and </w:t>
            </w:r>
            <w:proofErr w:type="spellStart"/>
            <w:r w:rsidRPr="00DD0F65">
              <w:rPr>
                <w:rFonts w:ascii="Arial" w:hAnsi="Arial" w:cs="Arial"/>
                <w:lang w:eastAsia="en-GB"/>
              </w:rPr>
              <w:t>Edirippulige</w:t>
            </w:r>
            <w:proofErr w:type="spellEnd"/>
            <w:r w:rsidRPr="00DD0F65">
              <w:rPr>
                <w:rFonts w:ascii="Arial" w:hAnsi="Arial" w:cs="Arial"/>
                <w:lang w:eastAsia="en-GB"/>
              </w:rPr>
              <w:t xml:space="preserve">, S. (2022) ‘The use of wearable devices in chronic disease management to enhance adherence and improve telehealth outcomes: a systematic review and meta-analysis’, Journal of Telemedicine and Telecare, 28(5), pp. 342-359. </w:t>
            </w:r>
            <w:proofErr w:type="spellStart"/>
            <w:r w:rsidRPr="00DD0F65">
              <w:rPr>
                <w:rFonts w:ascii="Arial" w:hAnsi="Arial" w:cs="Arial"/>
                <w:lang w:eastAsia="en-GB"/>
              </w:rPr>
              <w:t>doi</w:t>
            </w:r>
            <w:proofErr w:type="spellEnd"/>
            <w:r w:rsidRPr="00DD0F65">
              <w:rPr>
                <w:rFonts w:ascii="Arial" w:hAnsi="Arial" w:cs="Arial"/>
                <w:lang w:eastAsia="en-GB"/>
              </w:rPr>
              <w:t>: 10.1177/1357633X20937573.</w:t>
            </w:r>
          </w:p>
          <w:p w14:paraId="0F6DB931"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lastRenderedPageBreak/>
              <w:t>Kolb, D.A. (1984) Experiential learning: experience as the source of learning and development. Englewood Cliffs: Prentice-Hall.</w:t>
            </w:r>
          </w:p>
          <w:p w14:paraId="7F663808"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Maslach, C. and Leiter, M.P. (2016) ‘Understanding the burnout experience: recent research and its implications for psychiatry’, World Psychiatry, 15(2), pp. 103-111. </w:t>
            </w:r>
            <w:proofErr w:type="spellStart"/>
            <w:r w:rsidRPr="00DD0F65">
              <w:rPr>
                <w:rFonts w:ascii="Arial" w:hAnsi="Arial" w:cs="Arial"/>
                <w:lang w:eastAsia="en-GB"/>
              </w:rPr>
              <w:t>doi</w:t>
            </w:r>
            <w:proofErr w:type="spellEnd"/>
            <w:r w:rsidRPr="00DD0F65">
              <w:rPr>
                <w:rFonts w:ascii="Arial" w:hAnsi="Arial" w:cs="Arial"/>
                <w:lang w:eastAsia="en-GB"/>
              </w:rPr>
              <w:t>: 10.1002/wps.20311.</w:t>
            </w:r>
          </w:p>
          <w:p w14:paraId="0F8083B2"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Meadows, D.H. (2008) Thinking in systems: a primer. White River Junction: Chelsea Green Publishing.</w:t>
            </w:r>
          </w:p>
          <w:p w14:paraId="5048EFA5"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NHS England (2023) NHS Long Term Workforce Plan. London: NHS England.</w:t>
            </w:r>
          </w:p>
          <w:p w14:paraId="191E7EAF"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NHS England (2024) NHS Leadership Competency Framework for Board Members. London: NHS England. Available at: https://www.england.nhs.uk/long-read/nhs-leadership-competency-framework-for-board-members/ (Accessed: 28 July 2026).</w:t>
            </w:r>
          </w:p>
          <w:p w14:paraId="41EECF13"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NHS England (2024) Virtual wards operational framework. London: NHS England. Available at: https://www.england.nhs.uk/long-read/virtual-wards-operational-framework/ (Accessed: 28 July 2026).</w:t>
            </w:r>
          </w:p>
          <w:p w14:paraId="018ADB08"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NHS Leadership Academy (2011) NHS Leadership Framework. Leeds: NHS Leadership Academy.</w:t>
            </w:r>
          </w:p>
          <w:p w14:paraId="47016E30"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Norman, G., Bennett, P. and Vardy, E.R.L.C. (2023) ‘Virtual wards: a rapid evidence synthesis and implications for the care of older people’, Age and Ageing, 52(1), afac319. </w:t>
            </w:r>
            <w:proofErr w:type="spellStart"/>
            <w:r w:rsidRPr="00DD0F65">
              <w:rPr>
                <w:rFonts w:ascii="Arial" w:hAnsi="Arial" w:cs="Arial"/>
                <w:lang w:eastAsia="en-GB"/>
              </w:rPr>
              <w:t>doi</w:t>
            </w:r>
            <w:proofErr w:type="spellEnd"/>
            <w:r w:rsidRPr="00DD0F65">
              <w:rPr>
                <w:rFonts w:ascii="Arial" w:hAnsi="Arial" w:cs="Arial"/>
                <w:lang w:eastAsia="en-GB"/>
              </w:rPr>
              <w:t>: 10.1093/ageing/afac319.</w:t>
            </w:r>
          </w:p>
          <w:p w14:paraId="1CED0EB1"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Porter, M.E. (2010) ‘What is value in health care?’, New England Journal of Medicine, 363(26), pp. 2477-2485. </w:t>
            </w:r>
            <w:proofErr w:type="spellStart"/>
            <w:r w:rsidRPr="00DD0F65">
              <w:rPr>
                <w:rFonts w:ascii="Arial" w:hAnsi="Arial" w:cs="Arial"/>
                <w:lang w:eastAsia="en-GB"/>
              </w:rPr>
              <w:t>doi</w:t>
            </w:r>
            <w:proofErr w:type="spellEnd"/>
            <w:r w:rsidRPr="00DD0F65">
              <w:rPr>
                <w:rFonts w:ascii="Arial" w:hAnsi="Arial" w:cs="Arial"/>
                <w:lang w:eastAsia="en-GB"/>
              </w:rPr>
              <w:t>: 10.1056/NEJMp1011024.</w:t>
            </w:r>
          </w:p>
          <w:p w14:paraId="4D5966C7"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Rogers, E.M. (2003) Diffusion of innovations. 5th </w:t>
            </w:r>
            <w:proofErr w:type="spellStart"/>
            <w:r w:rsidRPr="00DD0F65">
              <w:rPr>
                <w:rFonts w:ascii="Arial" w:hAnsi="Arial" w:cs="Arial"/>
                <w:lang w:eastAsia="en-GB"/>
              </w:rPr>
              <w:t>edn</w:t>
            </w:r>
            <w:proofErr w:type="spellEnd"/>
            <w:r w:rsidRPr="00DD0F65">
              <w:rPr>
                <w:rFonts w:ascii="Arial" w:hAnsi="Arial" w:cs="Arial"/>
                <w:lang w:eastAsia="en-GB"/>
              </w:rPr>
              <w:t>. New York: Free Press.</w:t>
            </w:r>
          </w:p>
          <w:p w14:paraId="79C8CF42"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 xml:space="preserve">Shah, A.J., </w:t>
            </w:r>
            <w:proofErr w:type="spellStart"/>
            <w:r w:rsidRPr="00DD0F65">
              <w:rPr>
                <w:rFonts w:ascii="Arial" w:hAnsi="Arial" w:cs="Arial"/>
                <w:lang w:eastAsia="en-GB"/>
              </w:rPr>
              <w:t>Althobiani</w:t>
            </w:r>
            <w:proofErr w:type="spellEnd"/>
            <w:r w:rsidRPr="00DD0F65">
              <w:rPr>
                <w:rFonts w:ascii="Arial" w:hAnsi="Arial" w:cs="Arial"/>
                <w:lang w:eastAsia="en-GB"/>
              </w:rPr>
              <w:t xml:space="preserve">, M.A., Saigal, A., Ogbonnaya, C.E., Hurst, J.R. and Mandal, S. (2023) ‘Wearable technology interventions in patients with chronic obstructive pulmonary disease: a systematic review and meta-analysis’, </w:t>
            </w:r>
            <w:proofErr w:type="spellStart"/>
            <w:r w:rsidRPr="00DD0F65">
              <w:rPr>
                <w:rFonts w:ascii="Arial" w:hAnsi="Arial" w:cs="Arial"/>
                <w:lang w:eastAsia="en-GB"/>
              </w:rPr>
              <w:t>npj</w:t>
            </w:r>
            <w:proofErr w:type="spellEnd"/>
            <w:r w:rsidRPr="00DD0F65">
              <w:rPr>
                <w:rFonts w:ascii="Arial" w:hAnsi="Arial" w:cs="Arial"/>
                <w:lang w:eastAsia="en-GB"/>
              </w:rPr>
              <w:t xml:space="preserve"> Digital Medicine, 6, 211. </w:t>
            </w:r>
            <w:proofErr w:type="spellStart"/>
            <w:r w:rsidRPr="00DD0F65">
              <w:rPr>
                <w:rFonts w:ascii="Arial" w:hAnsi="Arial" w:cs="Arial"/>
                <w:lang w:eastAsia="en-GB"/>
              </w:rPr>
              <w:t>doi</w:t>
            </w:r>
            <w:proofErr w:type="spellEnd"/>
            <w:r w:rsidRPr="00DD0F65">
              <w:rPr>
                <w:rFonts w:ascii="Arial" w:hAnsi="Arial" w:cs="Arial"/>
                <w:lang w:eastAsia="en-GB"/>
              </w:rPr>
              <w:t>: 10.1038/s41746-023-00962-0.</w:t>
            </w:r>
          </w:p>
          <w:p w14:paraId="27C4178E" w14:textId="77777777" w:rsidR="00DD0F65" w:rsidRPr="00DD0F65" w:rsidRDefault="00DD0F65" w:rsidP="00DD0F65">
            <w:pPr>
              <w:spacing w:line="360" w:lineRule="auto"/>
              <w:rPr>
                <w:rFonts w:ascii="Arial" w:hAnsi="Arial" w:cs="Arial"/>
                <w:lang w:eastAsia="en-GB"/>
              </w:rPr>
            </w:pPr>
            <w:r w:rsidRPr="00DD0F65">
              <w:rPr>
                <w:rFonts w:ascii="Arial" w:hAnsi="Arial" w:cs="Arial"/>
                <w:lang w:eastAsia="en-GB"/>
              </w:rPr>
              <w:t>West, M., Eckert, R., Collins, B. and Chowla, R. (2017) Caring to change: how compassionate leadership can stimulate innovation in health care. London: The King’s Fund.</w:t>
            </w:r>
          </w:p>
          <w:p w14:paraId="12410F38" w14:textId="714B6308" w:rsidR="00DD0F65" w:rsidRPr="00602DF0" w:rsidRDefault="00DD0F65" w:rsidP="00602DF0">
            <w:pPr>
              <w:rPr>
                <w:lang w:val="en-US" w:eastAsia="en-GB"/>
              </w:rPr>
            </w:pPr>
          </w:p>
        </w:tc>
      </w:tr>
    </w:tbl>
    <w:p w14:paraId="6D5E4ED4" w14:textId="77777777" w:rsidR="00114199" w:rsidRPr="00D86F06" w:rsidRDefault="00114199" w:rsidP="00D86F06">
      <w:pPr>
        <w:jc w:val="center"/>
        <w:rPr>
          <w:rFonts w:ascii="Arial" w:hAnsi="Arial" w:cs="Arial"/>
          <w:b/>
          <w:bCs/>
          <w:sz w:val="32"/>
          <w:szCs w:val="32"/>
        </w:rPr>
      </w:pPr>
    </w:p>
    <w:p w14:paraId="6E58D427" w14:textId="77777777" w:rsidR="00114199" w:rsidRPr="00D86F06" w:rsidRDefault="00114199" w:rsidP="00D86F06">
      <w:pPr>
        <w:rPr>
          <w:rFonts w:ascii="Arial" w:hAnsi="Arial" w:cs="Arial"/>
        </w:rPr>
      </w:pPr>
    </w:p>
    <w:sectPr w:rsidR="00114199" w:rsidRPr="00D86F06" w:rsidSect="00DD0F6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73DD1" w14:textId="77777777" w:rsidR="006B2CED" w:rsidRDefault="006B2CED" w:rsidP="00DD0F65">
      <w:pPr>
        <w:spacing w:line="240" w:lineRule="auto"/>
      </w:pPr>
      <w:r>
        <w:separator/>
      </w:r>
    </w:p>
  </w:endnote>
  <w:endnote w:type="continuationSeparator" w:id="0">
    <w:p w14:paraId="1871AAB8" w14:textId="77777777" w:rsidR="006B2CED" w:rsidRDefault="006B2CED" w:rsidP="00DD0F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466295"/>
      <w:docPartObj>
        <w:docPartGallery w:val="Page Numbers (Bottom of Page)"/>
        <w:docPartUnique/>
      </w:docPartObj>
    </w:sdtPr>
    <w:sdtContent>
      <w:p w14:paraId="4A479184" w14:textId="5E945958" w:rsidR="00DD0F65" w:rsidRDefault="00DD0F65">
        <w:pPr>
          <w:pStyle w:val="Footer"/>
          <w:jc w:val="right"/>
        </w:pPr>
        <w:r>
          <w:fldChar w:fldCharType="begin"/>
        </w:r>
        <w:r>
          <w:instrText>PAGE   \* MERGEFORMAT</w:instrText>
        </w:r>
        <w:r>
          <w:fldChar w:fldCharType="separate"/>
        </w:r>
        <w:r>
          <w:t>2</w:t>
        </w:r>
        <w:r>
          <w:fldChar w:fldCharType="end"/>
        </w:r>
      </w:p>
    </w:sdtContent>
  </w:sdt>
  <w:p w14:paraId="1FF2F030" w14:textId="77777777" w:rsidR="00DD0F65" w:rsidRDefault="00DD0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CBE4D7" w14:textId="77777777" w:rsidR="006B2CED" w:rsidRDefault="006B2CED" w:rsidP="00DD0F65">
      <w:pPr>
        <w:spacing w:line="240" w:lineRule="auto"/>
      </w:pPr>
      <w:r>
        <w:separator/>
      </w:r>
    </w:p>
  </w:footnote>
  <w:footnote w:type="continuationSeparator" w:id="0">
    <w:p w14:paraId="0738C0D8" w14:textId="77777777" w:rsidR="006B2CED" w:rsidRDefault="006B2CED" w:rsidP="00DD0F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27375"/>
    <w:rsid w:val="000812B9"/>
    <w:rsid w:val="00084FF7"/>
    <w:rsid w:val="000B1AFC"/>
    <w:rsid w:val="00114199"/>
    <w:rsid w:val="001D08E9"/>
    <w:rsid w:val="00200CAE"/>
    <w:rsid w:val="0021415C"/>
    <w:rsid w:val="00276AAC"/>
    <w:rsid w:val="002D1567"/>
    <w:rsid w:val="002E2BF5"/>
    <w:rsid w:val="00354D64"/>
    <w:rsid w:val="00387219"/>
    <w:rsid w:val="00474CEF"/>
    <w:rsid w:val="005A50D0"/>
    <w:rsid w:val="005C28E8"/>
    <w:rsid w:val="005D0B9E"/>
    <w:rsid w:val="00602DF0"/>
    <w:rsid w:val="00693840"/>
    <w:rsid w:val="006B2CED"/>
    <w:rsid w:val="006C619B"/>
    <w:rsid w:val="007472D0"/>
    <w:rsid w:val="00775BA0"/>
    <w:rsid w:val="0080054E"/>
    <w:rsid w:val="00804E06"/>
    <w:rsid w:val="008152FE"/>
    <w:rsid w:val="008357C0"/>
    <w:rsid w:val="008614E9"/>
    <w:rsid w:val="00895004"/>
    <w:rsid w:val="00896682"/>
    <w:rsid w:val="0094091F"/>
    <w:rsid w:val="00951159"/>
    <w:rsid w:val="00975667"/>
    <w:rsid w:val="009D641D"/>
    <w:rsid w:val="00A77B0A"/>
    <w:rsid w:val="00B118D5"/>
    <w:rsid w:val="00B44499"/>
    <w:rsid w:val="00BF1C5F"/>
    <w:rsid w:val="00BF3FC8"/>
    <w:rsid w:val="00C56006"/>
    <w:rsid w:val="00C64F59"/>
    <w:rsid w:val="00C75F29"/>
    <w:rsid w:val="00D46920"/>
    <w:rsid w:val="00D86F06"/>
    <w:rsid w:val="00D91AC4"/>
    <w:rsid w:val="00DD0F65"/>
    <w:rsid w:val="00E831D8"/>
    <w:rsid w:val="00ED0CCF"/>
    <w:rsid w:val="00F3330D"/>
    <w:rsid w:val="00F65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autoRedefine/>
    <w:uiPriority w:val="9"/>
    <w:qFormat/>
    <w:rsid w:val="00951159"/>
    <w:pPr>
      <w:keepNext/>
      <w:keepLines/>
      <w:outlineLvl w:val="0"/>
    </w:pPr>
    <w:rPr>
      <w:rFonts w:ascii="Arial" w:eastAsiaTheme="majorEastAsia" w:hAnsi="Arial" w:cstheme="majorBidi"/>
      <w:b/>
      <w:bCs/>
      <w:color w:val="0F4761" w:themeColor="accent1" w:themeShade="BF"/>
      <w:szCs w:val="40"/>
      <w:lang w:eastAsia="en-GB"/>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159"/>
    <w:rPr>
      <w:rFonts w:ascii="Arial" w:eastAsiaTheme="majorEastAsia" w:hAnsi="Arial" w:cstheme="majorBidi"/>
      <w:b/>
      <w:bCs/>
      <w:color w:val="0F4761" w:themeColor="accent1" w:themeShade="BF"/>
      <w:szCs w:val="40"/>
      <w:lang w:eastAsia="en-GB"/>
      <w14:ligatures w14:val="none"/>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DD0F65"/>
    <w:pPr>
      <w:tabs>
        <w:tab w:val="center" w:pos="4536"/>
        <w:tab w:val="right" w:pos="9072"/>
      </w:tabs>
      <w:spacing w:line="240" w:lineRule="auto"/>
    </w:pPr>
  </w:style>
  <w:style w:type="character" w:customStyle="1" w:styleId="HeaderChar">
    <w:name w:val="Header Char"/>
    <w:basedOn w:val="DefaultParagraphFont"/>
    <w:link w:val="Header"/>
    <w:uiPriority w:val="99"/>
    <w:rsid w:val="00DD0F65"/>
    <w:rPr>
      <w:rFonts w:ascii="Aptos" w:eastAsia="Aptos" w:hAnsi="Aptos" w:cs="Times New Roman"/>
      <w14:ligatures w14:val="none"/>
    </w:rPr>
  </w:style>
  <w:style w:type="paragraph" w:styleId="Footer">
    <w:name w:val="footer"/>
    <w:basedOn w:val="Normal"/>
    <w:link w:val="FooterChar"/>
    <w:uiPriority w:val="99"/>
    <w:unhideWhenUsed/>
    <w:rsid w:val="00DD0F65"/>
    <w:pPr>
      <w:tabs>
        <w:tab w:val="center" w:pos="4536"/>
        <w:tab w:val="right" w:pos="9072"/>
      </w:tabs>
      <w:spacing w:line="240" w:lineRule="auto"/>
    </w:pPr>
  </w:style>
  <w:style w:type="character" w:customStyle="1" w:styleId="FooterChar">
    <w:name w:val="Footer Char"/>
    <w:basedOn w:val="DefaultParagraphFont"/>
    <w:link w:val="Footer"/>
    <w:uiPriority w:val="99"/>
    <w:rsid w:val="00DD0F65"/>
    <w:rPr>
      <w:rFonts w:ascii="Aptos" w:eastAsia="Aptos" w:hAnsi="Aptos" w:cs="Times New Roman"/>
      <w14:ligatures w14:val="none"/>
    </w:rPr>
  </w:style>
  <w:style w:type="paragraph" w:styleId="TOCHeading">
    <w:name w:val="TOC Heading"/>
    <w:basedOn w:val="Heading1"/>
    <w:next w:val="Normal"/>
    <w:uiPriority w:val="39"/>
    <w:unhideWhenUsed/>
    <w:qFormat/>
    <w:rsid w:val="00DD0F65"/>
    <w:pPr>
      <w:spacing w:before="240" w:line="259" w:lineRule="auto"/>
      <w:jc w:val="left"/>
      <w:outlineLvl w:val="9"/>
    </w:pPr>
    <w:rPr>
      <w:rFonts w:asciiTheme="majorHAnsi" w:hAnsiTheme="majorHAnsi"/>
      <w:b w:val="0"/>
      <w:bCs w:val="0"/>
      <w:kern w:val="0"/>
      <w:sz w:val="32"/>
      <w:szCs w:val="32"/>
    </w:rPr>
  </w:style>
  <w:style w:type="paragraph" w:styleId="TOC1">
    <w:name w:val="toc 1"/>
    <w:basedOn w:val="Normal"/>
    <w:next w:val="Normal"/>
    <w:autoRedefine/>
    <w:uiPriority w:val="39"/>
    <w:unhideWhenUsed/>
    <w:rsid w:val="00DD0F65"/>
    <w:pPr>
      <w:spacing w:after="100"/>
    </w:pPr>
  </w:style>
  <w:style w:type="character" w:styleId="Hyperlink">
    <w:name w:val="Hyperlink"/>
    <w:basedOn w:val="DefaultParagraphFont"/>
    <w:uiPriority w:val="99"/>
    <w:unhideWhenUsed/>
    <w:rsid w:val="00DD0F6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D3DB56-3307-4F3F-91E4-0F862A5E0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2787</Words>
  <Characters>15692</Characters>
  <Application>Microsoft Office Word</Application>
  <DocSecurity>0</DocSecurity>
  <Lines>366</Lines>
  <Paragraphs>85</Paragraphs>
  <ScaleCrop>false</ScaleCrop>
  <Company/>
  <LinksUpToDate>false</LinksUpToDate>
  <CharactersWithSpaces>18414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2026-07-28T21:12:00Z</dcterms:created>
  <dcterms:modified xsi:type="dcterms:W3CDTF">2026-07-28T21:17:00Z</dcterms:modified>
</cp:coreProperties>
</file>