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3F25001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6E6D5A">
              <w:rPr>
                <w:rFonts w:ascii="Arial" w:hAnsi="Arial" w:cs="Arial"/>
                <w:b/>
                <w:sz w:val="22"/>
                <w:szCs w:val="22"/>
              </w:rPr>
              <w:t>Alexandru</w:t>
            </w:r>
            <w:proofErr w:type="spellEnd"/>
            <w:r w:rsidR="006E6D5A">
              <w:rPr>
                <w:rFonts w:ascii="Arial" w:hAnsi="Arial" w:cs="Arial"/>
                <w:b/>
                <w:sz w:val="22"/>
                <w:szCs w:val="22"/>
              </w:rPr>
              <w:t xml:space="preserve"> </w:t>
            </w:r>
            <w:proofErr w:type="spellStart"/>
            <w:r w:rsidR="006E6D5A">
              <w:rPr>
                <w:rFonts w:ascii="Arial" w:hAnsi="Arial" w:cs="Arial"/>
                <w:b/>
                <w:sz w:val="22"/>
                <w:szCs w:val="22"/>
              </w:rPr>
              <w:t>Tugulea</w:t>
            </w:r>
            <w:proofErr w:type="spellEnd"/>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41D8D8A8" w:rsidR="003B3F9D" w:rsidRPr="00A406E5" w:rsidRDefault="006E6D5A" w:rsidP="001E57C1">
            <w:pPr>
              <w:spacing w:before="120" w:after="120"/>
              <w:jc w:val="both"/>
              <w:rPr>
                <w:rFonts w:ascii="Arial" w:hAnsi="Arial" w:cs="Arial"/>
                <w:b/>
                <w:sz w:val="22"/>
                <w:szCs w:val="22"/>
              </w:rPr>
            </w:pPr>
            <w:r>
              <w:rPr>
                <w:rFonts w:ascii="Arial" w:hAnsi="Arial" w:cs="Arial"/>
                <w:b/>
                <w:sz w:val="22"/>
                <w:szCs w:val="22"/>
              </w:rPr>
              <w:t>2133039</w:t>
            </w: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34FD708C"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Public services portfolio</w:t>
            </w: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A9C092" w14:textId="11867B50" w:rsidR="009E67F3" w:rsidRDefault="009E67F3" w:rsidP="00152E9D">
            <w:pPr>
              <w:spacing w:before="120" w:after="120"/>
              <w:jc w:val="both"/>
              <w:rPr>
                <w:rFonts w:ascii="Arial" w:hAnsi="Arial" w:cs="Arial"/>
                <w:b/>
                <w:sz w:val="22"/>
                <w:szCs w:val="22"/>
              </w:rPr>
            </w:pPr>
            <w:r>
              <w:rPr>
                <w:rFonts w:ascii="Arial" w:hAnsi="Arial" w:cs="Arial"/>
                <w:b/>
                <w:sz w:val="22"/>
                <w:szCs w:val="22"/>
              </w:rPr>
              <w:t>BMPL4009</w:t>
            </w:r>
          </w:p>
          <w:p w14:paraId="22CD5860" w14:textId="2DBB9E04" w:rsidR="00B84B5B" w:rsidRPr="00A406E5" w:rsidRDefault="000E21AB" w:rsidP="00152E9D">
            <w:pPr>
              <w:spacing w:before="120" w:after="120"/>
              <w:jc w:val="both"/>
              <w:rPr>
                <w:rFonts w:ascii="Arial" w:hAnsi="Arial" w:cs="Arial"/>
                <w:b/>
                <w:sz w:val="22"/>
                <w:szCs w:val="22"/>
              </w:rPr>
            </w:pPr>
            <w:r>
              <w:rPr>
                <w:rFonts w:ascii="Arial" w:hAnsi="Arial" w:cs="Arial"/>
                <w:b/>
                <w:sz w:val="22"/>
                <w:szCs w:val="22"/>
              </w:rPr>
              <w:t>BMLW4005</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77777777" w:rsidR="00DB116D" w:rsidRDefault="000E21AB" w:rsidP="00E51AAC">
            <w:pPr>
              <w:spacing w:before="120" w:after="120"/>
              <w:jc w:val="both"/>
              <w:rPr>
                <w:rFonts w:ascii="Arial" w:hAnsi="Arial" w:cs="Arial"/>
                <w:b/>
                <w:sz w:val="22"/>
                <w:szCs w:val="22"/>
              </w:rPr>
            </w:pPr>
            <w:r>
              <w:rPr>
                <w:rFonts w:ascii="Arial" w:hAnsi="Arial" w:cs="Arial"/>
                <w:b/>
                <w:sz w:val="22"/>
                <w:szCs w:val="22"/>
              </w:rPr>
              <w:t>L.KNIGHT</w:t>
            </w:r>
          </w:p>
          <w:p w14:paraId="5DBBF0C0" w14:textId="77777777" w:rsidR="000E21AB" w:rsidRDefault="000E21AB" w:rsidP="00E51AAC">
            <w:pPr>
              <w:spacing w:before="120" w:after="120"/>
              <w:jc w:val="both"/>
              <w:rPr>
                <w:rFonts w:ascii="Arial" w:hAnsi="Arial" w:cs="Arial"/>
                <w:b/>
                <w:sz w:val="22"/>
                <w:szCs w:val="22"/>
              </w:rPr>
            </w:pPr>
            <w:proofErr w:type="gramStart"/>
            <w:r>
              <w:rPr>
                <w:rFonts w:ascii="Arial" w:hAnsi="Arial" w:cs="Arial"/>
                <w:b/>
                <w:sz w:val="22"/>
                <w:szCs w:val="22"/>
              </w:rPr>
              <w:t>S.FRANCE</w:t>
            </w:r>
            <w:proofErr w:type="gramEnd"/>
          </w:p>
          <w:p w14:paraId="604A3432" w14:textId="5592C97D" w:rsidR="000E21AB" w:rsidRPr="00A406E5" w:rsidRDefault="000E21AB" w:rsidP="00E51AAC">
            <w:pPr>
              <w:spacing w:before="120" w:after="120"/>
              <w:jc w:val="both"/>
              <w:rPr>
                <w:rFonts w:ascii="Arial" w:hAnsi="Arial" w:cs="Arial"/>
                <w:b/>
                <w:sz w:val="22"/>
                <w:szCs w:val="22"/>
              </w:rPr>
            </w:pPr>
            <w:proofErr w:type="gramStart"/>
            <w:r>
              <w:rPr>
                <w:rFonts w:ascii="Arial" w:hAnsi="Arial" w:cs="Arial"/>
                <w:b/>
                <w:sz w:val="22"/>
                <w:szCs w:val="22"/>
              </w:rPr>
              <w:t>Z.DRAPER</w:t>
            </w:r>
            <w:proofErr w:type="gramEnd"/>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7854C" w14:textId="77777777" w:rsidR="00DB116D" w:rsidRDefault="000E21AB" w:rsidP="00E51AAC">
            <w:pPr>
              <w:spacing w:before="120" w:after="120"/>
              <w:jc w:val="both"/>
              <w:rPr>
                <w:rFonts w:ascii="Arial" w:hAnsi="Arial" w:cs="Arial"/>
                <w:b/>
                <w:sz w:val="22"/>
                <w:szCs w:val="22"/>
              </w:rPr>
            </w:pPr>
            <w:proofErr w:type="gramStart"/>
            <w:r>
              <w:rPr>
                <w:rFonts w:ascii="Arial" w:hAnsi="Arial" w:cs="Arial"/>
                <w:b/>
                <w:sz w:val="22"/>
                <w:szCs w:val="22"/>
              </w:rPr>
              <w:t>S.FRANCE</w:t>
            </w:r>
            <w:proofErr w:type="gramEnd"/>
          </w:p>
          <w:p w14:paraId="6835EFFD" w14:textId="77777777" w:rsidR="000E21AB" w:rsidRDefault="000E21AB" w:rsidP="00E51AAC">
            <w:pPr>
              <w:spacing w:before="120" w:after="120"/>
              <w:jc w:val="both"/>
              <w:rPr>
                <w:rFonts w:ascii="Arial" w:hAnsi="Arial" w:cs="Arial"/>
                <w:b/>
                <w:sz w:val="22"/>
                <w:szCs w:val="22"/>
              </w:rPr>
            </w:pPr>
            <w:proofErr w:type="gramStart"/>
            <w:r>
              <w:rPr>
                <w:rFonts w:ascii="Arial" w:hAnsi="Arial" w:cs="Arial"/>
                <w:b/>
                <w:sz w:val="22"/>
                <w:szCs w:val="22"/>
              </w:rPr>
              <w:t>Z.DRAPER</w:t>
            </w:r>
            <w:proofErr w:type="gramEnd"/>
          </w:p>
          <w:p w14:paraId="267814E8" w14:textId="32DDD5A0" w:rsidR="000E21AB" w:rsidRPr="00A406E5" w:rsidRDefault="000E21AB" w:rsidP="00E51AAC">
            <w:pPr>
              <w:spacing w:before="120" w:after="120"/>
              <w:jc w:val="both"/>
              <w:rPr>
                <w:rFonts w:ascii="Arial" w:hAnsi="Arial" w:cs="Arial"/>
                <w:b/>
                <w:sz w:val="22"/>
                <w:szCs w:val="22"/>
              </w:rPr>
            </w:pPr>
            <w:r>
              <w:rPr>
                <w:rFonts w:ascii="Arial" w:hAnsi="Arial" w:cs="Arial"/>
                <w:b/>
                <w:sz w:val="22"/>
                <w:szCs w:val="22"/>
              </w:rPr>
              <w:t>L.KNIGHT</w:t>
            </w: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D20B1" w14:textId="6AE95188" w:rsidR="00DB116D" w:rsidRPr="00A406E5" w:rsidRDefault="009E67F3" w:rsidP="005F0579">
            <w:pPr>
              <w:spacing w:before="120" w:after="120"/>
              <w:jc w:val="both"/>
              <w:rPr>
                <w:rFonts w:ascii="Arial" w:hAnsi="Arial" w:cs="Arial"/>
                <w:b/>
                <w:sz w:val="22"/>
                <w:szCs w:val="22"/>
              </w:rPr>
            </w:pPr>
            <w:r>
              <w:rPr>
                <w:rFonts w:ascii="Arial" w:hAnsi="Arial" w:cs="Arial"/>
                <w:b/>
                <w:sz w:val="22"/>
                <w:szCs w:val="22"/>
              </w:rPr>
              <w:t>Diminished responsibility</w:t>
            </w: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2E02CB5D" w:rsidR="00B84B5B" w:rsidRPr="00A406E5" w:rsidRDefault="000E21AB" w:rsidP="005F0579">
            <w:pPr>
              <w:spacing w:before="120" w:after="120"/>
              <w:jc w:val="both"/>
              <w:rPr>
                <w:rFonts w:ascii="Arial" w:hAnsi="Arial" w:cs="Arial"/>
                <w:b/>
                <w:sz w:val="22"/>
                <w:szCs w:val="22"/>
              </w:rPr>
            </w:pPr>
            <w:r>
              <w:rPr>
                <w:rFonts w:ascii="Arial" w:hAnsi="Arial" w:cs="Arial"/>
                <w:b/>
                <w:sz w:val="22"/>
                <w:szCs w:val="22"/>
              </w:rPr>
              <w:t>Friday 10</w:t>
            </w:r>
            <w:r w:rsidRPr="000E21AB">
              <w:rPr>
                <w:rFonts w:ascii="Arial" w:hAnsi="Arial" w:cs="Arial"/>
                <w:b/>
                <w:sz w:val="22"/>
                <w:szCs w:val="22"/>
                <w:vertAlign w:val="superscript"/>
              </w:rPr>
              <w:t>th</w:t>
            </w:r>
            <w:r>
              <w:rPr>
                <w:rFonts w:ascii="Arial" w:hAnsi="Arial" w:cs="Arial"/>
                <w:b/>
                <w:sz w:val="22"/>
                <w:szCs w:val="22"/>
              </w:rPr>
              <w:t xml:space="preserve"> March 2023 23:59</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5D4F07DF" w:rsidR="00B84B5B" w:rsidRPr="00A406E5" w:rsidRDefault="006A143A" w:rsidP="005F0579">
            <w:pPr>
              <w:spacing w:before="120" w:after="120"/>
              <w:jc w:val="both"/>
              <w:rPr>
                <w:rFonts w:ascii="Arial" w:hAnsi="Arial" w:cs="Arial"/>
                <w:b/>
                <w:sz w:val="22"/>
                <w:szCs w:val="22"/>
              </w:rPr>
            </w:pPr>
            <w:r>
              <w:rPr>
                <w:rFonts w:ascii="Arial" w:hAnsi="Arial" w:cs="Arial"/>
                <w:b/>
                <w:sz w:val="22"/>
                <w:szCs w:val="22"/>
              </w:rPr>
              <w:t>Tuesday 11</w:t>
            </w:r>
            <w:r w:rsidRPr="006A143A">
              <w:rPr>
                <w:rFonts w:ascii="Arial" w:hAnsi="Arial" w:cs="Arial"/>
                <w:b/>
                <w:sz w:val="22"/>
                <w:szCs w:val="22"/>
                <w:vertAlign w:val="superscript"/>
              </w:rPr>
              <w:t>th</w:t>
            </w:r>
            <w:r>
              <w:rPr>
                <w:rFonts w:ascii="Arial" w:hAnsi="Arial" w:cs="Arial"/>
                <w:b/>
                <w:sz w:val="22"/>
                <w:szCs w:val="22"/>
              </w:rPr>
              <w:t xml:space="preserve"> April 2023</w:t>
            </w:r>
          </w:p>
        </w:tc>
      </w:tr>
      <w:tr w:rsidR="00152E9D" w:rsidRPr="00A406E5" w14:paraId="08C3E6D9" w14:textId="77777777" w:rsidTr="00A406E5">
        <w:tc>
          <w:tcPr>
            <w:tcW w:w="2093" w:type="dxa"/>
            <w:shd w:val="pct15" w:color="auto" w:fill="auto"/>
          </w:tcPr>
          <w:p w14:paraId="2A6047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9430B0E" w14:textId="77777777" w:rsidR="0028204E" w:rsidRPr="00A406E5" w:rsidRDefault="0028204E" w:rsidP="00DB116D">
      <w:pPr>
        <w:rPr>
          <w:rFonts w:ascii="Arial" w:hAnsi="Arial" w:cs="Arial"/>
          <w:sz w:val="32"/>
        </w:rPr>
      </w:pPr>
    </w:p>
    <w:p w14:paraId="6C0BCD95" w14:textId="77777777" w:rsidR="00152E9D" w:rsidRPr="00A406E5" w:rsidRDefault="00152E9D" w:rsidP="00DB116D">
      <w:pPr>
        <w:rPr>
          <w:rFonts w:ascii="Arial" w:hAnsi="Arial" w:cs="Arial"/>
          <w:sz w:val="32"/>
        </w:rPr>
      </w:pPr>
    </w:p>
    <w:p w14:paraId="1BDAC17F" w14:textId="77777777" w:rsidR="00152E9D" w:rsidRPr="00A406E5" w:rsidRDefault="00152E9D" w:rsidP="00DB116D">
      <w:pPr>
        <w:rPr>
          <w:rFonts w:ascii="Arial" w:hAnsi="Arial" w:cs="Arial"/>
          <w:sz w:val="32"/>
        </w:rPr>
      </w:pPr>
    </w:p>
    <w:p w14:paraId="323DDC0F" w14:textId="77777777" w:rsidR="00152E9D" w:rsidRPr="00A406E5" w:rsidRDefault="00152E9D" w:rsidP="00DB116D">
      <w:pPr>
        <w:rPr>
          <w:rFonts w:ascii="Arial" w:hAnsi="Arial" w:cs="Arial"/>
          <w:sz w:val="32"/>
        </w:rPr>
      </w:pPr>
    </w:p>
    <w:p w14:paraId="0A300AC3" w14:textId="77777777" w:rsidR="00152E9D" w:rsidRPr="00A406E5" w:rsidRDefault="00152E9D" w:rsidP="00DB116D">
      <w:pPr>
        <w:rPr>
          <w:rFonts w:ascii="Arial" w:hAnsi="Arial" w:cs="Arial"/>
          <w:sz w:val="32"/>
        </w:rPr>
      </w:pPr>
    </w:p>
    <w:p w14:paraId="7019901C" w14:textId="77777777" w:rsidR="00152E9D" w:rsidRPr="00A406E5" w:rsidRDefault="00152E9D" w:rsidP="00DB116D">
      <w:pPr>
        <w:rPr>
          <w:rFonts w:ascii="Arial" w:hAnsi="Arial" w:cs="Arial"/>
          <w:sz w:val="32"/>
        </w:rPr>
      </w:pPr>
    </w:p>
    <w:p w14:paraId="3F77852E" w14:textId="673D09DA" w:rsidR="006E6D5A" w:rsidRDefault="00A406E5">
      <w:pPr>
        <w:rPr>
          <w:rFonts w:ascii="Arial" w:hAnsi="Arial" w:cs="Arial"/>
          <w:sz w:val="32"/>
        </w:rPr>
      </w:pPr>
      <w:r>
        <w:rPr>
          <w:rFonts w:ascii="Arial" w:hAnsi="Arial" w:cs="Arial"/>
          <w:sz w:val="32"/>
        </w:rPr>
        <w:br w:type="page"/>
      </w:r>
    </w:p>
    <w:p w14:paraId="520004FF" w14:textId="77777777" w:rsidR="00152E9D" w:rsidRPr="00A406E5" w:rsidRDefault="00152E9D" w:rsidP="00DB116D">
      <w:pPr>
        <w:rPr>
          <w:rFonts w:ascii="Arial" w:hAnsi="Arial" w:cs="Arial"/>
          <w:sz w:val="32"/>
        </w:rPr>
      </w:pPr>
    </w:p>
    <w:p w14:paraId="38126131" w14:textId="64762800" w:rsidR="00152E9D" w:rsidRPr="003308CF" w:rsidRDefault="00152E9D" w:rsidP="007E0696">
      <w:pPr>
        <w:rPr>
          <w:rFonts w:ascii="Arial" w:hAnsi="Arial" w:cs="Arial"/>
          <w:b/>
          <w:bCs/>
          <w:sz w:val="24"/>
          <w:szCs w:val="24"/>
        </w:rPr>
      </w:pPr>
    </w:p>
    <w:sdt>
      <w:sdtPr>
        <w:rPr>
          <w:rFonts w:ascii="Times New Roman" w:eastAsiaTheme="minorHAnsi" w:hAnsi="Times New Roman" w:cs="Times New Roman"/>
          <w:b w:val="0"/>
          <w:bCs w:val="0"/>
          <w:color w:val="auto"/>
          <w:sz w:val="24"/>
          <w:szCs w:val="24"/>
          <w:lang w:eastAsia="en-US"/>
        </w:rPr>
        <w:id w:val="1964003580"/>
        <w:docPartObj>
          <w:docPartGallery w:val="Table of Contents"/>
          <w:docPartUnique/>
        </w:docPartObj>
      </w:sdtPr>
      <w:sdtEndPr>
        <w:rPr>
          <w:rFonts w:eastAsia="Times New Roman"/>
          <w:noProof/>
          <w:lang w:val="en-GB" w:eastAsia="en-GB"/>
        </w:rPr>
      </w:sdtEndPr>
      <w:sdtContent>
        <w:p w14:paraId="1F971B09" w14:textId="77777777" w:rsidR="006E6D5A" w:rsidRPr="006E6D5A" w:rsidRDefault="006E6D5A" w:rsidP="006E6D5A">
          <w:pPr>
            <w:pStyle w:val="TOCHeading"/>
            <w:jc w:val="center"/>
            <w:rPr>
              <w:rFonts w:ascii="Times New Roman" w:hAnsi="Times New Roman" w:cs="Times New Roman"/>
              <w:color w:val="000000" w:themeColor="text1"/>
              <w:sz w:val="24"/>
              <w:szCs w:val="24"/>
            </w:rPr>
          </w:pPr>
          <w:r w:rsidRPr="006E6D5A">
            <w:rPr>
              <w:rFonts w:ascii="Times New Roman" w:hAnsi="Times New Roman" w:cs="Times New Roman"/>
              <w:color w:val="000000" w:themeColor="text1"/>
              <w:sz w:val="24"/>
              <w:szCs w:val="24"/>
            </w:rPr>
            <w:t>Table of Contents</w:t>
          </w:r>
        </w:p>
        <w:p w14:paraId="02F4EDE2" w14:textId="5979F13B" w:rsidR="006E6D5A" w:rsidRPr="006E6D5A" w:rsidRDefault="006E6D5A" w:rsidP="006E6D5A">
          <w:pPr>
            <w:pStyle w:val="TOC1"/>
            <w:tabs>
              <w:tab w:val="left" w:pos="440"/>
              <w:tab w:val="right" w:leader="dot" w:pos="9350"/>
            </w:tabs>
            <w:jc w:val="center"/>
            <w:rPr>
              <w:rFonts w:cs="Times New Roman"/>
              <w:noProof/>
              <w:color w:val="000000" w:themeColor="text1"/>
              <w:szCs w:val="24"/>
            </w:rPr>
          </w:pPr>
          <w:r w:rsidRPr="006E6D5A">
            <w:rPr>
              <w:rFonts w:cs="Times New Roman"/>
              <w:color w:val="000000" w:themeColor="text1"/>
              <w:szCs w:val="24"/>
            </w:rPr>
            <w:fldChar w:fldCharType="begin"/>
          </w:r>
          <w:r w:rsidRPr="006E6D5A">
            <w:rPr>
              <w:rFonts w:cs="Times New Roman"/>
              <w:color w:val="000000" w:themeColor="text1"/>
              <w:szCs w:val="24"/>
            </w:rPr>
            <w:instrText xml:space="preserve"> TOC \o "1-3" \h \z \u </w:instrText>
          </w:r>
          <w:r w:rsidRPr="006E6D5A">
            <w:rPr>
              <w:rFonts w:cs="Times New Roman"/>
              <w:color w:val="000000" w:themeColor="text1"/>
              <w:szCs w:val="24"/>
            </w:rPr>
            <w:fldChar w:fldCharType="separate"/>
          </w:r>
          <w:hyperlink w:anchor="_Toc129102907" w:history="1">
            <w:r w:rsidRPr="006E6D5A">
              <w:rPr>
                <w:rStyle w:val="Hyperlink"/>
                <w:rFonts w:cs="Times New Roman"/>
                <w:noProof/>
                <w:color w:val="000000" w:themeColor="text1"/>
                <w:szCs w:val="24"/>
              </w:rPr>
              <w:t>1</w:t>
            </w:r>
            <w:r w:rsidRPr="006E6D5A">
              <w:rPr>
                <w:rFonts w:cs="Times New Roman"/>
                <w:noProof/>
                <w:color w:val="000000" w:themeColor="text1"/>
                <w:szCs w:val="24"/>
              </w:rPr>
              <w:tab/>
            </w:r>
            <w:r w:rsidRPr="006E6D5A">
              <w:rPr>
                <w:rStyle w:val="Hyperlink"/>
                <w:rFonts w:cs="Times New Roman"/>
                <w:noProof/>
                <w:color w:val="000000" w:themeColor="text1"/>
                <w:szCs w:val="24"/>
              </w:rPr>
              <w:t>Introduction</w:t>
            </w:r>
            <w:r w:rsidRPr="006E6D5A">
              <w:rPr>
                <w:rFonts w:cs="Times New Roman"/>
                <w:noProof/>
                <w:webHidden/>
                <w:color w:val="000000" w:themeColor="text1"/>
                <w:szCs w:val="24"/>
              </w:rPr>
              <w:tab/>
            </w:r>
            <w:r w:rsidRPr="006E6D5A">
              <w:rPr>
                <w:rFonts w:cs="Times New Roman"/>
                <w:noProof/>
                <w:webHidden/>
                <w:color w:val="000000" w:themeColor="text1"/>
                <w:szCs w:val="24"/>
              </w:rPr>
              <w:fldChar w:fldCharType="begin"/>
            </w:r>
            <w:r w:rsidRPr="006E6D5A">
              <w:rPr>
                <w:rFonts w:cs="Times New Roman"/>
                <w:noProof/>
                <w:webHidden/>
                <w:color w:val="000000" w:themeColor="text1"/>
                <w:szCs w:val="24"/>
              </w:rPr>
              <w:instrText xml:space="preserve"> PAGEREF _Toc129102907 \h </w:instrText>
            </w:r>
            <w:r w:rsidRPr="006E6D5A">
              <w:rPr>
                <w:rFonts w:cs="Times New Roman"/>
                <w:noProof/>
                <w:webHidden/>
                <w:color w:val="000000" w:themeColor="text1"/>
                <w:szCs w:val="24"/>
              </w:rPr>
            </w:r>
            <w:r w:rsidRPr="006E6D5A">
              <w:rPr>
                <w:rFonts w:cs="Times New Roman"/>
                <w:noProof/>
                <w:webHidden/>
                <w:color w:val="000000" w:themeColor="text1"/>
                <w:szCs w:val="24"/>
              </w:rPr>
              <w:fldChar w:fldCharType="separate"/>
            </w:r>
            <w:r>
              <w:rPr>
                <w:rFonts w:cs="Times New Roman"/>
                <w:noProof/>
                <w:webHidden/>
                <w:color w:val="000000" w:themeColor="text1"/>
                <w:szCs w:val="24"/>
              </w:rPr>
              <w:t>3</w:t>
            </w:r>
            <w:r w:rsidRPr="006E6D5A">
              <w:rPr>
                <w:rFonts w:cs="Times New Roman"/>
                <w:noProof/>
                <w:webHidden/>
                <w:color w:val="000000" w:themeColor="text1"/>
                <w:szCs w:val="24"/>
              </w:rPr>
              <w:fldChar w:fldCharType="end"/>
            </w:r>
          </w:hyperlink>
        </w:p>
        <w:p w14:paraId="0956A0C4" w14:textId="429EC172" w:rsidR="006E6D5A" w:rsidRPr="006E6D5A" w:rsidRDefault="006E6D5A" w:rsidP="006E6D5A">
          <w:pPr>
            <w:pStyle w:val="TOC1"/>
            <w:tabs>
              <w:tab w:val="left" w:pos="440"/>
              <w:tab w:val="right" w:leader="dot" w:pos="9350"/>
            </w:tabs>
            <w:jc w:val="center"/>
            <w:rPr>
              <w:rFonts w:cs="Times New Roman"/>
              <w:noProof/>
              <w:color w:val="000000" w:themeColor="text1"/>
              <w:szCs w:val="24"/>
            </w:rPr>
          </w:pPr>
          <w:hyperlink w:anchor="_Toc129102908" w:history="1">
            <w:r w:rsidRPr="006E6D5A">
              <w:rPr>
                <w:rStyle w:val="Hyperlink"/>
                <w:rFonts w:cs="Times New Roman"/>
                <w:noProof/>
                <w:color w:val="000000" w:themeColor="text1"/>
                <w:szCs w:val="24"/>
              </w:rPr>
              <w:t>2</w:t>
            </w:r>
            <w:r w:rsidRPr="006E6D5A">
              <w:rPr>
                <w:rFonts w:cs="Times New Roman"/>
                <w:noProof/>
                <w:color w:val="000000" w:themeColor="text1"/>
                <w:szCs w:val="24"/>
              </w:rPr>
              <w:tab/>
            </w:r>
            <w:r w:rsidRPr="006E6D5A">
              <w:rPr>
                <w:rStyle w:val="Hyperlink"/>
                <w:rFonts w:cs="Times New Roman"/>
                <w:noProof/>
                <w:color w:val="000000" w:themeColor="text1"/>
                <w:szCs w:val="24"/>
              </w:rPr>
              <w:t>Changes by Coroners and Justice Act (2009) on Defe</w:t>
            </w:r>
            <w:r w:rsidRPr="006E6D5A">
              <w:rPr>
                <w:rStyle w:val="Hyperlink"/>
                <w:rFonts w:cs="Times New Roman"/>
                <w:noProof/>
                <w:color w:val="000000" w:themeColor="text1"/>
                <w:szCs w:val="24"/>
              </w:rPr>
              <w:t>n</w:t>
            </w:r>
            <w:r w:rsidRPr="006E6D5A">
              <w:rPr>
                <w:rStyle w:val="Hyperlink"/>
                <w:rFonts w:cs="Times New Roman"/>
                <w:noProof/>
                <w:color w:val="000000" w:themeColor="text1"/>
                <w:szCs w:val="24"/>
              </w:rPr>
              <w:t>ce of Diminished Responsibility</w:t>
            </w:r>
            <w:r w:rsidRPr="006E6D5A">
              <w:rPr>
                <w:rFonts w:cs="Times New Roman"/>
                <w:noProof/>
                <w:webHidden/>
                <w:color w:val="000000" w:themeColor="text1"/>
                <w:szCs w:val="24"/>
              </w:rPr>
              <w:tab/>
            </w:r>
            <w:r w:rsidRPr="006E6D5A">
              <w:rPr>
                <w:rFonts w:cs="Times New Roman"/>
                <w:noProof/>
                <w:webHidden/>
                <w:color w:val="000000" w:themeColor="text1"/>
                <w:szCs w:val="24"/>
              </w:rPr>
              <w:fldChar w:fldCharType="begin"/>
            </w:r>
            <w:r w:rsidRPr="006E6D5A">
              <w:rPr>
                <w:rFonts w:cs="Times New Roman"/>
                <w:noProof/>
                <w:webHidden/>
                <w:color w:val="000000" w:themeColor="text1"/>
                <w:szCs w:val="24"/>
              </w:rPr>
              <w:instrText xml:space="preserve"> PAGEREF _Toc129102908 \h </w:instrText>
            </w:r>
            <w:r w:rsidRPr="006E6D5A">
              <w:rPr>
                <w:rFonts w:cs="Times New Roman"/>
                <w:noProof/>
                <w:webHidden/>
                <w:color w:val="000000" w:themeColor="text1"/>
                <w:szCs w:val="24"/>
              </w:rPr>
            </w:r>
            <w:r w:rsidRPr="006E6D5A">
              <w:rPr>
                <w:rFonts w:cs="Times New Roman"/>
                <w:noProof/>
                <w:webHidden/>
                <w:color w:val="000000" w:themeColor="text1"/>
                <w:szCs w:val="24"/>
              </w:rPr>
              <w:fldChar w:fldCharType="separate"/>
            </w:r>
            <w:r>
              <w:rPr>
                <w:rFonts w:cs="Times New Roman"/>
                <w:noProof/>
                <w:webHidden/>
                <w:color w:val="000000" w:themeColor="text1"/>
                <w:szCs w:val="24"/>
              </w:rPr>
              <w:t>4</w:t>
            </w:r>
            <w:r w:rsidRPr="006E6D5A">
              <w:rPr>
                <w:rFonts w:cs="Times New Roman"/>
                <w:noProof/>
                <w:webHidden/>
                <w:color w:val="000000" w:themeColor="text1"/>
                <w:szCs w:val="24"/>
              </w:rPr>
              <w:fldChar w:fldCharType="end"/>
            </w:r>
          </w:hyperlink>
        </w:p>
        <w:p w14:paraId="5B623261" w14:textId="669EC1C9" w:rsidR="006E6D5A" w:rsidRPr="006E6D5A" w:rsidRDefault="006E6D5A" w:rsidP="006E6D5A">
          <w:pPr>
            <w:pStyle w:val="TOC1"/>
            <w:tabs>
              <w:tab w:val="left" w:pos="440"/>
              <w:tab w:val="right" w:leader="dot" w:pos="9350"/>
            </w:tabs>
            <w:jc w:val="center"/>
            <w:rPr>
              <w:rFonts w:cs="Times New Roman"/>
              <w:noProof/>
              <w:color w:val="000000" w:themeColor="text1"/>
              <w:szCs w:val="24"/>
            </w:rPr>
          </w:pPr>
          <w:hyperlink w:anchor="_Toc129102909" w:history="1">
            <w:r w:rsidRPr="006E6D5A">
              <w:rPr>
                <w:rStyle w:val="Hyperlink"/>
                <w:rFonts w:cs="Times New Roman"/>
                <w:noProof/>
                <w:color w:val="000000" w:themeColor="text1"/>
                <w:szCs w:val="24"/>
              </w:rPr>
              <w:t>3</w:t>
            </w:r>
            <w:r w:rsidRPr="006E6D5A">
              <w:rPr>
                <w:rFonts w:cs="Times New Roman"/>
                <w:noProof/>
                <w:color w:val="000000" w:themeColor="text1"/>
                <w:szCs w:val="24"/>
              </w:rPr>
              <w:tab/>
            </w:r>
            <w:r w:rsidRPr="006E6D5A">
              <w:rPr>
                <w:rStyle w:val="Hyperlink"/>
                <w:rFonts w:cs="Times New Roman"/>
                <w:noProof/>
                <w:color w:val="000000" w:themeColor="text1"/>
                <w:szCs w:val="24"/>
              </w:rPr>
              <w:t>Conclusio</w:t>
            </w:r>
            <w:r w:rsidRPr="006E6D5A">
              <w:rPr>
                <w:rStyle w:val="Hyperlink"/>
                <w:rFonts w:cs="Times New Roman"/>
                <w:noProof/>
                <w:color w:val="000000" w:themeColor="text1"/>
                <w:szCs w:val="24"/>
              </w:rPr>
              <w:t>n</w:t>
            </w:r>
            <w:r w:rsidRPr="006E6D5A">
              <w:rPr>
                <w:rFonts w:cs="Times New Roman"/>
                <w:noProof/>
                <w:webHidden/>
                <w:color w:val="000000" w:themeColor="text1"/>
                <w:szCs w:val="24"/>
              </w:rPr>
              <w:tab/>
            </w:r>
            <w:r w:rsidRPr="006E6D5A">
              <w:rPr>
                <w:rFonts w:cs="Times New Roman"/>
                <w:noProof/>
                <w:webHidden/>
                <w:color w:val="000000" w:themeColor="text1"/>
                <w:szCs w:val="24"/>
              </w:rPr>
              <w:fldChar w:fldCharType="begin"/>
            </w:r>
            <w:r w:rsidRPr="006E6D5A">
              <w:rPr>
                <w:rFonts w:cs="Times New Roman"/>
                <w:noProof/>
                <w:webHidden/>
                <w:color w:val="000000" w:themeColor="text1"/>
                <w:szCs w:val="24"/>
              </w:rPr>
              <w:instrText xml:space="preserve"> PAGEREF _Toc129102909 \h </w:instrText>
            </w:r>
            <w:r w:rsidRPr="006E6D5A">
              <w:rPr>
                <w:rFonts w:cs="Times New Roman"/>
                <w:noProof/>
                <w:webHidden/>
                <w:color w:val="000000" w:themeColor="text1"/>
                <w:szCs w:val="24"/>
              </w:rPr>
            </w:r>
            <w:r w:rsidRPr="006E6D5A">
              <w:rPr>
                <w:rFonts w:cs="Times New Roman"/>
                <w:noProof/>
                <w:webHidden/>
                <w:color w:val="000000" w:themeColor="text1"/>
                <w:szCs w:val="24"/>
              </w:rPr>
              <w:fldChar w:fldCharType="separate"/>
            </w:r>
            <w:r>
              <w:rPr>
                <w:rFonts w:cs="Times New Roman"/>
                <w:noProof/>
                <w:webHidden/>
                <w:color w:val="000000" w:themeColor="text1"/>
                <w:szCs w:val="24"/>
              </w:rPr>
              <w:t>6</w:t>
            </w:r>
            <w:r w:rsidRPr="006E6D5A">
              <w:rPr>
                <w:rFonts w:cs="Times New Roman"/>
                <w:noProof/>
                <w:webHidden/>
                <w:color w:val="000000" w:themeColor="text1"/>
                <w:szCs w:val="24"/>
              </w:rPr>
              <w:fldChar w:fldCharType="end"/>
            </w:r>
          </w:hyperlink>
        </w:p>
        <w:p w14:paraId="6133A664" w14:textId="24A4BD97" w:rsidR="006E6D5A" w:rsidRPr="006E6D5A" w:rsidRDefault="006E6D5A" w:rsidP="006E6D5A">
          <w:pPr>
            <w:pStyle w:val="TOC1"/>
            <w:tabs>
              <w:tab w:val="left" w:pos="440"/>
              <w:tab w:val="right" w:leader="dot" w:pos="9350"/>
            </w:tabs>
            <w:jc w:val="center"/>
            <w:rPr>
              <w:rFonts w:cs="Times New Roman"/>
              <w:noProof/>
              <w:color w:val="000000" w:themeColor="text1"/>
              <w:szCs w:val="24"/>
            </w:rPr>
          </w:pPr>
          <w:hyperlink w:anchor="_Toc129102910" w:history="1">
            <w:r w:rsidRPr="006E6D5A">
              <w:rPr>
                <w:rStyle w:val="Hyperlink"/>
                <w:rFonts w:cs="Times New Roman"/>
                <w:noProof/>
                <w:color w:val="000000" w:themeColor="text1"/>
                <w:szCs w:val="24"/>
              </w:rPr>
              <w:t>4</w:t>
            </w:r>
            <w:r w:rsidRPr="006E6D5A">
              <w:rPr>
                <w:rFonts w:cs="Times New Roman"/>
                <w:noProof/>
                <w:color w:val="000000" w:themeColor="text1"/>
                <w:szCs w:val="24"/>
              </w:rPr>
              <w:tab/>
            </w:r>
            <w:r w:rsidRPr="006E6D5A">
              <w:rPr>
                <w:rStyle w:val="Hyperlink"/>
                <w:rFonts w:cs="Times New Roman"/>
                <w:noProof/>
                <w:color w:val="000000" w:themeColor="text1"/>
                <w:szCs w:val="24"/>
              </w:rPr>
              <w:t>References</w:t>
            </w:r>
            <w:r w:rsidRPr="006E6D5A">
              <w:rPr>
                <w:rFonts w:cs="Times New Roman"/>
                <w:noProof/>
                <w:webHidden/>
                <w:color w:val="000000" w:themeColor="text1"/>
                <w:szCs w:val="24"/>
              </w:rPr>
              <w:tab/>
            </w:r>
            <w:r w:rsidRPr="006E6D5A">
              <w:rPr>
                <w:rFonts w:cs="Times New Roman"/>
                <w:noProof/>
                <w:webHidden/>
                <w:color w:val="000000" w:themeColor="text1"/>
                <w:szCs w:val="24"/>
              </w:rPr>
              <w:fldChar w:fldCharType="begin"/>
            </w:r>
            <w:r w:rsidRPr="006E6D5A">
              <w:rPr>
                <w:rFonts w:cs="Times New Roman"/>
                <w:noProof/>
                <w:webHidden/>
                <w:color w:val="000000" w:themeColor="text1"/>
                <w:szCs w:val="24"/>
              </w:rPr>
              <w:instrText xml:space="preserve"> PAGEREF _Toc129102910 \h </w:instrText>
            </w:r>
            <w:r w:rsidRPr="006E6D5A">
              <w:rPr>
                <w:rFonts w:cs="Times New Roman"/>
                <w:noProof/>
                <w:webHidden/>
                <w:color w:val="000000" w:themeColor="text1"/>
                <w:szCs w:val="24"/>
              </w:rPr>
            </w:r>
            <w:r w:rsidRPr="006E6D5A">
              <w:rPr>
                <w:rFonts w:cs="Times New Roman"/>
                <w:noProof/>
                <w:webHidden/>
                <w:color w:val="000000" w:themeColor="text1"/>
                <w:szCs w:val="24"/>
              </w:rPr>
              <w:fldChar w:fldCharType="separate"/>
            </w:r>
            <w:r>
              <w:rPr>
                <w:rFonts w:cs="Times New Roman"/>
                <w:noProof/>
                <w:webHidden/>
                <w:color w:val="000000" w:themeColor="text1"/>
                <w:szCs w:val="24"/>
              </w:rPr>
              <w:t>7</w:t>
            </w:r>
            <w:r w:rsidRPr="006E6D5A">
              <w:rPr>
                <w:rFonts w:cs="Times New Roman"/>
                <w:noProof/>
                <w:webHidden/>
                <w:color w:val="000000" w:themeColor="text1"/>
                <w:szCs w:val="24"/>
              </w:rPr>
              <w:fldChar w:fldCharType="end"/>
            </w:r>
          </w:hyperlink>
        </w:p>
        <w:p w14:paraId="15834237" w14:textId="77777777" w:rsidR="006E6D5A" w:rsidRPr="006E6D5A" w:rsidRDefault="006E6D5A" w:rsidP="006E6D5A">
          <w:pPr>
            <w:jc w:val="center"/>
            <w:rPr>
              <w:sz w:val="24"/>
              <w:szCs w:val="24"/>
            </w:rPr>
          </w:pPr>
          <w:r w:rsidRPr="006E6D5A">
            <w:rPr>
              <w:b/>
              <w:bCs/>
              <w:noProof/>
              <w:color w:val="000000" w:themeColor="text1"/>
              <w:sz w:val="24"/>
              <w:szCs w:val="24"/>
            </w:rPr>
            <w:fldChar w:fldCharType="end"/>
          </w:r>
        </w:p>
      </w:sdtContent>
    </w:sdt>
    <w:p w14:paraId="6790036E" w14:textId="77777777" w:rsidR="006E6D5A" w:rsidRPr="006E6D5A" w:rsidRDefault="006E6D5A" w:rsidP="006E6D5A">
      <w:pPr>
        <w:rPr>
          <w:b/>
          <w:sz w:val="24"/>
          <w:szCs w:val="24"/>
        </w:rPr>
      </w:pPr>
      <w:r w:rsidRPr="006E6D5A">
        <w:rPr>
          <w:sz w:val="24"/>
          <w:szCs w:val="24"/>
        </w:rPr>
        <w:br w:type="page"/>
      </w:r>
    </w:p>
    <w:p w14:paraId="1AE08FCB" w14:textId="77777777" w:rsidR="006E6D5A" w:rsidRPr="006E6D5A" w:rsidRDefault="006E6D5A" w:rsidP="006E6D5A">
      <w:pPr>
        <w:pStyle w:val="Heading1"/>
        <w:rPr>
          <w:sz w:val="24"/>
          <w:szCs w:val="24"/>
        </w:rPr>
      </w:pPr>
      <w:bookmarkStart w:id="0" w:name="_Toc129102907"/>
      <w:r w:rsidRPr="006E6D5A">
        <w:rPr>
          <w:sz w:val="24"/>
          <w:szCs w:val="24"/>
        </w:rPr>
        <w:lastRenderedPageBreak/>
        <w:t>Introduction</w:t>
      </w:r>
      <w:bookmarkEnd w:id="0"/>
      <w:r w:rsidRPr="006E6D5A">
        <w:rPr>
          <w:sz w:val="24"/>
          <w:szCs w:val="24"/>
        </w:rPr>
        <w:t xml:space="preserve"> </w:t>
      </w:r>
    </w:p>
    <w:p w14:paraId="40EC4802" w14:textId="77777777" w:rsidR="006E6D5A" w:rsidRDefault="006E6D5A" w:rsidP="006E6D5A">
      <w:pPr>
        <w:rPr>
          <w:sz w:val="24"/>
          <w:szCs w:val="24"/>
        </w:rPr>
      </w:pPr>
    </w:p>
    <w:p w14:paraId="0331B0C3" w14:textId="77777777" w:rsidR="006E6D5A" w:rsidRDefault="006E6D5A" w:rsidP="006E6D5A">
      <w:pPr>
        <w:rPr>
          <w:sz w:val="24"/>
          <w:szCs w:val="24"/>
        </w:rPr>
      </w:pPr>
    </w:p>
    <w:p w14:paraId="33F929C0" w14:textId="43934102" w:rsidR="006E6D5A" w:rsidRDefault="006E6D5A" w:rsidP="006E6D5A">
      <w:pPr>
        <w:rPr>
          <w:sz w:val="24"/>
          <w:szCs w:val="24"/>
        </w:rPr>
      </w:pPr>
      <w:r w:rsidRPr="006E6D5A">
        <w:rPr>
          <w:sz w:val="24"/>
          <w:szCs w:val="24"/>
        </w:rPr>
        <w:t xml:space="preserve">The diminished responsibility defence offers that an individual convicted of homicide and suffering from a mental disorder can decrease moral culpability. </w:t>
      </w:r>
      <w:r w:rsidRPr="006E6D5A">
        <w:rPr>
          <w:sz w:val="24"/>
          <w:szCs w:val="24"/>
        </w:rPr>
        <w:t>If</w:t>
      </w:r>
      <w:r w:rsidRPr="006E6D5A">
        <w:rPr>
          <w:sz w:val="24"/>
          <w:szCs w:val="24"/>
        </w:rPr>
        <w:t xml:space="preserve"> the defence is successful, then that individual should be convicted of manslaughter instead of murder. This essay will highlight the Coroners and Justice Act (2009) as well as the Homicide Act of 1957. The essay will further highlight the changes in the Coroners and Justice Act (2009) to the diminished responsibility defence and describe the changes that this regulation made in this area. S.2 Homicide Act 1957 will also be assessed in this essay to identify the requirements of lessened responsibility. </w:t>
      </w:r>
    </w:p>
    <w:p w14:paraId="33DCD29F" w14:textId="3988DD14" w:rsidR="006E6D5A" w:rsidRDefault="006E6D5A" w:rsidP="006E6D5A">
      <w:pPr>
        <w:rPr>
          <w:sz w:val="24"/>
          <w:szCs w:val="24"/>
        </w:rPr>
      </w:pPr>
    </w:p>
    <w:p w14:paraId="52960E66" w14:textId="3A9B98CD" w:rsidR="006E6D5A" w:rsidRDefault="006E6D5A" w:rsidP="006E6D5A">
      <w:pPr>
        <w:rPr>
          <w:sz w:val="24"/>
          <w:szCs w:val="24"/>
        </w:rPr>
      </w:pPr>
    </w:p>
    <w:p w14:paraId="7E41C1B1" w14:textId="382F87B7" w:rsidR="006E6D5A" w:rsidRDefault="006E6D5A" w:rsidP="006E6D5A">
      <w:pPr>
        <w:rPr>
          <w:sz w:val="24"/>
          <w:szCs w:val="24"/>
        </w:rPr>
      </w:pPr>
    </w:p>
    <w:p w14:paraId="12765479" w14:textId="49910727" w:rsidR="006E6D5A" w:rsidRDefault="006E6D5A" w:rsidP="006E6D5A">
      <w:pPr>
        <w:rPr>
          <w:sz w:val="24"/>
          <w:szCs w:val="24"/>
        </w:rPr>
      </w:pPr>
    </w:p>
    <w:p w14:paraId="5BCC3464" w14:textId="1631F553" w:rsidR="006E6D5A" w:rsidRDefault="006E6D5A" w:rsidP="006E6D5A">
      <w:pPr>
        <w:rPr>
          <w:sz w:val="24"/>
          <w:szCs w:val="24"/>
        </w:rPr>
      </w:pPr>
    </w:p>
    <w:p w14:paraId="159D2BE6" w14:textId="037A1E6B" w:rsidR="006E6D5A" w:rsidRDefault="006E6D5A" w:rsidP="006E6D5A">
      <w:pPr>
        <w:rPr>
          <w:sz w:val="24"/>
          <w:szCs w:val="24"/>
        </w:rPr>
      </w:pPr>
    </w:p>
    <w:p w14:paraId="7EED97EE" w14:textId="2895431A" w:rsidR="006E6D5A" w:rsidRDefault="006E6D5A" w:rsidP="006E6D5A">
      <w:pPr>
        <w:rPr>
          <w:sz w:val="24"/>
          <w:szCs w:val="24"/>
        </w:rPr>
      </w:pPr>
    </w:p>
    <w:p w14:paraId="013C01E8" w14:textId="16D8877D" w:rsidR="006E6D5A" w:rsidRDefault="006E6D5A" w:rsidP="006E6D5A">
      <w:pPr>
        <w:rPr>
          <w:sz w:val="24"/>
          <w:szCs w:val="24"/>
        </w:rPr>
      </w:pPr>
    </w:p>
    <w:p w14:paraId="0BD296E3" w14:textId="16F93382" w:rsidR="006E6D5A" w:rsidRDefault="006E6D5A" w:rsidP="006E6D5A">
      <w:pPr>
        <w:rPr>
          <w:sz w:val="24"/>
          <w:szCs w:val="24"/>
        </w:rPr>
      </w:pPr>
    </w:p>
    <w:p w14:paraId="7139B9D2" w14:textId="0B068324" w:rsidR="006E6D5A" w:rsidRDefault="006E6D5A" w:rsidP="006E6D5A">
      <w:pPr>
        <w:rPr>
          <w:sz w:val="24"/>
          <w:szCs w:val="24"/>
        </w:rPr>
      </w:pPr>
    </w:p>
    <w:p w14:paraId="13E1C1D7" w14:textId="09830ADA" w:rsidR="006E6D5A" w:rsidRDefault="006E6D5A" w:rsidP="006E6D5A">
      <w:pPr>
        <w:rPr>
          <w:sz w:val="24"/>
          <w:szCs w:val="24"/>
        </w:rPr>
      </w:pPr>
    </w:p>
    <w:p w14:paraId="034409AB" w14:textId="30914E4C" w:rsidR="006E6D5A" w:rsidRDefault="006E6D5A" w:rsidP="006E6D5A">
      <w:pPr>
        <w:rPr>
          <w:sz w:val="24"/>
          <w:szCs w:val="24"/>
        </w:rPr>
      </w:pPr>
    </w:p>
    <w:p w14:paraId="51757BB2" w14:textId="1EF4A492" w:rsidR="006E6D5A" w:rsidRDefault="006E6D5A" w:rsidP="006E6D5A">
      <w:pPr>
        <w:rPr>
          <w:sz w:val="24"/>
          <w:szCs w:val="24"/>
        </w:rPr>
      </w:pPr>
    </w:p>
    <w:p w14:paraId="2A5A449D" w14:textId="032CA238" w:rsidR="006E6D5A" w:rsidRDefault="006E6D5A" w:rsidP="006E6D5A">
      <w:pPr>
        <w:rPr>
          <w:sz w:val="24"/>
          <w:szCs w:val="24"/>
        </w:rPr>
      </w:pPr>
    </w:p>
    <w:p w14:paraId="6257F9E9" w14:textId="068B52E7" w:rsidR="006E6D5A" w:rsidRDefault="006E6D5A" w:rsidP="006E6D5A">
      <w:pPr>
        <w:rPr>
          <w:sz w:val="24"/>
          <w:szCs w:val="24"/>
        </w:rPr>
      </w:pPr>
    </w:p>
    <w:p w14:paraId="29F8116E" w14:textId="1706019C" w:rsidR="006E6D5A" w:rsidRDefault="006E6D5A" w:rsidP="006E6D5A">
      <w:pPr>
        <w:rPr>
          <w:sz w:val="24"/>
          <w:szCs w:val="24"/>
        </w:rPr>
      </w:pPr>
    </w:p>
    <w:p w14:paraId="5C786B14" w14:textId="3C19C0EB" w:rsidR="006E6D5A" w:rsidRDefault="006E6D5A" w:rsidP="006E6D5A">
      <w:pPr>
        <w:rPr>
          <w:sz w:val="24"/>
          <w:szCs w:val="24"/>
        </w:rPr>
      </w:pPr>
    </w:p>
    <w:p w14:paraId="430AD3D5" w14:textId="03C678C1" w:rsidR="006E6D5A" w:rsidRDefault="006E6D5A" w:rsidP="006E6D5A">
      <w:pPr>
        <w:rPr>
          <w:sz w:val="24"/>
          <w:szCs w:val="24"/>
        </w:rPr>
      </w:pPr>
    </w:p>
    <w:p w14:paraId="701347B2" w14:textId="348A8504" w:rsidR="006E6D5A" w:rsidRDefault="006E6D5A" w:rsidP="006E6D5A">
      <w:pPr>
        <w:rPr>
          <w:sz w:val="24"/>
          <w:szCs w:val="24"/>
        </w:rPr>
      </w:pPr>
    </w:p>
    <w:p w14:paraId="411DBC33" w14:textId="46BBD32B" w:rsidR="006E6D5A" w:rsidRDefault="006E6D5A" w:rsidP="006E6D5A">
      <w:pPr>
        <w:rPr>
          <w:sz w:val="24"/>
          <w:szCs w:val="24"/>
        </w:rPr>
      </w:pPr>
    </w:p>
    <w:p w14:paraId="2EA0E114" w14:textId="5ED778F0" w:rsidR="006E6D5A" w:rsidRDefault="006E6D5A" w:rsidP="006E6D5A">
      <w:pPr>
        <w:rPr>
          <w:sz w:val="24"/>
          <w:szCs w:val="24"/>
        </w:rPr>
      </w:pPr>
    </w:p>
    <w:p w14:paraId="0B476D4D" w14:textId="79629C4B" w:rsidR="006E6D5A" w:rsidRDefault="006E6D5A" w:rsidP="006E6D5A">
      <w:pPr>
        <w:rPr>
          <w:sz w:val="24"/>
          <w:szCs w:val="24"/>
        </w:rPr>
      </w:pPr>
    </w:p>
    <w:p w14:paraId="5712D285" w14:textId="1AC52EB1" w:rsidR="006E6D5A" w:rsidRDefault="006E6D5A" w:rsidP="006E6D5A">
      <w:pPr>
        <w:rPr>
          <w:sz w:val="24"/>
          <w:szCs w:val="24"/>
        </w:rPr>
      </w:pPr>
    </w:p>
    <w:p w14:paraId="199D0BE1" w14:textId="3B5FDE86" w:rsidR="006E6D5A" w:rsidRDefault="006E6D5A" w:rsidP="006E6D5A">
      <w:pPr>
        <w:rPr>
          <w:sz w:val="24"/>
          <w:szCs w:val="24"/>
        </w:rPr>
      </w:pPr>
    </w:p>
    <w:p w14:paraId="67E89C89" w14:textId="18448FE6" w:rsidR="006E6D5A" w:rsidRDefault="006E6D5A" w:rsidP="006E6D5A">
      <w:pPr>
        <w:rPr>
          <w:sz w:val="24"/>
          <w:szCs w:val="24"/>
        </w:rPr>
      </w:pPr>
    </w:p>
    <w:p w14:paraId="195116C4" w14:textId="14E6AE17" w:rsidR="006E6D5A" w:rsidRDefault="006E6D5A" w:rsidP="006E6D5A">
      <w:pPr>
        <w:rPr>
          <w:sz w:val="24"/>
          <w:szCs w:val="24"/>
        </w:rPr>
      </w:pPr>
    </w:p>
    <w:p w14:paraId="70B1706F" w14:textId="50EE7664" w:rsidR="006E6D5A" w:rsidRDefault="006E6D5A" w:rsidP="006E6D5A">
      <w:pPr>
        <w:rPr>
          <w:sz w:val="24"/>
          <w:szCs w:val="24"/>
        </w:rPr>
      </w:pPr>
    </w:p>
    <w:p w14:paraId="6740BEF4" w14:textId="459075A3" w:rsidR="006E6D5A" w:rsidRDefault="006E6D5A" w:rsidP="006E6D5A">
      <w:pPr>
        <w:rPr>
          <w:sz w:val="24"/>
          <w:szCs w:val="24"/>
        </w:rPr>
      </w:pPr>
    </w:p>
    <w:p w14:paraId="51FDD7F0" w14:textId="7B297EDB" w:rsidR="006E6D5A" w:rsidRDefault="006E6D5A" w:rsidP="006E6D5A">
      <w:pPr>
        <w:rPr>
          <w:sz w:val="24"/>
          <w:szCs w:val="24"/>
        </w:rPr>
      </w:pPr>
    </w:p>
    <w:p w14:paraId="01F49E5C" w14:textId="40BF9D25" w:rsidR="006E6D5A" w:rsidRDefault="006E6D5A" w:rsidP="006E6D5A">
      <w:pPr>
        <w:rPr>
          <w:sz w:val="24"/>
          <w:szCs w:val="24"/>
        </w:rPr>
      </w:pPr>
    </w:p>
    <w:p w14:paraId="11FC7ADF" w14:textId="55B04512" w:rsidR="006E6D5A" w:rsidRDefault="006E6D5A" w:rsidP="006E6D5A">
      <w:pPr>
        <w:rPr>
          <w:sz w:val="24"/>
          <w:szCs w:val="24"/>
        </w:rPr>
      </w:pPr>
    </w:p>
    <w:p w14:paraId="6656A578" w14:textId="27F6EC65" w:rsidR="006E6D5A" w:rsidRDefault="006E6D5A" w:rsidP="006E6D5A">
      <w:pPr>
        <w:rPr>
          <w:sz w:val="24"/>
          <w:szCs w:val="24"/>
        </w:rPr>
      </w:pPr>
    </w:p>
    <w:p w14:paraId="46D7ADBE" w14:textId="5DB8F90E" w:rsidR="006E6D5A" w:rsidRDefault="006E6D5A" w:rsidP="006E6D5A">
      <w:pPr>
        <w:rPr>
          <w:sz w:val="24"/>
          <w:szCs w:val="24"/>
        </w:rPr>
      </w:pPr>
    </w:p>
    <w:p w14:paraId="1C378899" w14:textId="0EC303A3" w:rsidR="006E6D5A" w:rsidRDefault="006E6D5A" w:rsidP="006E6D5A">
      <w:pPr>
        <w:rPr>
          <w:sz w:val="24"/>
          <w:szCs w:val="24"/>
        </w:rPr>
      </w:pPr>
    </w:p>
    <w:p w14:paraId="6A6F4F11" w14:textId="05C05953" w:rsidR="006E6D5A" w:rsidRDefault="006E6D5A" w:rsidP="006E6D5A">
      <w:pPr>
        <w:rPr>
          <w:sz w:val="24"/>
          <w:szCs w:val="24"/>
        </w:rPr>
      </w:pPr>
    </w:p>
    <w:p w14:paraId="3F2F7854" w14:textId="13DA1DF0" w:rsidR="006E6D5A" w:rsidRDefault="006E6D5A" w:rsidP="006E6D5A">
      <w:pPr>
        <w:rPr>
          <w:sz w:val="24"/>
          <w:szCs w:val="24"/>
        </w:rPr>
      </w:pPr>
    </w:p>
    <w:p w14:paraId="31BB33AA" w14:textId="1C500DFF" w:rsidR="006E6D5A" w:rsidRDefault="006E6D5A" w:rsidP="006E6D5A">
      <w:pPr>
        <w:rPr>
          <w:sz w:val="24"/>
          <w:szCs w:val="24"/>
        </w:rPr>
      </w:pPr>
    </w:p>
    <w:p w14:paraId="4635C26F" w14:textId="4C2A07EC" w:rsidR="006E6D5A" w:rsidRDefault="006E6D5A" w:rsidP="006E6D5A">
      <w:pPr>
        <w:rPr>
          <w:sz w:val="24"/>
          <w:szCs w:val="24"/>
        </w:rPr>
      </w:pPr>
    </w:p>
    <w:p w14:paraId="037ECC9E" w14:textId="6CC4DBA4" w:rsidR="006E6D5A" w:rsidRDefault="006E6D5A" w:rsidP="006E6D5A">
      <w:pPr>
        <w:rPr>
          <w:sz w:val="24"/>
          <w:szCs w:val="24"/>
        </w:rPr>
      </w:pPr>
    </w:p>
    <w:p w14:paraId="572B094E" w14:textId="54F50E75" w:rsidR="006E6D5A" w:rsidRDefault="006E6D5A" w:rsidP="006E6D5A">
      <w:pPr>
        <w:rPr>
          <w:sz w:val="24"/>
          <w:szCs w:val="24"/>
        </w:rPr>
      </w:pPr>
    </w:p>
    <w:p w14:paraId="583872B9" w14:textId="0678D61E" w:rsidR="006E6D5A" w:rsidRDefault="006E6D5A" w:rsidP="006E6D5A">
      <w:pPr>
        <w:rPr>
          <w:sz w:val="24"/>
          <w:szCs w:val="24"/>
        </w:rPr>
      </w:pPr>
    </w:p>
    <w:p w14:paraId="64BADDF1" w14:textId="4D69DBAB" w:rsidR="006E6D5A" w:rsidRDefault="006E6D5A" w:rsidP="006E6D5A">
      <w:pPr>
        <w:rPr>
          <w:sz w:val="24"/>
          <w:szCs w:val="24"/>
        </w:rPr>
      </w:pPr>
    </w:p>
    <w:p w14:paraId="711D182B" w14:textId="43071170" w:rsidR="006E6D5A" w:rsidRDefault="006E6D5A" w:rsidP="006E6D5A">
      <w:pPr>
        <w:rPr>
          <w:sz w:val="24"/>
          <w:szCs w:val="24"/>
        </w:rPr>
      </w:pPr>
    </w:p>
    <w:p w14:paraId="0134CB56" w14:textId="570397EA" w:rsidR="006E6D5A" w:rsidRDefault="006E6D5A" w:rsidP="006E6D5A">
      <w:pPr>
        <w:rPr>
          <w:sz w:val="24"/>
          <w:szCs w:val="24"/>
        </w:rPr>
      </w:pPr>
    </w:p>
    <w:p w14:paraId="3FE7BDC1" w14:textId="77777777" w:rsidR="006E6D5A" w:rsidRDefault="006E6D5A" w:rsidP="006E6D5A">
      <w:pPr>
        <w:rPr>
          <w:sz w:val="24"/>
          <w:szCs w:val="24"/>
        </w:rPr>
      </w:pPr>
    </w:p>
    <w:p w14:paraId="46D9BC76" w14:textId="77777777" w:rsidR="006E6D5A" w:rsidRPr="006E6D5A" w:rsidRDefault="006E6D5A" w:rsidP="006E6D5A">
      <w:pPr>
        <w:rPr>
          <w:sz w:val="24"/>
          <w:szCs w:val="24"/>
        </w:rPr>
      </w:pPr>
    </w:p>
    <w:p w14:paraId="78C37DC4" w14:textId="77777777" w:rsidR="006E6D5A" w:rsidRPr="006E6D5A" w:rsidRDefault="006E6D5A" w:rsidP="006E6D5A">
      <w:pPr>
        <w:pStyle w:val="Heading1"/>
        <w:rPr>
          <w:sz w:val="24"/>
          <w:szCs w:val="24"/>
        </w:rPr>
      </w:pPr>
      <w:bookmarkStart w:id="1" w:name="_Toc129102908"/>
      <w:r w:rsidRPr="006E6D5A">
        <w:rPr>
          <w:sz w:val="24"/>
          <w:szCs w:val="24"/>
        </w:rPr>
        <w:t>Changes by Coroners and Justice Act (2009) on Defence of Diminished Responsibility</w:t>
      </w:r>
      <w:bookmarkEnd w:id="1"/>
    </w:p>
    <w:p w14:paraId="79C35E3F" w14:textId="77777777" w:rsidR="006E6D5A" w:rsidRDefault="006E6D5A" w:rsidP="006E6D5A">
      <w:pPr>
        <w:rPr>
          <w:sz w:val="24"/>
          <w:szCs w:val="24"/>
        </w:rPr>
      </w:pPr>
    </w:p>
    <w:p w14:paraId="7EBCD24B" w14:textId="1BED4D83" w:rsidR="006E6D5A" w:rsidRPr="006E6D5A" w:rsidRDefault="006E6D5A" w:rsidP="006E6D5A">
      <w:pPr>
        <w:rPr>
          <w:sz w:val="24"/>
          <w:szCs w:val="24"/>
        </w:rPr>
      </w:pPr>
      <w:r w:rsidRPr="006E6D5A">
        <w:rPr>
          <w:sz w:val="24"/>
          <w:szCs w:val="24"/>
        </w:rPr>
        <w:t xml:space="preserve">According to </w:t>
      </w:r>
      <w:r w:rsidRPr="006E6D5A">
        <w:rPr>
          <w:color w:val="000000" w:themeColor="text1"/>
          <w:sz w:val="24"/>
          <w:szCs w:val="24"/>
        </w:rPr>
        <w:t>Darby</w:t>
      </w:r>
      <w:r w:rsidRPr="006E6D5A">
        <w:rPr>
          <w:sz w:val="24"/>
          <w:szCs w:val="24"/>
        </w:rPr>
        <w:t xml:space="preserve"> </w:t>
      </w:r>
      <w:r w:rsidRPr="006E6D5A">
        <w:rPr>
          <w:i/>
          <w:sz w:val="24"/>
          <w:szCs w:val="24"/>
        </w:rPr>
        <w:t>et al.</w:t>
      </w:r>
      <w:r w:rsidRPr="006E6D5A">
        <w:rPr>
          <w:sz w:val="24"/>
          <w:szCs w:val="24"/>
        </w:rPr>
        <w:t xml:space="preserve"> (2016), diminished responsibility is considered a lawful doctrine that absolves an individual that has been accused due to their criminal act and suffers from mind abnormality that can that have substantially </w:t>
      </w:r>
      <w:r w:rsidRPr="006E6D5A">
        <w:rPr>
          <w:sz w:val="24"/>
          <w:szCs w:val="24"/>
        </w:rPr>
        <w:t>impaired</w:t>
      </w:r>
      <w:r w:rsidRPr="006E6D5A">
        <w:rPr>
          <w:sz w:val="24"/>
          <w:szCs w:val="24"/>
        </w:rPr>
        <w:t xml:space="preserve"> their responsibility of committing an alleged violation. Coroners and Justice Act (2009) is an act to amend the regulation associated with coroners, to registration and certification of deaths, to make provisions about dealing with offenders and criminal justice, and to amend criminal regulation. The defence of diminished responsibility under this regulation is partials which means that if it is successful, the convicted individual would be of manslaughter rather than murder. Therefore, afford the magistrate discretion in punishing. REGINA v Daley [2015] is a case law in which the Court provided the judgment that as the culpability of the defendant is decreased is that due to his mental responsibility for the acts was substantially impaired due to the mental condition that the defendant was suffering from (Hill, 2015). From this case, it is identified that although carrying a harmful weapon is wrong, the condition of the defendant was not well at the time of the stabbing, which can be considered under the defence of reduced responsibility. In the absence of this defence, the magistrate will be obligated to pass a mandatory sentence that the individual would be imprisoned for life. The defences of diminished responsibility which were enacted in the Homicide Act 1957, were redeveloped by the 2009 Act, and they are now considered in court. </w:t>
      </w:r>
    </w:p>
    <w:p w14:paraId="2CDC7E75" w14:textId="6618F771" w:rsidR="006E6D5A" w:rsidRPr="006E6D5A" w:rsidRDefault="006E6D5A" w:rsidP="006E6D5A">
      <w:pPr>
        <w:rPr>
          <w:sz w:val="24"/>
          <w:szCs w:val="24"/>
        </w:rPr>
      </w:pPr>
      <w:r w:rsidRPr="006E6D5A">
        <w:rPr>
          <w:sz w:val="24"/>
          <w:szCs w:val="24"/>
        </w:rPr>
        <w:t xml:space="preserve">Homicide Act 1957 was enacted as a fractional regulation of the public law crime of murder by eradicating the constructive malice policy, reforming fractional provocation </w:t>
      </w:r>
      <w:r w:rsidRPr="006E6D5A">
        <w:rPr>
          <w:sz w:val="24"/>
          <w:szCs w:val="24"/>
        </w:rPr>
        <w:t>defence,</w:t>
      </w:r>
      <w:r w:rsidRPr="006E6D5A">
        <w:rPr>
          <w:sz w:val="24"/>
          <w:szCs w:val="24"/>
        </w:rPr>
        <w:t xml:space="preserve"> and presenting diminished responsibility partial defence. It restricted the use of the demise penalty for murder (Hood and Hoyle, 2017). Under Section 2 of the Homicide Act 1957, on a murder charge, it is for the defence to demonstrate that the individual who is charged is not responsible for being convicted of murder on diminished responsibility basis. It is basically for the defence to develop their defence on the probabilities defence. The need for change occurs due to the diminished responsibility concept that was provided in this regulation. S.2 of this regulation is further considered indefensible. The mental responsibility concept is a hybrid which turns the psychiatrist witness into a spare barrister or thirteenth juryman. The concept of diminished responsibility under this act was considered unsatisfactory, due to which change was required (</w:t>
      </w:r>
      <w:proofErr w:type="spellStart"/>
      <w:r w:rsidRPr="006E6D5A">
        <w:rPr>
          <w:sz w:val="24"/>
          <w:szCs w:val="24"/>
        </w:rPr>
        <w:t>Jurjako</w:t>
      </w:r>
      <w:proofErr w:type="spellEnd"/>
      <w:r w:rsidRPr="006E6D5A">
        <w:rPr>
          <w:sz w:val="24"/>
          <w:szCs w:val="24"/>
        </w:rPr>
        <w:t xml:space="preserve"> and </w:t>
      </w:r>
      <w:proofErr w:type="spellStart"/>
      <w:r w:rsidRPr="006E6D5A">
        <w:rPr>
          <w:sz w:val="24"/>
          <w:szCs w:val="24"/>
        </w:rPr>
        <w:t>Malatesti</w:t>
      </w:r>
      <w:proofErr w:type="spellEnd"/>
      <w:r w:rsidRPr="006E6D5A">
        <w:rPr>
          <w:sz w:val="24"/>
          <w:szCs w:val="24"/>
        </w:rPr>
        <w:t xml:space="preserve">, 2018). The 2009 Ac </w:t>
      </w:r>
      <w:proofErr w:type="spellStart"/>
      <w:r w:rsidRPr="006E6D5A">
        <w:rPr>
          <w:sz w:val="24"/>
          <w:szCs w:val="24"/>
        </w:rPr>
        <w:t>tprepared</w:t>
      </w:r>
      <w:proofErr w:type="spellEnd"/>
      <w:r w:rsidRPr="006E6D5A">
        <w:rPr>
          <w:sz w:val="24"/>
          <w:szCs w:val="24"/>
        </w:rPr>
        <w:t xml:space="preserve"> various changes to the reduced responsibility defence that was described under homicide regulation. The regulations changed the legal test that is taken for diminished responsibility from one that is emphasised a mental abnormality of the defendant to one that emphasises whether the defect substantially reduced the mental accountability of the defendant for the killing. This regulation eradicates the need for the abnormality is required to be caused by a condition of retarded brain development or arrest, or other inherent causes. The regulation further amended the mind abnormality definition to involve psychopathic disorder, mental disability, and mental illness. </w:t>
      </w:r>
    </w:p>
    <w:p w14:paraId="21EC280C" w14:textId="77777777" w:rsidR="006E6D5A" w:rsidRPr="006E6D5A" w:rsidRDefault="006E6D5A" w:rsidP="006E6D5A">
      <w:pPr>
        <w:rPr>
          <w:sz w:val="24"/>
          <w:szCs w:val="24"/>
        </w:rPr>
      </w:pPr>
      <w:r w:rsidRPr="006E6D5A">
        <w:rPr>
          <w:sz w:val="24"/>
          <w:szCs w:val="24"/>
        </w:rPr>
        <w:t xml:space="preserve">Section 52 of the Coroners and Justice Act (2009) deals with the restricted defence of murder of diminished responsibility that is applied in Wales and England (Crofts and Wake, 2021). This act replaces the partial defence definition with a modern one. This section replaces the s.2 Homicide Act 1957 with new subsections (1) to (1B). In R v Dowds [2012] case, the defendant killed their partner with a knife. The defendant inflicted 60 wounds and relied on diminished responsibility partial defence for the health condition in s. 2(1) of 1957 Act which has been changed to s. 52(1) Coroners and Justice Act 2009. The Court provided the judgment that voluntary drunkenness cannot be considered as a partial defence, due to which they did not raise this problem in front of the jury. The defendant was convicted of murder (Stockdale and </w:t>
      </w:r>
      <w:proofErr w:type="spellStart"/>
      <w:r w:rsidRPr="006E6D5A">
        <w:rPr>
          <w:sz w:val="24"/>
          <w:szCs w:val="24"/>
        </w:rPr>
        <w:t>Engleby</w:t>
      </w:r>
      <w:proofErr w:type="spellEnd"/>
      <w:r w:rsidRPr="006E6D5A">
        <w:rPr>
          <w:sz w:val="24"/>
          <w:szCs w:val="24"/>
        </w:rPr>
        <w:t xml:space="preserve">, 2017). From this case, it is assessed that a person who killed another individual while being voluntarily drunk cannot appeal in court under partial defence. From this case, it is further analysed that the judge can direct the panel to diminish responsibility if the alcohol consumption is involuntary. </w:t>
      </w:r>
    </w:p>
    <w:p w14:paraId="2F15E856" w14:textId="61A3755F" w:rsidR="006E6D5A" w:rsidRDefault="006E6D5A" w:rsidP="006E6D5A">
      <w:pPr>
        <w:rPr>
          <w:sz w:val="24"/>
          <w:szCs w:val="24"/>
        </w:rPr>
      </w:pPr>
      <w:r w:rsidRPr="006E6D5A">
        <w:rPr>
          <w:sz w:val="24"/>
          <w:szCs w:val="24"/>
        </w:rPr>
        <w:t xml:space="preserve">The first defence that is considered under the 2009 act is self-control loss. The new defence that has been developed in this regulation is </w:t>
      </w:r>
      <w:r w:rsidRPr="006E6D5A">
        <w:rPr>
          <w:sz w:val="24"/>
          <w:szCs w:val="24"/>
        </w:rPr>
        <w:t>like</w:t>
      </w:r>
      <w:r w:rsidRPr="006E6D5A">
        <w:rPr>
          <w:sz w:val="24"/>
          <w:szCs w:val="24"/>
        </w:rPr>
        <w:t xml:space="preserve"> the 1957 act. The old defence of diminished responsibility of provocation is eradicated under Section 56 of the 2009 Act. Based on s.54 of this regulation, an individual cannot be convicted of murder if the omission which is resulted in killing due to loss of self-control by the defendant. For instance, if a defendant suffering from depression had influenced their capability to maintain self-control, then this can be attributed to the reasonable individual for the objective limb of defence. This means that in cases where the medical condition is impacting the ability of the defendant to retain self-control is a relevant factor for the diminished responsibility defence. </w:t>
      </w:r>
      <w:proofErr w:type="gramStart"/>
      <w:r w:rsidRPr="006E6D5A">
        <w:rPr>
          <w:sz w:val="24"/>
          <w:szCs w:val="24"/>
        </w:rPr>
        <w:t>From assessing the s.52 of the 2009 Act, it</w:t>
      </w:r>
      <w:proofErr w:type="gramEnd"/>
      <w:r w:rsidRPr="006E6D5A">
        <w:rPr>
          <w:sz w:val="24"/>
          <w:szCs w:val="24"/>
        </w:rPr>
        <w:t xml:space="preserve"> is accessed that this regulation has been re-improvised in such a way that it is required by the defendant to </w:t>
      </w:r>
      <w:r w:rsidRPr="006E6D5A">
        <w:rPr>
          <w:sz w:val="24"/>
          <w:szCs w:val="24"/>
        </w:rPr>
        <w:lastRenderedPageBreak/>
        <w:t xml:space="preserve">prove in Court that they have lost control due to some measure factor so that they can appeal under the defence of lessened responsibility in this act. The amendments that have been made in the </w:t>
      </w:r>
      <w:r w:rsidRPr="006E6D5A">
        <w:rPr>
          <w:sz w:val="24"/>
          <w:szCs w:val="24"/>
        </w:rPr>
        <w:t>2009.</w:t>
      </w:r>
      <w:r w:rsidRPr="006E6D5A">
        <w:rPr>
          <w:sz w:val="24"/>
          <w:szCs w:val="24"/>
        </w:rPr>
        <w:t xml:space="preserve"> </w:t>
      </w:r>
    </w:p>
    <w:p w14:paraId="7BC90A28" w14:textId="2C82C03E" w:rsidR="006E6D5A" w:rsidRPr="006E6D5A" w:rsidRDefault="006E6D5A" w:rsidP="006E6D5A">
      <w:pPr>
        <w:rPr>
          <w:b/>
          <w:sz w:val="24"/>
          <w:szCs w:val="24"/>
        </w:rPr>
      </w:pPr>
      <w:r w:rsidRPr="006E6D5A">
        <w:rPr>
          <w:sz w:val="24"/>
          <w:szCs w:val="24"/>
        </w:rPr>
        <w:t xml:space="preserve">act aid the Court in providing rational judgment. Through this act, the individuals that were wrongly convicted due to a lack of understanding about their mental condition were improved. The individual can appeal under the defence of diminished accountability if they were wrongly accused or have lost their self-control due to a qualifying trigger (Nathan and </w:t>
      </w:r>
      <w:proofErr w:type="spellStart"/>
      <w:r w:rsidRPr="006E6D5A">
        <w:rPr>
          <w:sz w:val="24"/>
          <w:szCs w:val="24"/>
        </w:rPr>
        <w:t>Medland</w:t>
      </w:r>
      <w:proofErr w:type="spellEnd"/>
      <w:r w:rsidRPr="006E6D5A">
        <w:rPr>
          <w:sz w:val="24"/>
          <w:szCs w:val="24"/>
        </w:rPr>
        <w:t xml:space="preserve">, 2016). </w:t>
      </w:r>
    </w:p>
    <w:p w14:paraId="6A978A67" w14:textId="767EEE9A" w:rsidR="006E6D5A" w:rsidRDefault="006E6D5A" w:rsidP="006E6D5A">
      <w:pPr>
        <w:rPr>
          <w:sz w:val="24"/>
          <w:szCs w:val="24"/>
        </w:rPr>
      </w:pPr>
      <w:r w:rsidRPr="006E6D5A">
        <w:rPr>
          <w:sz w:val="24"/>
          <w:szCs w:val="24"/>
        </w:rPr>
        <w:t xml:space="preserve">Coroners and Justice Act (2009) Act benefits by preventing criminals from profiting from publications about the crimes that they have committed. This act further abolishes the anachronistic offences of defamatory, obscene libel, seditious and sedition. The diminished responsibility under this act is better understood as defendant acts can be understood, which aids in forming a rational judgment (Johnston and </w:t>
      </w:r>
      <w:proofErr w:type="spellStart"/>
      <w:r w:rsidRPr="006E6D5A">
        <w:rPr>
          <w:sz w:val="24"/>
          <w:szCs w:val="24"/>
        </w:rPr>
        <w:t>Leahey</w:t>
      </w:r>
      <w:proofErr w:type="spellEnd"/>
      <w:r w:rsidRPr="006E6D5A">
        <w:rPr>
          <w:sz w:val="24"/>
          <w:szCs w:val="24"/>
        </w:rPr>
        <w:t xml:space="preserve">, 2022). This defence has become up-to-date due to changes that have been formed. The major disadvantage is that many criminals utilise the definition of mind abnormality for committing crimes and then appeal in court under diminished responsibility so their punishment can be reduced. Another drawback of diminished responsibility under this act is that partial defence has been renamed and renamed as loss and applies to murder cases. This means that any individual can see red and kill someone. This law has narrowed the defendant's scope for this defence. </w:t>
      </w:r>
      <w:proofErr w:type="gramStart"/>
      <w:r w:rsidRPr="006E6D5A">
        <w:rPr>
          <w:sz w:val="24"/>
          <w:szCs w:val="24"/>
        </w:rPr>
        <w:t>For improving the 2009 Act, it</w:t>
      </w:r>
      <w:proofErr w:type="gramEnd"/>
      <w:r w:rsidRPr="006E6D5A">
        <w:rPr>
          <w:sz w:val="24"/>
          <w:szCs w:val="24"/>
        </w:rPr>
        <w:t xml:space="preserve"> is recommended that the government of the UK need to improve their focus on modernising the medical, judicially, and socially fundamental regulatory systems that are related to deaths. The concept related to diminished responsibility needs to be improved so that criminals who are misusing this act for their own benefit and reducing punishment can be provided with more severe convictions. It is required by the magistrate to assess the mental health history of the defendant who is appealing in court with diminished responsibility so that better judgment can be provided. The legal bodies in the UK need to reform this act so that better definitions related to mind abnormality and mental illness can be provided. </w:t>
      </w:r>
    </w:p>
    <w:p w14:paraId="7E946F18" w14:textId="364638CC" w:rsidR="006E6D5A" w:rsidRDefault="006E6D5A" w:rsidP="006E6D5A">
      <w:pPr>
        <w:rPr>
          <w:sz w:val="24"/>
          <w:szCs w:val="24"/>
        </w:rPr>
      </w:pPr>
    </w:p>
    <w:p w14:paraId="3EFDB7CF" w14:textId="21362680" w:rsidR="006E6D5A" w:rsidRDefault="006E6D5A" w:rsidP="006E6D5A">
      <w:pPr>
        <w:rPr>
          <w:sz w:val="24"/>
          <w:szCs w:val="24"/>
        </w:rPr>
      </w:pPr>
    </w:p>
    <w:p w14:paraId="356FC34F" w14:textId="38CDCFCC" w:rsidR="006E6D5A" w:rsidRDefault="006E6D5A" w:rsidP="006E6D5A">
      <w:pPr>
        <w:rPr>
          <w:sz w:val="24"/>
          <w:szCs w:val="24"/>
        </w:rPr>
      </w:pPr>
    </w:p>
    <w:p w14:paraId="4AA99D00" w14:textId="60340913" w:rsidR="006E6D5A" w:rsidRDefault="006E6D5A" w:rsidP="006E6D5A">
      <w:pPr>
        <w:rPr>
          <w:sz w:val="24"/>
          <w:szCs w:val="24"/>
        </w:rPr>
      </w:pPr>
    </w:p>
    <w:p w14:paraId="474CF87E" w14:textId="16CFA46B" w:rsidR="006E6D5A" w:rsidRDefault="006E6D5A" w:rsidP="006E6D5A">
      <w:pPr>
        <w:rPr>
          <w:sz w:val="24"/>
          <w:szCs w:val="24"/>
        </w:rPr>
      </w:pPr>
    </w:p>
    <w:p w14:paraId="36E34C74" w14:textId="393E0ACC" w:rsidR="006E6D5A" w:rsidRDefault="006E6D5A" w:rsidP="006E6D5A">
      <w:pPr>
        <w:rPr>
          <w:sz w:val="24"/>
          <w:szCs w:val="24"/>
        </w:rPr>
      </w:pPr>
    </w:p>
    <w:p w14:paraId="1C30F72C" w14:textId="2EB21BB5" w:rsidR="006E6D5A" w:rsidRDefault="006E6D5A" w:rsidP="006E6D5A">
      <w:pPr>
        <w:rPr>
          <w:sz w:val="24"/>
          <w:szCs w:val="24"/>
        </w:rPr>
      </w:pPr>
    </w:p>
    <w:p w14:paraId="01DDB6EA" w14:textId="0F270DB9" w:rsidR="006E6D5A" w:rsidRDefault="006E6D5A" w:rsidP="006E6D5A">
      <w:pPr>
        <w:rPr>
          <w:sz w:val="24"/>
          <w:szCs w:val="24"/>
        </w:rPr>
      </w:pPr>
    </w:p>
    <w:p w14:paraId="68462801" w14:textId="14E862BE" w:rsidR="006E6D5A" w:rsidRDefault="006E6D5A" w:rsidP="006E6D5A">
      <w:pPr>
        <w:rPr>
          <w:sz w:val="24"/>
          <w:szCs w:val="24"/>
        </w:rPr>
      </w:pPr>
    </w:p>
    <w:p w14:paraId="3220BE42" w14:textId="1C9AA5CC" w:rsidR="006E6D5A" w:rsidRDefault="006E6D5A" w:rsidP="006E6D5A">
      <w:pPr>
        <w:rPr>
          <w:sz w:val="24"/>
          <w:szCs w:val="24"/>
        </w:rPr>
      </w:pPr>
    </w:p>
    <w:p w14:paraId="73D7529B" w14:textId="1325A85E" w:rsidR="006E6D5A" w:rsidRDefault="006E6D5A" w:rsidP="006E6D5A">
      <w:pPr>
        <w:rPr>
          <w:sz w:val="24"/>
          <w:szCs w:val="24"/>
        </w:rPr>
      </w:pPr>
    </w:p>
    <w:p w14:paraId="26B8DD51" w14:textId="44EF335B" w:rsidR="006E6D5A" w:rsidRDefault="006E6D5A" w:rsidP="006E6D5A">
      <w:pPr>
        <w:rPr>
          <w:sz w:val="24"/>
          <w:szCs w:val="24"/>
        </w:rPr>
      </w:pPr>
    </w:p>
    <w:p w14:paraId="27920FE3" w14:textId="3D571F89" w:rsidR="006E6D5A" w:rsidRDefault="006E6D5A" w:rsidP="006E6D5A">
      <w:pPr>
        <w:rPr>
          <w:sz w:val="24"/>
          <w:szCs w:val="24"/>
        </w:rPr>
      </w:pPr>
    </w:p>
    <w:p w14:paraId="5261A282" w14:textId="5AEA8CF8" w:rsidR="006E6D5A" w:rsidRDefault="006E6D5A" w:rsidP="006E6D5A">
      <w:pPr>
        <w:rPr>
          <w:sz w:val="24"/>
          <w:szCs w:val="24"/>
        </w:rPr>
      </w:pPr>
    </w:p>
    <w:p w14:paraId="732EE7B9" w14:textId="520DA819" w:rsidR="006E6D5A" w:rsidRDefault="006E6D5A" w:rsidP="006E6D5A">
      <w:pPr>
        <w:rPr>
          <w:sz w:val="24"/>
          <w:szCs w:val="24"/>
        </w:rPr>
      </w:pPr>
    </w:p>
    <w:p w14:paraId="70F69C1F" w14:textId="182C72FA" w:rsidR="006E6D5A" w:rsidRDefault="006E6D5A" w:rsidP="006E6D5A">
      <w:pPr>
        <w:rPr>
          <w:sz w:val="24"/>
          <w:szCs w:val="24"/>
        </w:rPr>
      </w:pPr>
    </w:p>
    <w:p w14:paraId="7C439F88" w14:textId="48B57F80" w:rsidR="006E6D5A" w:rsidRDefault="006E6D5A" w:rsidP="006E6D5A">
      <w:pPr>
        <w:rPr>
          <w:sz w:val="24"/>
          <w:szCs w:val="24"/>
        </w:rPr>
      </w:pPr>
    </w:p>
    <w:p w14:paraId="75E92617" w14:textId="336E1E1B" w:rsidR="006E6D5A" w:rsidRDefault="006E6D5A" w:rsidP="006E6D5A">
      <w:pPr>
        <w:rPr>
          <w:sz w:val="24"/>
          <w:szCs w:val="24"/>
        </w:rPr>
      </w:pPr>
    </w:p>
    <w:p w14:paraId="2285CE0C" w14:textId="153FEC56" w:rsidR="006E6D5A" w:rsidRDefault="006E6D5A" w:rsidP="006E6D5A">
      <w:pPr>
        <w:rPr>
          <w:sz w:val="24"/>
          <w:szCs w:val="24"/>
        </w:rPr>
      </w:pPr>
    </w:p>
    <w:p w14:paraId="505A5E08" w14:textId="383BE7D0" w:rsidR="006E6D5A" w:rsidRDefault="006E6D5A" w:rsidP="006E6D5A">
      <w:pPr>
        <w:rPr>
          <w:sz w:val="24"/>
          <w:szCs w:val="24"/>
        </w:rPr>
      </w:pPr>
    </w:p>
    <w:p w14:paraId="6D38E7B5" w14:textId="6E70CDD4" w:rsidR="006E6D5A" w:rsidRDefault="006E6D5A" w:rsidP="006E6D5A">
      <w:pPr>
        <w:rPr>
          <w:sz w:val="24"/>
          <w:szCs w:val="24"/>
        </w:rPr>
      </w:pPr>
    </w:p>
    <w:p w14:paraId="789540C3" w14:textId="1047235A" w:rsidR="006E6D5A" w:rsidRDefault="006E6D5A" w:rsidP="006E6D5A">
      <w:pPr>
        <w:rPr>
          <w:sz w:val="24"/>
          <w:szCs w:val="24"/>
        </w:rPr>
      </w:pPr>
    </w:p>
    <w:p w14:paraId="1423F70F" w14:textId="1BF18A73" w:rsidR="006E6D5A" w:rsidRDefault="006E6D5A" w:rsidP="006E6D5A">
      <w:pPr>
        <w:rPr>
          <w:sz w:val="24"/>
          <w:szCs w:val="24"/>
        </w:rPr>
      </w:pPr>
    </w:p>
    <w:p w14:paraId="1C5917D9" w14:textId="6033EBB6" w:rsidR="006E6D5A" w:rsidRDefault="006E6D5A" w:rsidP="006E6D5A">
      <w:pPr>
        <w:rPr>
          <w:sz w:val="24"/>
          <w:szCs w:val="24"/>
        </w:rPr>
      </w:pPr>
    </w:p>
    <w:p w14:paraId="42E6943C" w14:textId="007517FA" w:rsidR="006E6D5A" w:rsidRDefault="006E6D5A" w:rsidP="006E6D5A">
      <w:pPr>
        <w:rPr>
          <w:sz w:val="24"/>
          <w:szCs w:val="24"/>
        </w:rPr>
      </w:pPr>
    </w:p>
    <w:p w14:paraId="27257484" w14:textId="76A344D9" w:rsidR="006E6D5A" w:rsidRDefault="006E6D5A" w:rsidP="006E6D5A">
      <w:pPr>
        <w:rPr>
          <w:sz w:val="24"/>
          <w:szCs w:val="24"/>
        </w:rPr>
      </w:pPr>
    </w:p>
    <w:p w14:paraId="7095313D" w14:textId="235A1574" w:rsidR="006E6D5A" w:rsidRDefault="006E6D5A" w:rsidP="006E6D5A">
      <w:pPr>
        <w:rPr>
          <w:sz w:val="24"/>
          <w:szCs w:val="24"/>
        </w:rPr>
      </w:pPr>
    </w:p>
    <w:p w14:paraId="51F5B9C3" w14:textId="5D646533" w:rsidR="006E6D5A" w:rsidRDefault="006E6D5A" w:rsidP="006E6D5A">
      <w:pPr>
        <w:rPr>
          <w:sz w:val="24"/>
          <w:szCs w:val="24"/>
        </w:rPr>
      </w:pPr>
    </w:p>
    <w:p w14:paraId="6F8B4D2F" w14:textId="54054923" w:rsidR="006E6D5A" w:rsidRDefault="006E6D5A" w:rsidP="006E6D5A">
      <w:pPr>
        <w:rPr>
          <w:sz w:val="24"/>
          <w:szCs w:val="24"/>
        </w:rPr>
      </w:pPr>
    </w:p>
    <w:p w14:paraId="69D3A14C" w14:textId="6357E996" w:rsidR="006E6D5A" w:rsidRDefault="006E6D5A" w:rsidP="006E6D5A">
      <w:pPr>
        <w:rPr>
          <w:sz w:val="24"/>
          <w:szCs w:val="24"/>
        </w:rPr>
      </w:pPr>
    </w:p>
    <w:p w14:paraId="3EA901F3" w14:textId="0A9B8995" w:rsidR="006E6D5A" w:rsidRDefault="006E6D5A" w:rsidP="006E6D5A">
      <w:pPr>
        <w:rPr>
          <w:sz w:val="24"/>
          <w:szCs w:val="24"/>
        </w:rPr>
      </w:pPr>
    </w:p>
    <w:p w14:paraId="0BF9CF88" w14:textId="418108C1" w:rsidR="006E6D5A" w:rsidRDefault="006E6D5A" w:rsidP="006E6D5A">
      <w:pPr>
        <w:rPr>
          <w:sz w:val="24"/>
          <w:szCs w:val="24"/>
        </w:rPr>
      </w:pPr>
    </w:p>
    <w:p w14:paraId="0E399CC2" w14:textId="114325E4" w:rsidR="006E6D5A" w:rsidRDefault="006E6D5A" w:rsidP="006E6D5A">
      <w:pPr>
        <w:rPr>
          <w:sz w:val="24"/>
          <w:szCs w:val="24"/>
        </w:rPr>
      </w:pPr>
    </w:p>
    <w:p w14:paraId="5811439D" w14:textId="1741D87F" w:rsidR="006E6D5A" w:rsidRDefault="006E6D5A" w:rsidP="006E6D5A">
      <w:pPr>
        <w:rPr>
          <w:sz w:val="24"/>
          <w:szCs w:val="24"/>
        </w:rPr>
      </w:pPr>
    </w:p>
    <w:p w14:paraId="541B31D0" w14:textId="77777777" w:rsidR="006E6D5A" w:rsidRPr="006E6D5A" w:rsidRDefault="006E6D5A" w:rsidP="006E6D5A">
      <w:pPr>
        <w:rPr>
          <w:sz w:val="24"/>
          <w:szCs w:val="24"/>
        </w:rPr>
      </w:pPr>
    </w:p>
    <w:p w14:paraId="52A58495" w14:textId="77777777" w:rsidR="006E6D5A" w:rsidRPr="006E6D5A" w:rsidRDefault="006E6D5A" w:rsidP="006E6D5A">
      <w:pPr>
        <w:pStyle w:val="Heading1"/>
        <w:rPr>
          <w:sz w:val="24"/>
          <w:szCs w:val="24"/>
        </w:rPr>
      </w:pPr>
      <w:bookmarkStart w:id="2" w:name="_Toc129102909"/>
      <w:r w:rsidRPr="006E6D5A">
        <w:rPr>
          <w:sz w:val="24"/>
          <w:szCs w:val="24"/>
        </w:rPr>
        <w:t>Conclusion</w:t>
      </w:r>
      <w:bookmarkEnd w:id="2"/>
      <w:r w:rsidRPr="006E6D5A">
        <w:rPr>
          <w:sz w:val="24"/>
          <w:szCs w:val="24"/>
        </w:rPr>
        <w:t xml:space="preserve"> </w:t>
      </w:r>
    </w:p>
    <w:p w14:paraId="5933310B" w14:textId="77777777" w:rsidR="006E6D5A" w:rsidRDefault="006E6D5A" w:rsidP="006E6D5A">
      <w:pPr>
        <w:rPr>
          <w:sz w:val="24"/>
          <w:szCs w:val="24"/>
        </w:rPr>
      </w:pPr>
    </w:p>
    <w:p w14:paraId="32DC28F0" w14:textId="4A0266EB" w:rsidR="006E6D5A" w:rsidRPr="006E6D5A" w:rsidRDefault="006E6D5A" w:rsidP="006E6D5A">
      <w:pPr>
        <w:rPr>
          <w:sz w:val="24"/>
          <w:szCs w:val="24"/>
        </w:rPr>
      </w:pPr>
      <w:r w:rsidRPr="006E6D5A">
        <w:rPr>
          <w:sz w:val="24"/>
          <w:szCs w:val="24"/>
        </w:rPr>
        <w:t xml:space="preserve">In a nutshell, it can summarise that Coroners and Justice Act (2009) was reformed from the Homicide Act of 1957. This act brought various changes to improve the meaning of diminished responsibility. The amendments that have been made in this regulation have provided better meaning to diminished responsibility. This regulation provided an improved definition of mental abnormality. This act eradicates the offences of obscene libel, defamatory and many others. From various case studies, it has been identified that Courts have better understood the meaning of voluntary and involuntary harm so that appeal of defence of diminished responsibility can be accepted or revoked. </w:t>
      </w:r>
    </w:p>
    <w:p w14:paraId="431B4CBD" w14:textId="77777777" w:rsidR="006E6D5A" w:rsidRPr="006E6D5A" w:rsidRDefault="006E6D5A" w:rsidP="006E6D5A">
      <w:pPr>
        <w:rPr>
          <w:sz w:val="24"/>
          <w:szCs w:val="24"/>
        </w:rPr>
      </w:pPr>
      <w:r w:rsidRPr="006E6D5A">
        <w:rPr>
          <w:sz w:val="24"/>
          <w:szCs w:val="24"/>
        </w:rPr>
        <w:br w:type="page"/>
      </w:r>
    </w:p>
    <w:p w14:paraId="095BC86E" w14:textId="77777777" w:rsidR="006E6D5A" w:rsidRPr="006E6D5A" w:rsidRDefault="006E6D5A" w:rsidP="006E6D5A">
      <w:pPr>
        <w:pStyle w:val="Heading1"/>
        <w:rPr>
          <w:sz w:val="24"/>
          <w:szCs w:val="24"/>
        </w:rPr>
      </w:pPr>
      <w:bookmarkStart w:id="3" w:name="_Toc129102910"/>
      <w:r w:rsidRPr="006E6D5A">
        <w:rPr>
          <w:sz w:val="24"/>
          <w:szCs w:val="24"/>
        </w:rPr>
        <w:lastRenderedPageBreak/>
        <w:t>References</w:t>
      </w:r>
      <w:bookmarkEnd w:id="3"/>
    </w:p>
    <w:p w14:paraId="423B3F29" w14:textId="77777777" w:rsidR="006E6D5A" w:rsidRDefault="006E6D5A" w:rsidP="006E6D5A">
      <w:pPr>
        <w:ind w:left="720" w:hanging="720"/>
        <w:rPr>
          <w:sz w:val="24"/>
          <w:szCs w:val="24"/>
        </w:rPr>
      </w:pPr>
    </w:p>
    <w:p w14:paraId="2124C84E" w14:textId="17E4DE92" w:rsidR="006E6D5A" w:rsidRPr="006E6D5A" w:rsidRDefault="006E6D5A" w:rsidP="006E6D5A">
      <w:pPr>
        <w:ind w:left="720" w:hanging="720"/>
        <w:rPr>
          <w:sz w:val="24"/>
          <w:szCs w:val="24"/>
        </w:rPr>
      </w:pPr>
      <w:r w:rsidRPr="006E6D5A">
        <w:rPr>
          <w:sz w:val="24"/>
          <w:szCs w:val="24"/>
        </w:rPr>
        <w:t xml:space="preserve">Crofts, T. and Wake, N., 2021. Diminished responsibility determinations in England and Wales and New South Wales: whose role is it </w:t>
      </w:r>
      <w:r w:rsidRPr="006E6D5A">
        <w:rPr>
          <w:sz w:val="24"/>
          <w:szCs w:val="24"/>
        </w:rPr>
        <w:t>anyway.</w:t>
      </w:r>
      <w:r w:rsidRPr="006E6D5A">
        <w:rPr>
          <w:sz w:val="24"/>
          <w:szCs w:val="24"/>
        </w:rPr>
        <w:t> </w:t>
      </w:r>
      <w:r w:rsidRPr="006E6D5A">
        <w:rPr>
          <w:i/>
          <w:iCs/>
          <w:sz w:val="24"/>
          <w:szCs w:val="24"/>
        </w:rPr>
        <w:t>Northern Ireland Legal Quarterly</w:t>
      </w:r>
      <w:r w:rsidRPr="006E6D5A">
        <w:rPr>
          <w:sz w:val="24"/>
          <w:szCs w:val="24"/>
        </w:rPr>
        <w:t>, </w:t>
      </w:r>
      <w:r w:rsidRPr="006E6D5A">
        <w:rPr>
          <w:i/>
          <w:iCs/>
          <w:sz w:val="24"/>
          <w:szCs w:val="24"/>
        </w:rPr>
        <w:t>72</w:t>
      </w:r>
      <w:r w:rsidRPr="006E6D5A">
        <w:rPr>
          <w:sz w:val="24"/>
          <w:szCs w:val="24"/>
        </w:rPr>
        <w:t>(2), pp.324-362.</w:t>
      </w:r>
    </w:p>
    <w:p w14:paraId="1B250F7C" w14:textId="77777777" w:rsidR="006E6D5A" w:rsidRPr="006E6D5A" w:rsidRDefault="006E6D5A" w:rsidP="006E6D5A">
      <w:pPr>
        <w:ind w:left="720" w:hanging="720"/>
        <w:rPr>
          <w:color w:val="000000" w:themeColor="text1"/>
          <w:sz w:val="24"/>
          <w:szCs w:val="24"/>
        </w:rPr>
      </w:pPr>
      <w:r w:rsidRPr="006E6D5A">
        <w:rPr>
          <w:color w:val="000000" w:themeColor="text1"/>
          <w:sz w:val="24"/>
          <w:szCs w:val="24"/>
        </w:rPr>
        <w:t xml:space="preserve">Darby, R.R., </w:t>
      </w:r>
      <w:proofErr w:type="spellStart"/>
      <w:r w:rsidRPr="006E6D5A">
        <w:rPr>
          <w:color w:val="000000" w:themeColor="text1"/>
          <w:sz w:val="24"/>
          <w:szCs w:val="24"/>
        </w:rPr>
        <w:t>Edersheim</w:t>
      </w:r>
      <w:proofErr w:type="spellEnd"/>
      <w:r w:rsidRPr="006E6D5A">
        <w:rPr>
          <w:color w:val="000000" w:themeColor="text1"/>
          <w:sz w:val="24"/>
          <w:szCs w:val="24"/>
        </w:rPr>
        <w:t xml:space="preserve">, J. and Price, B.H., 2016. What patients with </w:t>
      </w:r>
      <w:proofErr w:type="spellStart"/>
      <w:r w:rsidRPr="006E6D5A">
        <w:rPr>
          <w:color w:val="000000" w:themeColor="text1"/>
          <w:sz w:val="24"/>
          <w:szCs w:val="24"/>
        </w:rPr>
        <w:t>behavioral</w:t>
      </w:r>
      <w:proofErr w:type="spellEnd"/>
      <w:r w:rsidRPr="006E6D5A">
        <w:rPr>
          <w:color w:val="000000" w:themeColor="text1"/>
          <w:sz w:val="24"/>
          <w:szCs w:val="24"/>
        </w:rPr>
        <w:t>-variant frontotemporal dementia can teach us about moral responsibility. </w:t>
      </w:r>
      <w:r w:rsidRPr="006E6D5A">
        <w:rPr>
          <w:i/>
          <w:iCs/>
          <w:color w:val="000000" w:themeColor="text1"/>
          <w:sz w:val="24"/>
          <w:szCs w:val="24"/>
        </w:rPr>
        <w:t>AJOB Neuroscience</w:t>
      </w:r>
      <w:r w:rsidRPr="006E6D5A">
        <w:rPr>
          <w:color w:val="000000" w:themeColor="text1"/>
          <w:sz w:val="24"/>
          <w:szCs w:val="24"/>
        </w:rPr>
        <w:t>, </w:t>
      </w:r>
      <w:r w:rsidRPr="006E6D5A">
        <w:rPr>
          <w:i/>
          <w:iCs/>
          <w:color w:val="000000" w:themeColor="text1"/>
          <w:sz w:val="24"/>
          <w:szCs w:val="24"/>
        </w:rPr>
        <w:t>7</w:t>
      </w:r>
      <w:r w:rsidRPr="006E6D5A">
        <w:rPr>
          <w:color w:val="000000" w:themeColor="text1"/>
          <w:sz w:val="24"/>
          <w:szCs w:val="24"/>
        </w:rPr>
        <w:t>(4), pp.193-201.</w:t>
      </w:r>
    </w:p>
    <w:p w14:paraId="77CFD5E5" w14:textId="77777777" w:rsidR="006E6D5A" w:rsidRPr="006E6D5A" w:rsidRDefault="006E6D5A" w:rsidP="006E6D5A">
      <w:pPr>
        <w:ind w:left="720" w:hanging="720"/>
        <w:rPr>
          <w:sz w:val="24"/>
          <w:szCs w:val="24"/>
        </w:rPr>
      </w:pPr>
      <w:r w:rsidRPr="006E6D5A">
        <w:rPr>
          <w:sz w:val="24"/>
          <w:szCs w:val="24"/>
        </w:rPr>
        <w:t>Hill, T., 2015. Inmates' need for federally funded lawyers: How the Prison Litigation Reform Act, Casey, and Iqbal combine with implicit bias to eviscerate inmate civil rights. </w:t>
      </w:r>
      <w:r w:rsidRPr="006E6D5A">
        <w:rPr>
          <w:i/>
          <w:iCs/>
          <w:sz w:val="24"/>
          <w:szCs w:val="24"/>
        </w:rPr>
        <w:t>UCLA L. Rev.</w:t>
      </w:r>
      <w:r w:rsidRPr="006E6D5A">
        <w:rPr>
          <w:sz w:val="24"/>
          <w:szCs w:val="24"/>
        </w:rPr>
        <w:t>, </w:t>
      </w:r>
      <w:r w:rsidRPr="006E6D5A">
        <w:rPr>
          <w:i/>
          <w:iCs/>
          <w:sz w:val="24"/>
          <w:szCs w:val="24"/>
        </w:rPr>
        <w:t>62</w:t>
      </w:r>
      <w:r w:rsidRPr="006E6D5A">
        <w:rPr>
          <w:sz w:val="24"/>
          <w:szCs w:val="24"/>
        </w:rPr>
        <w:t>, p.175.</w:t>
      </w:r>
    </w:p>
    <w:p w14:paraId="7B4DA7D3" w14:textId="0F20A622" w:rsidR="006E6D5A" w:rsidRPr="006E6D5A" w:rsidRDefault="006E6D5A" w:rsidP="006E6D5A">
      <w:pPr>
        <w:ind w:left="720" w:hanging="720"/>
        <w:rPr>
          <w:sz w:val="24"/>
          <w:szCs w:val="24"/>
        </w:rPr>
      </w:pPr>
      <w:r w:rsidRPr="006E6D5A">
        <w:rPr>
          <w:sz w:val="24"/>
          <w:szCs w:val="24"/>
        </w:rPr>
        <w:t xml:space="preserve">Hood, R. and Hoyle, C., 2017. Towards the global elimination of the death penalty: A cruel, </w:t>
      </w:r>
      <w:r w:rsidRPr="006E6D5A">
        <w:rPr>
          <w:sz w:val="24"/>
          <w:szCs w:val="24"/>
        </w:rPr>
        <w:t>inhuman,</w:t>
      </w:r>
      <w:r w:rsidRPr="006E6D5A">
        <w:rPr>
          <w:sz w:val="24"/>
          <w:szCs w:val="24"/>
        </w:rPr>
        <w:t xml:space="preserve"> and degrading punishment. In </w:t>
      </w:r>
      <w:r w:rsidRPr="006E6D5A">
        <w:rPr>
          <w:i/>
          <w:iCs/>
          <w:sz w:val="24"/>
          <w:szCs w:val="24"/>
        </w:rPr>
        <w:t xml:space="preserve">Alternative </w:t>
      </w:r>
      <w:proofErr w:type="spellStart"/>
      <w:r w:rsidRPr="006E6D5A">
        <w:rPr>
          <w:i/>
          <w:iCs/>
          <w:sz w:val="24"/>
          <w:szCs w:val="24"/>
        </w:rPr>
        <w:t>criminologies</w:t>
      </w:r>
      <w:proofErr w:type="spellEnd"/>
      <w:r w:rsidRPr="006E6D5A">
        <w:rPr>
          <w:sz w:val="24"/>
          <w:szCs w:val="24"/>
        </w:rPr>
        <w:t> (pp. 400-422). Routledge.</w:t>
      </w:r>
    </w:p>
    <w:p w14:paraId="6D2C50BF" w14:textId="77777777" w:rsidR="006E6D5A" w:rsidRPr="006E6D5A" w:rsidRDefault="006E6D5A" w:rsidP="006E6D5A">
      <w:pPr>
        <w:ind w:left="720" w:hanging="720"/>
        <w:rPr>
          <w:sz w:val="24"/>
          <w:szCs w:val="24"/>
        </w:rPr>
      </w:pPr>
      <w:r w:rsidRPr="006E6D5A">
        <w:rPr>
          <w:sz w:val="24"/>
          <w:szCs w:val="24"/>
        </w:rPr>
        <w:t xml:space="preserve">Johnston, E.L. and </w:t>
      </w:r>
      <w:proofErr w:type="spellStart"/>
      <w:r w:rsidRPr="006E6D5A">
        <w:rPr>
          <w:sz w:val="24"/>
          <w:szCs w:val="24"/>
        </w:rPr>
        <w:t>Leahey</w:t>
      </w:r>
      <w:proofErr w:type="spellEnd"/>
      <w:r w:rsidRPr="006E6D5A">
        <w:rPr>
          <w:sz w:val="24"/>
          <w:szCs w:val="24"/>
        </w:rPr>
        <w:t>, V.T., 2022. Psychosis, heat of passion, and diminished responsibility. </w:t>
      </w:r>
      <w:r w:rsidRPr="006E6D5A">
        <w:rPr>
          <w:i/>
          <w:iCs/>
          <w:sz w:val="24"/>
          <w:szCs w:val="24"/>
        </w:rPr>
        <w:t>BCL Rev.</w:t>
      </w:r>
      <w:r w:rsidRPr="006E6D5A">
        <w:rPr>
          <w:sz w:val="24"/>
          <w:szCs w:val="24"/>
        </w:rPr>
        <w:t>, </w:t>
      </w:r>
      <w:r w:rsidRPr="006E6D5A">
        <w:rPr>
          <w:i/>
          <w:iCs/>
          <w:sz w:val="24"/>
          <w:szCs w:val="24"/>
        </w:rPr>
        <w:t>63</w:t>
      </w:r>
      <w:r w:rsidRPr="006E6D5A">
        <w:rPr>
          <w:sz w:val="24"/>
          <w:szCs w:val="24"/>
        </w:rPr>
        <w:t>, p.1227.</w:t>
      </w:r>
    </w:p>
    <w:p w14:paraId="58229C68" w14:textId="77777777" w:rsidR="006E6D5A" w:rsidRPr="006E6D5A" w:rsidRDefault="006E6D5A" w:rsidP="006E6D5A">
      <w:pPr>
        <w:ind w:left="720" w:hanging="720"/>
        <w:rPr>
          <w:sz w:val="24"/>
          <w:szCs w:val="24"/>
        </w:rPr>
      </w:pPr>
      <w:proofErr w:type="spellStart"/>
      <w:r w:rsidRPr="006E6D5A">
        <w:rPr>
          <w:sz w:val="24"/>
          <w:szCs w:val="24"/>
        </w:rPr>
        <w:t>Jurjako</w:t>
      </w:r>
      <w:proofErr w:type="spellEnd"/>
      <w:r w:rsidRPr="006E6D5A">
        <w:rPr>
          <w:sz w:val="24"/>
          <w:szCs w:val="24"/>
        </w:rPr>
        <w:t xml:space="preserve">, M. and </w:t>
      </w:r>
      <w:proofErr w:type="spellStart"/>
      <w:r w:rsidRPr="006E6D5A">
        <w:rPr>
          <w:sz w:val="24"/>
          <w:szCs w:val="24"/>
        </w:rPr>
        <w:t>Malatesti</w:t>
      </w:r>
      <w:proofErr w:type="spellEnd"/>
      <w:r w:rsidRPr="006E6D5A">
        <w:rPr>
          <w:sz w:val="24"/>
          <w:szCs w:val="24"/>
        </w:rPr>
        <w:t>, L., 2018. Neuropsychology and the criminal responsibility of psychopaths: Reconsidering the evidence. </w:t>
      </w:r>
      <w:proofErr w:type="spellStart"/>
      <w:r w:rsidRPr="006E6D5A">
        <w:rPr>
          <w:i/>
          <w:iCs/>
          <w:sz w:val="24"/>
          <w:szCs w:val="24"/>
        </w:rPr>
        <w:t>Erkenntnis</w:t>
      </w:r>
      <w:proofErr w:type="spellEnd"/>
      <w:r w:rsidRPr="006E6D5A">
        <w:rPr>
          <w:sz w:val="24"/>
          <w:szCs w:val="24"/>
        </w:rPr>
        <w:t>, </w:t>
      </w:r>
      <w:r w:rsidRPr="006E6D5A">
        <w:rPr>
          <w:i/>
          <w:iCs/>
          <w:sz w:val="24"/>
          <w:szCs w:val="24"/>
        </w:rPr>
        <w:t>83</w:t>
      </w:r>
      <w:r w:rsidRPr="006E6D5A">
        <w:rPr>
          <w:sz w:val="24"/>
          <w:szCs w:val="24"/>
        </w:rPr>
        <w:t>(5), pp.1003-1025.</w:t>
      </w:r>
    </w:p>
    <w:p w14:paraId="42D726B6" w14:textId="77777777" w:rsidR="006E6D5A" w:rsidRPr="006E6D5A" w:rsidRDefault="006E6D5A" w:rsidP="006E6D5A">
      <w:pPr>
        <w:ind w:left="720" w:hanging="720"/>
        <w:rPr>
          <w:sz w:val="24"/>
          <w:szCs w:val="24"/>
        </w:rPr>
      </w:pPr>
      <w:r w:rsidRPr="006E6D5A">
        <w:rPr>
          <w:sz w:val="24"/>
          <w:szCs w:val="24"/>
        </w:rPr>
        <w:t xml:space="preserve">Nathan, R. and </w:t>
      </w:r>
      <w:proofErr w:type="spellStart"/>
      <w:r w:rsidRPr="006E6D5A">
        <w:rPr>
          <w:sz w:val="24"/>
          <w:szCs w:val="24"/>
        </w:rPr>
        <w:t>Medland</w:t>
      </w:r>
      <w:proofErr w:type="spellEnd"/>
      <w:r w:rsidRPr="006E6D5A">
        <w:rPr>
          <w:sz w:val="24"/>
          <w:szCs w:val="24"/>
        </w:rPr>
        <w:t>, S., 2016. Psychiatric expert evidence and the new partial defences of diminished responsibility and loss of control. </w:t>
      </w:r>
      <w:proofErr w:type="spellStart"/>
      <w:r w:rsidRPr="006E6D5A">
        <w:rPr>
          <w:i/>
          <w:iCs/>
          <w:sz w:val="24"/>
          <w:szCs w:val="24"/>
        </w:rPr>
        <w:t>BJPsych</w:t>
      </w:r>
      <w:proofErr w:type="spellEnd"/>
      <w:r w:rsidRPr="006E6D5A">
        <w:rPr>
          <w:i/>
          <w:iCs/>
          <w:sz w:val="24"/>
          <w:szCs w:val="24"/>
        </w:rPr>
        <w:t xml:space="preserve"> Advances</w:t>
      </w:r>
      <w:r w:rsidRPr="006E6D5A">
        <w:rPr>
          <w:sz w:val="24"/>
          <w:szCs w:val="24"/>
        </w:rPr>
        <w:t>, </w:t>
      </w:r>
      <w:r w:rsidRPr="006E6D5A">
        <w:rPr>
          <w:i/>
          <w:iCs/>
          <w:sz w:val="24"/>
          <w:szCs w:val="24"/>
        </w:rPr>
        <w:t>22</w:t>
      </w:r>
      <w:r w:rsidRPr="006E6D5A">
        <w:rPr>
          <w:sz w:val="24"/>
          <w:szCs w:val="24"/>
        </w:rPr>
        <w:t>(4), pp.277-284.</w:t>
      </w:r>
    </w:p>
    <w:p w14:paraId="52F4E14B" w14:textId="77777777" w:rsidR="006E6D5A" w:rsidRPr="006E6D5A" w:rsidRDefault="006E6D5A" w:rsidP="006E6D5A">
      <w:pPr>
        <w:ind w:left="720" w:hanging="720"/>
        <w:rPr>
          <w:sz w:val="24"/>
          <w:szCs w:val="24"/>
        </w:rPr>
      </w:pPr>
      <w:r w:rsidRPr="006E6D5A">
        <w:rPr>
          <w:sz w:val="24"/>
          <w:szCs w:val="24"/>
        </w:rPr>
        <w:t xml:space="preserve">Stockdale, M. and </w:t>
      </w:r>
      <w:proofErr w:type="spellStart"/>
      <w:r w:rsidRPr="006E6D5A">
        <w:rPr>
          <w:sz w:val="24"/>
          <w:szCs w:val="24"/>
        </w:rPr>
        <w:t>Engleby</w:t>
      </w:r>
      <w:proofErr w:type="spellEnd"/>
      <w:r w:rsidRPr="006E6D5A">
        <w:rPr>
          <w:sz w:val="24"/>
          <w:szCs w:val="24"/>
        </w:rPr>
        <w:t>, E., 2017. Non-conviction Bad Character Evidence and Directions to the Jury on Use to Show Propensity R v Mitchell [2016] UKSC 55. </w:t>
      </w:r>
      <w:r w:rsidRPr="006E6D5A">
        <w:rPr>
          <w:i/>
          <w:iCs/>
          <w:sz w:val="24"/>
          <w:szCs w:val="24"/>
        </w:rPr>
        <w:t>The Journal of Criminal Law</w:t>
      </w:r>
      <w:r w:rsidRPr="006E6D5A">
        <w:rPr>
          <w:sz w:val="24"/>
          <w:szCs w:val="24"/>
        </w:rPr>
        <w:t>, </w:t>
      </w:r>
      <w:r w:rsidRPr="006E6D5A">
        <w:rPr>
          <w:i/>
          <w:iCs/>
          <w:sz w:val="24"/>
          <w:szCs w:val="24"/>
        </w:rPr>
        <w:t>81</w:t>
      </w:r>
      <w:r w:rsidRPr="006E6D5A">
        <w:rPr>
          <w:sz w:val="24"/>
          <w:szCs w:val="24"/>
        </w:rPr>
        <w:t>(2), pp.94-98.</w:t>
      </w:r>
    </w:p>
    <w:p w14:paraId="1773D789" w14:textId="77777777" w:rsidR="006E6D5A" w:rsidRPr="006E6D5A" w:rsidRDefault="006E6D5A" w:rsidP="006E6D5A">
      <w:pPr>
        <w:rPr>
          <w:sz w:val="24"/>
          <w:szCs w:val="24"/>
        </w:rPr>
      </w:pPr>
    </w:p>
    <w:p w14:paraId="7BD114C8" w14:textId="1F172808" w:rsidR="003308CF" w:rsidRPr="006E6D5A" w:rsidRDefault="003308CF" w:rsidP="003308CF">
      <w:pPr>
        <w:rPr>
          <w:sz w:val="24"/>
          <w:szCs w:val="24"/>
        </w:rPr>
      </w:pPr>
    </w:p>
    <w:p w14:paraId="7522DE00" w14:textId="77777777" w:rsidR="006E6D5A" w:rsidRPr="006E6D5A" w:rsidRDefault="006E6D5A">
      <w:pPr>
        <w:rPr>
          <w:sz w:val="24"/>
          <w:szCs w:val="24"/>
        </w:rPr>
      </w:pPr>
    </w:p>
    <w:sectPr w:rsidR="006E6D5A" w:rsidRPr="006E6D5A" w:rsidSect="007E0696">
      <w:footerReference w:type="even" r:id="rId13"/>
      <w:footerReference w:type="default" r:id="rId14"/>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B2C8F" w14:textId="77777777" w:rsidR="00863706" w:rsidRDefault="00863706">
      <w:r>
        <w:separator/>
      </w:r>
    </w:p>
  </w:endnote>
  <w:endnote w:type="continuationSeparator" w:id="0">
    <w:p w14:paraId="39990DB9" w14:textId="77777777" w:rsidR="00863706" w:rsidRDefault="008637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5281685"/>
      <w:docPartObj>
        <w:docPartGallery w:val="Page Numbers (Bottom of Page)"/>
        <w:docPartUnique/>
      </w:docPartObj>
    </w:sdtPr>
    <w:sdtContent>
      <w:p w14:paraId="1ADE8F17" w14:textId="7CB53D0D" w:rsidR="006E6D5A" w:rsidRDefault="006E6D5A" w:rsidP="00C434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614AA8" w14:textId="77777777" w:rsidR="006E6D5A" w:rsidRDefault="006E6D5A" w:rsidP="006E6D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4326271"/>
      <w:docPartObj>
        <w:docPartGallery w:val="Page Numbers (Bottom of Page)"/>
        <w:docPartUnique/>
      </w:docPartObj>
    </w:sdtPr>
    <w:sdtContent>
      <w:p w14:paraId="29F52F6A" w14:textId="3EBC2441" w:rsidR="006E6D5A" w:rsidRDefault="006E6D5A" w:rsidP="00C434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2F40CD" w14:textId="26DA6054" w:rsidR="007E0696" w:rsidRPr="007E0696" w:rsidRDefault="006E6D5A" w:rsidP="006E6D5A">
    <w:pPr>
      <w:pStyle w:val="Footer"/>
      <w:ind w:right="360"/>
      <w:rPr>
        <w:sz w:val="24"/>
        <w:szCs w:val="24"/>
      </w:rPr>
    </w:pPr>
    <w:proofErr w:type="spellStart"/>
    <w:r>
      <w:rPr>
        <w:sz w:val="24"/>
        <w:szCs w:val="24"/>
      </w:rPr>
      <w:t>Alexandru</w:t>
    </w:r>
    <w:proofErr w:type="spellEnd"/>
    <w:r>
      <w:rPr>
        <w:sz w:val="24"/>
        <w:szCs w:val="24"/>
      </w:rPr>
      <w:t xml:space="preserve"> </w:t>
    </w:r>
    <w:proofErr w:type="spellStart"/>
    <w:r>
      <w:rPr>
        <w:sz w:val="24"/>
        <w:szCs w:val="24"/>
      </w:rPr>
      <w:t>Tugulea</w:t>
    </w:r>
    <w:proofErr w:type="spellEnd"/>
    <w:r>
      <w:rPr>
        <w:sz w:val="24"/>
        <w:szCs w:val="24"/>
      </w:rPr>
      <w:t xml:space="preserve">                                                2133039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FD722" w14:textId="77777777" w:rsidR="00863706" w:rsidRDefault="00863706">
      <w:r>
        <w:separator/>
      </w:r>
    </w:p>
  </w:footnote>
  <w:footnote w:type="continuationSeparator" w:id="0">
    <w:p w14:paraId="14AB99C5" w14:textId="77777777" w:rsidR="00863706" w:rsidRDefault="008637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7"/>
  </w:num>
  <w:num w:numId="4" w16cid:durableId="1165701528">
    <w:abstractNumId w:val="12"/>
  </w:num>
  <w:num w:numId="5" w16cid:durableId="667439405">
    <w:abstractNumId w:val="7"/>
  </w:num>
  <w:num w:numId="6" w16cid:durableId="1376153784">
    <w:abstractNumId w:val="16"/>
  </w:num>
  <w:num w:numId="7" w16cid:durableId="18775289">
    <w:abstractNumId w:val="2"/>
  </w:num>
  <w:num w:numId="8" w16cid:durableId="2111121255">
    <w:abstractNumId w:val="14"/>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3"/>
  </w:num>
  <w:num w:numId="14" w16cid:durableId="587886701">
    <w:abstractNumId w:val="3"/>
  </w:num>
  <w:num w:numId="15" w16cid:durableId="349836680">
    <w:abstractNumId w:val="0"/>
  </w:num>
  <w:num w:numId="16" w16cid:durableId="1975136015">
    <w:abstractNumId w:val="6"/>
  </w:num>
  <w:num w:numId="17" w16cid:durableId="976568963">
    <w:abstractNumId w:val="15"/>
  </w:num>
  <w:num w:numId="18" w16cid:durableId="10643714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7A20"/>
    <w:rsid w:val="00171372"/>
    <w:rsid w:val="0017512A"/>
    <w:rsid w:val="001810EB"/>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2F36"/>
    <w:rsid w:val="002A65D2"/>
    <w:rsid w:val="002C449B"/>
    <w:rsid w:val="002C6040"/>
    <w:rsid w:val="002D5B3F"/>
    <w:rsid w:val="002E272E"/>
    <w:rsid w:val="002F5778"/>
    <w:rsid w:val="003223E0"/>
    <w:rsid w:val="00327E4F"/>
    <w:rsid w:val="003308CF"/>
    <w:rsid w:val="00340566"/>
    <w:rsid w:val="00352C4A"/>
    <w:rsid w:val="00362560"/>
    <w:rsid w:val="003732FD"/>
    <w:rsid w:val="003753B2"/>
    <w:rsid w:val="00376559"/>
    <w:rsid w:val="00382BAA"/>
    <w:rsid w:val="00384D73"/>
    <w:rsid w:val="00393EB6"/>
    <w:rsid w:val="003A3CE5"/>
    <w:rsid w:val="003A6EC3"/>
    <w:rsid w:val="003B366F"/>
    <w:rsid w:val="003B3F9D"/>
    <w:rsid w:val="003B6C95"/>
    <w:rsid w:val="003E5751"/>
    <w:rsid w:val="004046A9"/>
    <w:rsid w:val="00404C50"/>
    <w:rsid w:val="00423934"/>
    <w:rsid w:val="00426244"/>
    <w:rsid w:val="00451810"/>
    <w:rsid w:val="004621E8"/>
    <w:rsid w:val="00470A38"/>
    <w:rsid w:val="00477880"/>
    <w:rsid w:val="004874DE"/>
    <w:rsid w:val="004B5334"/>
    <w:rsid w:val="004B6C14"/>
    <w:rsid w:val="004C077F"/>
    <w:rsid w:val="004D5E9B"/>
    <w:rsid w:val="004D63D9"/>
    <w:rsid w:val="004E6585"/>
    <w:rsid w:val="004E6B6A"/>
    <w:rsid w:val="004F38B4"/>
    <w:rsid w:val="0050249F"/>
    <w:rsid w:val="00523FE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4FC"/>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43A"/>
    <w:rsid w:val="006A6DC3"/>
    <w:rsid w:val="006B6BF5"/>
    <w:rsid w:val="006D49ED"/>
    <w:rsid w:val="006D55CE"/>
    <w:rsid w:val="006D637A"/>
    <w:rsid w:val="006D6F24"/>
    <w:rsid w:val="006E6D5A"/>
    <w:rsid w:val="006F0F95"/>
    <w:rsid w:val="006F45BF"/>
    <w:rsid w:val="006F60E0"/>
    <w:rsid w:val="00702F71"/>
    <w:rsid w:val="007366DF"/>
    <w:rsid w:val="00757839"/>
    <w:rsid w:val="00770C81"/>
    <w:rsid w:val="00791024"/>
    <w:rsid w:val="00792A1F"/>
    <w:rsid w:val="00793F0A"/>
    <w:rsid w:val="007A2657"/>
    <w:rsid w:val="007C682C"/>
    <w:rsid w:val="007D2385"/>
    <w:rsid w:val="007D5DE2"/>
    <w:rsid w:val="007E0696"/>
    <w:rsid w:val="007F214F"/>
    <w:rsid w:val="007F707A"/>
    <w:rsid w:val="00800069"/>
    <w:rsid w:val="008042F0"/>
    <w:rsid w:val="008310A0"/>
    <w:rsid w:val="00835D29"/>
    <w:rsid w:val="00842E7F"/>
    <w:rsid w:val="00852933"/>
    <w:rsid w:val="008566E5"/>
    <w:rsid w:val="008566FE"/>
    <w:rsid w:val="00863706"/>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33A"/>
    <w:rsid w:val="009D3EA4"/>
    <w:rsid w:val="009D649C"/>
    <w:rsid w:val="009E4BC1"/>
    <w:rsid w:val="009E67F3"/>
    <w:rsid w:val="009F5CB2"/>
    <w:rsid w:val="00A03BB8"/>
    <w:rsid w:val="00A16E98"/>
    <w:rsid w:val="00A3505D"/>
    <w:rsid w:val="00A4036F"/>
    <w:rsid w:val="00A406E5"/>
    <w:rsid w:val="00A423D0"/>
    <w:rsid w:val="00A4641C"/>
    <w:rsid w:val="00A55876"/>
    <w:rsid w:val="00A67FB1"/>
    <w:rsid w:val="00A84343"/>
    <w:rsid w:val="00A85BFE"/>
    <w:rsid w:val="00AA22D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B18"/>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3EA7"/>
    <w:rsid w:val="00DE67C2"/>
    <w:rsid w:val="00DF321B"/>
    <w:rsid w:val="00E230E0"/>
    <w:rsid w:val="00E27F15"/>
    <w:rsid w:val="00E51AAC"/>
    <w:rsid w:val="00E5224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919"/>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OCHeading">
    <w:name w:val="TOC Heading"/>
    <w:basedOn w:val="Heading1"/>
    <w:next w:val="Normal"/>
    <w:uiPriority w:val="39"/>
    <w:semiHidden/>
    <w:unhideWhenUsed/>
    <w:qFormat/>
    <w:rsid w:val="006E6D5A"/>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E6D5A"/>
    <w:pPr>
      <w:spacing w:after="100" w:line="360" w:lineRule="auto"/>
      <w:jc w:val="both"/>
    </w:pPr>
    <w:rPr>
      <w:rFonts w:eastAsiaTheme="minorHAnsi" w:cstheme="minorBidi"/>
      <w:sz w:val="24"/>
      <w:szCs w:val="22"/>
      <w:lang w:val="en-US" w:eastAsia="en-US"/>
    </w:rPr>
  </w:style>
  <w:style w:type="character" w:styleId="PageNumber">
    <w:name w:val="page number"/>
    <w:basedOn w:val="DefaultParagraphFont"/>
    <w:semiHidden/>
    <w:unhideWhenUsed/>
    <w:rsid w:val="006E6D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5" ma:contentTypeDescription="Create a new document." ma:contentTypeScope="" ma:versionID="95b54cd7af2bfb35ce26df626d2e1eef">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56ba76b421133605d163c245052f71e4"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d37a66e-3d04-4ec3-9f32-c102877c0ff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A158D-7321-4A98-A17C-CD0A171D23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508C3E-D6A3-4D8D-BCC8-733D8E202A83}">
  <ds:schemaRefs>
    <ds:schemaRef ds:uri="http://schemas.microsoft.com/sharepoint/v3/contenttype/forms"/>
  </ds:schemaRefs>
</ds:datastoreItem>
</file>

<file path=customXml/itemProps3.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cd37a66e-3d04-4ec3-9f32-c102877c0ffa"/>
  </ds:schemaRefs>
</ds:datastoreItem>
</file>

<file path=customXml/itemProps4.xml><?xml version="1.0" encoding="utf-8"?>
<ds:datastoreItem xmlns:ds="http://schemas.openxmlformats.org/officeDocument/2006/customXml" ds:itemID="{A0CE2969-43C3-5845-A6E3-67811A417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20</TotalTime>
  <Pages>7</Pages>
  <Words>1899</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12699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Alexandru Tugulea</cp:lastModifiedBy>
  <cp:revision>26</cp:revision>
  <cp:lastPrinted>2014-10-10T07:42:00Z</cp:lastPrinted>
  <dcterms:created xsi:type="dcterms:W3CDTF">2022-12-14T15:55:00Z</dcterms:created>
  <dcterms:modified xsi:type="dcterms:W3CDTF">2023-03-09T14:26:00Z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0x01010046B50BAC41BAE948A38BCAD237642ECD</vt:lpwstr>
  </property>
</Properties>
</file>