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49879320"/>
        <w:docPartObj>
          <w:docPartGallery w:val="Cover Pages"/>
          <w:docPartUnique/>
        </w:docPartObj>
      </w:sdtPr>
      <w:sdtEndPr/>
      <w:sdtContent>
        <w:p w14:paraId="434D7781" w14:textId="538970FE" w:rsidR="00524E51" w:rsidRDefault="00524E51" w:rsidP="00D640FA">
          <w:pPr>
            <w:jc w:val="both"/>
          </w:pPr>
          <w:r>
            <w:rPr>
              <w:noProof/>
              <w:lang w:val="en-GB" w:eastAsia="en-GB"/>
            </w:rPr>
            <mc:AlternateContent>
              <mc:Choice Requires="wpg">
                <w:drawing>
                  <wp:anchor distT="0" distB="0" distL="114300" distR="114300" simplePos="0" relativeHeight="251659264" behindDoc="1" locked="0" layoutInCell="1" allowOverlap="1" wp14:anchorId="0DEE7672" wp14:editId="725C7AB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8E5AA2" w14:textId="5CD26452" w:rsidR="00524E51" w:rsidRDefault="00524E51">
                                  <w:pPr>
                                    <w:pStyle w:val="NoSpacing"/>
                                    <w:spacing w:before="120"/>
                                    <w:jc w:val="center"/>
                                    <w:rPr>
                                      <w:color w:val="FFFFFF" w:themeColor="background1"/>
                                    </w:rPr>
                                  </w:pPr>
                                </w:p>
                                <w:p w14:paraId="4637CA39" w14:textId="1CB61532" w:rsidR="00524E51" w:rsidRDefault="00524E51">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E539F" w14:textId="2D82FEBD" w:rsidR="00514558" w:rsidRPr="00514558" w:rsidRDefault="00E41411" w:rsidP="00514558">
                                  <w:pPr>
                                    <w:jc w:val="center"/>
                                    <w:rPr>
                                      <w:rFonts w:asciiTheme="majorHAnsi" w:eastAsiaTheme="majorEastAsia" w:hAnsiTheme="majorHAnsi" w:cstheme="majorBidi"/>
                                      <w:b/>
                                      <w:caps/>
                                      <w:color w:val="4472C4" w:themeColor="accent1"/>
                                      <w:sz w:val="32"/>
                                      <w:szCs w:val="32"/>
                                    </w:rPr>
                                  </w:pPr>
                                  <w:sdt>
                                    <w:sdtPr>
                                      <w:rPr>
                                        <w:rFonts w:asciiTheme="majorHAnsi" w:eastAsiaTheme="majorEastAsia" w:hAnsiTheme="majorHAnsi" w:cstheme="majorBidi"/>
                                        <w:caps/>
                                        <w:color w:val="4472C4" w:themeColor="accent1"/>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514558" w:rsidRPr="00514558">
                                        <w:rPr>
                                          <w:rFonts w:asciiTheme="majorHAnsi" w:eastAsiaTheme="majorEastAsia" w:hAnsiTheme="majorHAnsi" w:cstheme="majorBidi"/>
                                          <w:caps/>
                                          <w:color w:val="4472C4" w:themeColor="accent1"/>
                                          <w:sz w:val="24"/>
                                          <w:szCs w:val="24"/>
                                        </w:rPr>
                                        <w:t xml:space="preserve"> </w:t>
                                      </w:r>
                                    </w:sdtContent>
                                  </w:sdt>
                                  <w:r w:rsidR="00514558" w:rsidRPr="00514558">
                                    <w:t xml:space="preserve"> </w:t>
                                  </w:r>
                                  <w:r w:rsidR="00514558" w:rsidRPr="00514558">
                                    <w:rPr>
                                      <w:rFonts w:asciiTheme="majorHAnsi" w:eastAsiaTheme="majorEastAsia" w:hAnsiTheme="majorHAnsi" w:cstheme="majorBidi"/>
                                      <w:b/>
                                      <w:caps/>
                                      <w:color w:val="4472C4" w:themeColor="accent1"/>
                                      <w:sz w:val="32"/>
                                      <w:szCs w:val="32"/>
                                    </w:rPr>
                                    <w:t xml:space="preserve">BANKING FINANCIAL MANAGEMENT AND FINANCIAL MARKETS </w:t>
                                  </w:r>
                                </w:p>
                                <w:p w14:paraId="3D1ACD42" w14:textId="77777777" w:rsidR="00514558" w:rsidRPr="00514558" w:rsidRDefault="00514558" w:rsidP="00514558">
                                  <w:pPr>
                                    <w:jc w:val="center"/>
                                    <w:rPr>
                                      <w:rFonts w:asciiTheme="majorHAnsi" w:eastAsiaTheme="majorEastAsia" w:hAnsiTheme="majorHAnsi" w:cstheme="majorBidi"/>
                                      <w:b/>
                                      <w:caps/>
                                      <w:color w:val="4472C4" w:themeColor="accent1"/>
                                      <w:sz w:val="32"/>
                                      <w:szCs w:val="32"/>
                                    </w:rPr>
                                  </w:pPr>
                                  <w:r w:rsidRPr="00514558">
                                    <w:rPr>
                                      <w:rFonts w:asciiTheme="majorHAnsi" w:eastAsiaTheme="majorEastAsia" w:hAnsiTheme="majorHAnsi" w:cstheme="majorBidi"/>
                                      <w:b/>
                                      <w:caps/>
                                      <w:color w:val="4472C4" w:themeColor="accent1"/>
                                      <w:sz w:val="32"/>
                                      <w:szCs w:val="32"/>
                                    </w:rPr>
                                    <w:t>LCMB7012</w:t>
                                  </w:r>
                                </w:p>
                                <w:p w14:paraId="4841364A" w14:textId="77777777" w:rsidR="00514558" w:rsidRPr="00514558" w:rsidRDefault="00514558" w:rsidP="00514558">
                                  <w:pPr>
                                    <w:jc w:val="center"/>
                                    <w:rPr>
                                      <w:rFonts w:asciiTheme="majorHAnsi" w:eastAsiaTheme="majorEastAsia" w:hAnsiTheme="majorHAnsi" w:cstheme="majorBidi"/>
                                      <w:b/>
                                      <w:caps/>
                                      <w:color w:val="4472C4" w:themeColor="accent1"/>
                                      <w:sz w:val="32"/>
                                      <w:szCs w:val="32"/>
                                    </w:rPr>
                                  </w:pPr>
                                  <w:r w:rsidRPr="00514558">
                                    <w:rPr>
                                      <w:rFonts w:asciiTheme="majorHAnsi" w:eastAsiaTheme="majorEastAsia" w:hAnsiTheme="majorHAnsi" w:cstheme="majorBidi"/>
                                      <w:b/>
                                      <w:caps/>
                                      <w:color w:val="4472C4" w:themeColor="accent1"/>
                                      <w:sz w:val="32"/>
                                      <w:szCs w:val="32"/>
                                    </w:rPr>
                                    <w:t>Velichka Todorova Proklinova</w:t>
                                  </w:r>
                                </w:p>
                                <w:p w14:paraId="3A7FE9C6" w14:textId="08CCA282" w:rsidR="00514558" w:rsidRDefault="00514558" w:rsidP="00514558">
                                  <w:pPr>
                                    <w:jc w:val="center"/>
                                    <w:rPr>
                                      <w:rFonts w:asciiTheme="majorHAnsi" w:eastAsiaTheme="majorEastAsia" w:hAnsiTheme="majorHAnsi" w:cstheme="majorBidi"/>
                                      <w:b/>
                                      <w:caps/>
                                      <w:color w:val="4472C4" w:themeColor="accent1"/>
                                      <w:sz w:val="32"/>
                                      <w:szCs w:val="32"/>
                                    </w:rPr>
                                  </w:pPr>
                                  <w:r w:rsidRPr="00514558">
                                    <w:rPr>
                                      <w:rFonts w:asciiTheme="majorHAnsi" w:eastAsiaTheme="majorEastAsia" w:hAnsiTheme="majorHAnsi" w:cstheme="majorBidi"/>
                                      <w:b/>
                                      <w:caps/>
                                      <w:color w:val="4472C4" w:themeColor="accent1"/>
                                      <w:sz w:val="32"/>
                                      <w:szCs w:val="32"/>
                                    </w:rPr>
                                    <w:t>Student No 2010826</w:t>
                                  </w:r>
                                </w:p>
                                <w:p w14:paraId="1B10E814" w14:textId="70D828F5" w:rsidR="00514558" w:rsidRPr="00514558" w:rsidRDefault="00514558" w:rsidP="00514558">
                                  <w:pPr>
                                    <w:jc w:val="center"/>
                                    <w:rPr>
                                      <w:rFonts w:ascii="Arial" w:hAnsi="Arial" w:cs="Arial"/>
                                      <w:b/>
                                      <w:sz w:val="32"/>
                                      <w:szCs w:val="32"/>
                                    </w:rPr>
                                  </w:pPr>
                                  <w:bookmarkStart w:id="0" w:name="_GoBack"/>
                                  <w:bookmarkEnd w:id="0"/>
                                </w:p>
                                <w:p w14:paraId="282FE934" w14:textId="045BD523" w:rsidR="00524E51" w:rsidRPr="00514558" w:rsidRDefault="00524E51">
                                  <w:pPr>
                                    <w:pStyle w:val="NoSpacing"/>
                                    <w:jc w:val="center"/>
                                    <w:rPr>
                                      <w:rFonts w:asciiTheme="majorHAnsi" w:eastAsiaTheme="majorEastAsia" w:hAnsiTheme="majorHAnsi" w:cstheme="majorBidi"/>
                                      <w:b/>
                                      <w:caps/>
                                      <w:color w:val="4472C4" w:themeColor="accent1"/>
                                      <w:sz w:val="32"/>
                                      <w:szCs w:val="3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4472c4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4472c4 [3204]" stroked="f" strokeweight="1pt">
                      <v:textbox inset="36pt,57.6pt,36pt,36pt">
                        <w:txbxContent>
                          <w:p w14:paraId="4E8E5AA2" w14:textId="5CD26452" w:rsidR="00524E51" w:rsidRDefault="00524E51">
                            <w:pPr>
                              <w:pStyle w:val="NoSpacing"/>
                              <w:spacing w:before="120"/>
                              <w:jc w:val="center"/>
                              <w:rPr>
                                <w:color w:val="FFFFFF" w:themeColor="background1"/>
                              </w:rPr>
                            </w:pPr>
                          </w:p>
                          <w:p w14:paraId="4637CA39" w14:textId="1CB61532" w:rsidR="00524E51" w:rsidRDefault="00524E51">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14:paraId="473E539F" w14:textId="2D82FEBD" w:rsidR="00514558" w:rsidRPr="00514558" w:rsidRDefault="00E41411" w:rsidP="00514558">
                            <w:pPr>
                              <w:jc w:val="center"/>
                              <w:rPr>
                                <w:rFonts w:asciiTheme="majorHAnsi" w:eastAsiaTheme="majorEastAsia" w:hAnsiTheme="majorHAnsi" w:cstheme="majorBidi"/>
                                <w:b/>
                                <w:caps/>
                                <w:color w:val="4472C4" w:themeColor="accent1"/>
                                <w:sz w:val="32"/>
                                <w:szCs w:val="32"/>
                              </w:rPr>
                            </w:pPr>
                            <w:sdt>
                              <w:sdtPr>
                                <w:rPr>
                                  <w:rFonts w:asciiTheme="majorHAnsi" w:eastAsiaTheme="majorEastAsia" w:hAnsiTheme="majorHAnsi" w:cstheme="majorBidi"/>
                                  <w:caps/>
                                  <w:color w:val="4472C4" w:themeColor="accent1"/>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514558" w:rsidRPr="00514558">
                                  <w:rPr>
                                    <w:rFonts w:asciiTheme="majorHAnsi" w:eastAsiaTheme="majorEastAsia" w:hAnsiTheme="majorHAnsi" w:cstheme="majorBidi"/>
                                    <w:caps/>
                                    <w:color w:val="4472C4" w:themeColor="accent1"/>
                                    <w:sz w:val="24"/>
                                    <w:szCs w:val="24"/>
                                  </w:rPr>
                                  <w:t xml:space="preserve"> </w:t>
                                </w:r>
                              </w:sdtContent>
                            </w:sdt>
                            <w:r w:rsidR="00514558" w:rsidRPr="00514558">
                              <w:t xml:space="preserve"> </w:t>
                            </w:r>
                            <w:r w:rsidR="00514558" w:rsidRPr="00514558">
                              <w:rPr>
                                <w:rFonts w:asciiTheme="majorHAnsi" w:eastAsiaTheme="majorEastAsia" w:hAnsiTheme="majorHAnsi" w:cstheme="majorBidi"/>
                                <w:b/>
                                <w:caps/>
                                <w:color w:val="4472C4" w:themeColor="accent1"/>
                                <w:sz w:val="32"/>
                                <w:szCs w:val="32"/>
                              </w:rPr>
                              <w:t xml:space="preserve">BANKING FINANCIAL MANAGEMENT AND FINANCIAL MARKETS </w:t>
                            </w:r>
                          </w:p>
                          <w:p w14:paraId="3D1ACD42" w14:textId="77777777" w:rsidR="00514558" w:rsidRPr="00514558" w:rsidRDefault="00514558" w:rsidP="00514558">
                            <w:pPr>
                              <w:jc w:val="center"/>
                              <w:rPr>
                                <w:rFonts w:asciiTheme="majorHAnsi" w:eastAsiaTheme="majorEastAsia" w:hAnsiTheme="majorHAnsi" w:cstheme="majorBidi"/>
                                <w:b/>
                                <w:caps/>
                                <w:color w:val="4472C4" w:themeColor="accent1"/>
                                <w:sz w:val="32"/>
                                <w:szCs w:val="32"/>
                              </w:rPr>
                            </w:pPr>
                            <w:r w:rsidRPr="00514558">
                              <w:rPr>
                                <w:rFonts w:asciiTheme="majorHAnsi" w:eastAsiaTheme="majorEastAsia" w:hAnsiTheme="majorHAnsi" w:cstheme="majorBidi"/>
                                <w:b/>
                                <w:caps/>
                                <w:color w:val="4472C4" w:themeColor="accent1"/>
                                <w:sz w:val="32"/>
                                <w:szCs w:val="32"/>
                              </w:rPr>
                              <w:t>LCMB7012</w:t>
                            </w:r>
                          </w:p>
                          <w:p w14:paraId="4841364A" w14:textId="77777777" w:rsidR="00514558" w:rsidRPr="00514558" w:rsidRDefault="00514558" w:rsidP="00514558">
                            <w:pPr>
                              <w:jc w:val="center"/>
                              <w:rPr>
                                <w:rFonts w:asciiTheme="majorHAnsi" w:eastAsiaTheme="majorEastAsia" w:hAnsiTheme="majorHAnsi" w:cstheme="majorBidi"/>
                                <w:b/>
                                <w:caps/>
                                <w:color w:val="4472C4" w:themeColor="accent1"/>
                                <w:sz w:val="32"/>
                                <w:szCs w:val="32"/>
                              </w:rPr>
                            </w:pPr>
                            <w:r w:rsidRPr="00514558">
                              <w:rPr>
                                <w:rFonts w:asciiTheme="majorHAnsi" w:eastAsiaTheme="majorEastAsia" w:hAnsiTheme="majorHAnsi" w:cstheme="majorBidi"/>
                                <w:b/>
                                <w:caps/>
                                <w:color w:val="4472C4" w:themeColor="accent1"/>
                                <w:sz w:val="32"/>
                                <w:szCs w:val="32"/>
                              </w:rPr>
                              <w:t>Velichka Todorova Proklinova</w:t>
                            </w:r>
                          </w:p>
                          <w:p w14:paraId="3A7FE9C6" w14:textId="08CCA282" w:rsidR="00514558" w:rsidRDefault="00514558" w:rsidP="00514558">
                            <w:pPr>
                              <w:jc w:val="center"/>
                              <w:rPr>
                                <w:rFonts w:asciiTheme="majorHAnsi" w:eastAsiaTheme="majorEastAsia" w:hAnsiTheme="majorHAnsi" w:cstheme="majorBidi"/>
                                <w:b/>
                                <w:caps/>
                                <w:color w:val="4472C4" w:themeColor="accent1"/>
                                <w:sz w:val="32"/>
                                <w:szCs w:val="32"/>
                              </w:rPr>
                            </w:pPr>
                            <w:r w:rsidRPr="00514558">
                              <w:rPr>
                                <w:rFonts w:asciiTheme="majorHAnsi" w:eastAsiaTheme="majorEastAsia" w:hAnsiTheme="majorHAnsi" w:cstheme="majorBidi"/>
                                <w:b/>
                                <w:caps/>
                                <w:color w:val="4472C4" w:themeColor="accent1"/>
                                <w:sz w:val="32"/>
                                <w:szCs w:val="32"/>
                              </w:rPr>
                              <w:t>Student No 2010826</w:t>
                            </w:r>
                          </w:p>
                          <w:p w14:paraId="1B10E814" w14:textId="70D828F5" w:rsidR="00514558" w:rsidRPr="00514558" w:rsidRDefault="00514558" w:rsidP="00514558">
                            <w:pPr>
                              <w:jc w:val="center"/>
                              <w:rPr>
                                <w:rFonts w:ascii="Arial" w:hAnsi="Arial" w:cs="Arial"/>
                                <w:b/>
                                <w:sz w:val="32"/>
                                <w:szCs w:val="32"/>
                              </w:rPr>
                            </w:pPr>
                            <w:bookmarkStart w:id="1" w:name="_GoBack"/>
                            <w:bookmarkEnd w:id="1"/>
                          </w:p>
                          <w:p w14:paraId="282FE934" w14:textId="045BD523" w:rsidR="00524E51" w:rsidRPr="00514558" w:rsidRDefault="00524E51">
                            <w:pPr>
                              <w:pStyle w:val="NoSpacing"/>
                              <w:jc w:val="center"/>
                              <w:rPr>
                                <w:rFonts w:asciiTheme="majorHAnsi" w:eastAsiaTheme="majorEastAsia" w:hAnsiTheme="majorHAnsi" w:cstheme="majorBidi"/>
                                <w:b/>
                                <w:caps/>
                                <w:color w:val="4472C4" w:themeColor="accent1"/>
                                <w:sz w:val="32"/>
                                <w:szCs w:val="32"/>
                              </w:rPr>
                            </w:pPr>
                          </w:p>
                        </w:txbxContent>
                      </v:textbox>
                    </v:shape>
                    <w10:wrap anchorx="page" anchory="page"/>
                  </v:group>
                </w:pict>
              </mc:Fallback>
            </mc:AlternateContent>
          </w:r>
        </w:p>
        <w:p w14:paraId="2DF8692E" w14:textId="661DC09D" w:rsidR="00524E51" w:rsidRDefault="00524E51" w:rsidP="00D640FA">
          <w:pPr>
            <w:jc w:val="both"/>
          </w:pPr>
          <w:r>
            <w:br w:type="page"/>
          </w:r>
        </w:p>
      </w:sdtContent>
    </w:sdt>
    <w:sdt>
      <w:sdtPr>
        <w:rPr>
          <w:rFonts w:asciiTheme="minorHAnsi" w:eastAsiaTheme="minorHAnsi" w:hAnsiTheme="minorHAnsi" w:cstheme="minorBidi"/>
          <w:color w:val="auto"/>
          <w:sz w:val="22"/>
          <w:szCs w:val="22"/>
        </w:rPr>
        <w:id w:val="-661768188"/>
        <w:docPartObj>
          <w:docPartGallery w:val="Table of Contents"/>
          <w:docPartUnique/>
        </w:docPartObj>
      </w:sdtPr>
      <w:sdtEndPr>
        <w:rPr>
          <w:b/>
          <w:bCs/>
          <w:noProof/>
        </w:rPr>
      </w:sdtEndPr>
      <w:sdtContent>
        <w:p w14:paraId="79F56AFA" w14:textId="6C289779" w:rsidR="001D6340" w:rsidRDefault="001D6340">
          <w:pPr>
            <w:pStyle w:val="TOCHeading"/>
          </w:pPr>
          <w:r>
            <w:t>Table of Contents</w:t>
          </w:r>
        </w:p>
        <w:p w14:paraId="3468EAE5" w14:textId="082BF802" w:rsidR="001D6340" w:rsidRDefault="001D6340">
          <w:pPr>
            <w:pStyle w:val="TOC1"/>
            <w:tabs>
              <w:tab w:val="right" w:leader="dot" w:pos="9350"/>
            </w:tabs>
            <w:rPr>
              <w:rFonts w:eastAsiaTheme="minorEastAsia"/>
              <w:noProof/>
              <w:lang w:val="en-IN" w:eastAsia="en-IN"/>
            </w:rPr>
          </w:pPr>
          <w:r>
            <w:fldChar w:fldCharType="begin"/>
          </w:r>
          <w:r>
            <w:instrText xml:space="preserve"> TOC \o "1-3" \h \z \u </w:instrText>
          </w:r>
          <w:r>
            <w:fldChar w:fldCharType="separate"/>
          </w:r>
          <w:hyperlink w:anchor="_Toc70633925" w:history="1">
            <w:r w:rsidRPr="00D33A00">
              <w:rPr>
                <w:rStyle w:val="Hyperlink"/>
                <w:noProof/>
              </w:rPr>
              <w:t>Introduction</w:t>
            </w:r>
            <w:r>
              <w:rPr>
                <w:noProof/>
                <w:webHidden/>
              </w:rPr>
              <w:tab/>
            </w:r>
            <w:r>
              <w:rPr>
                <w:noProof/>
                <w:webHidden/>
              </w:rPr>
              <w:fldChar w:fldCharType="begin"/>
            </w:r>
            <w:r>
              <w:rPr>
                <w:noProof/>
                <w:webHidden/>
              </w:rPr>
              <w:instrText xml:space="preserve"> PAGEREF _Toc70633925 \h </w:instrText>
            </w:r>
            <w:r>
              <w:rPr>
                <w:noProof/>
                <w:webHidden/>
              </w:rPr>
            </w:r>
            <w:r>
              <w:rPr>
                <w:noProof/>
                <w:webHidden/>
              </w:rPr>
              <w:fldChar w:fldCharType="separate"/>
            </w:r>
            <w:r>
              <w:rPr>
                <w:noProof/>
                <w:webHidden/>
              </w:rPr>
              <w:t>2</w:t>
            </w:r>
            <w:r>
              <w:rPr>
                <w:noProof/>
                <w:webHidden/>
              </w:rPr>
              <w:fldChar w:fldCharType="end"/>
            </w:r>
          </w:hyperlink>
        </w:p>
        <w:p w14:paraId="380834AD" w14:textId="5DFA35BD" w:rsidR="001D6340" w:rsidRDefault="00E41411">
          <w:pPr>
            <w:pStyle w:val="TOC1"/>
            <w:tabs>
              <w:tab w:val="right" w:leader="dot" w:pos="9350"/>
            </w:tabs>
            <w:rPr>
              <w:rFonts w:eastAsiaTheme="minorEastAsia"/>
              <w:noProof/>
              <w:lang w:val="en-IN" w:eastAsia="en-IN"/>
            </w:rPr>
          </w:pPr>
          <w:hyperlink w:anchor="_Toc70633926" w:history="1">
            <w:r w:rsidR="001D6340" w:rsidRPr="00D33A00">
              <w:rPr>
                <w:rStyle w:val="Hyperlink"/>
                <w:noProof/>
              </w:rPr>
              <w:t>Key Financial Reforms</w:t>
            </w:r>
            <w:r w:rsidR="001D6340">
              <w:rPr>
                <w:noProof/>
                <w:webHidden/>
              </w:rPr>
              <w:tab/>
            </w:r>
            <w:r w:rsidR="001D6340">
              <w:rPr>
                <w:noProof/>
                <w:webHidden/>
              </w:rPr>
              <w:fldChar w:fldCharType="begin"/>
            </w:r>
            <w:r w:rsidR="001D6340">
              <w:rPr>
                <w:noProof/>
                <w:webHidden/>
              </w:rPr>
              <w:instrText xml:space="preserve"> PAGEREF _Toc70633926 \h </w:instrText>
            </w:r>
            <w:r w:rsidR="001D6340">
              <w:rPr>
                <w:noProof/>
                <w:webHidden/>
              </w:rPr>
            </w:r>
            <w:r w:rsidR="001D6340">
              <w:rPr>
                <w:noProof/>
                <w:webHidden/>
              </w:rPr>
              <w:fldChar w:fldCharType="separate"/>
            </w:r>
            <w:r w:rsidR="001D6340">
              <w:rPr>
                <w:noProof/>
                <w:webHidden/>
              </w:rPr>
              <w:t>2</w:t>
            </w:r>
            <w:r w:rsidR="001D6340">
              <w:rPr>
                <w:noProof/>
                <w:webHidden/>
              </w:rPr>
              <w:fldChar w:fldCharType="end"/>
            </w:r>
          </w:hyperlink>
        </w:p>
        <w:p w14:paraId="2DD99063" w14:textId="73683432" w:rsidR="001D6340" w:rsidRDefault="00E41411">
          <w:pPr>
            <w:pStyle w:val="TOC2"/>
            <w:tabs>
              <w:tab w:val="right" w:leader="dot" w:pos="9350"/>
            </w:tabs>
            <w:rPr>
              <w:rFonts w:eastAsiaTheme="minorEastAsia"/>
              <w:noProof/>
              <w:lang w:val="en-IN" w:eastAsia="en-IN"/>
            </w:rPr>
          </w:pPr>
          <w:hyperlink w:anchor="_Toc70633927" w:history="1">
            <w:r w:rsidR="001D6340" w:rsidRPr="00D33A00">
              <w:rPr>
                <w:rStyle w:val="Hyperlink"/>
                <w:noProof/>
              </w:rPr>
              <w:t>USA</w:t>
            </w:r>
            <w:r w:rsidR="001D6340">
              <w:rPr>
                <w:noProof/>
                <w:webHidden/>
              </w:rPr>
              <w:tab/>
            </w:r>
            <w:r w:rsidR="001D6340">
              <w:rPr>
                <w:noProof/>
                <w:webHidden/>
              </w:rPr>
              <w:fldChar w:fldCharType="begin"/>
            </w:r>
            <w:r w:rsidR="001D6340">
              <w:rPr>
                <w:noProof/>
                <w:webHidden/>
              </w:rPr>
              <w:instrText xml:space="preserve"> PAGEREF _Toc70633927 \h </w:instrText>
            </w:r>
            <w:r w:rsidR="001D6340">
              <w:rPr>
                <w:noProof/>
                <w:webHidden/>
              </w:rPr>
            </w:r>
            <w:r w:rsidR="001D6340">
              <w:rPr>
                <w:noProof/>
                <w:webHidden/>
              </w:rPr>
              <w:fldChar w:fldCharType="separate"/>
            </w:r>
            <w:r w:rsidR="001D6340">
              <w:rPr>
                <w:noProof/>
                <w:webHidden/>
              </w:rPr>
              <w:t>2</w:t>
            </w:r>
            <w:r w:rsidR="001D6340">
              <w:rPr>
                <w:noProof/>
                <w:webHidden/>
              </w:rPr>
              <w:fldChar w:fldCharType="end"/>
            </w:r>
          </w:hyperlink>
        </w:p>
        <w:p w14:paraId="0E850102" w14:textId="25F2D679" w:rsidR="001D6340" w:rsidRDefault="00E41411">
          <w:pPr>
            <w:pStyle w:val="TOC3"/>
            <w:tabs>
              <w:tab w:val="right" w:leader="dot" w:pos="9350"/>
            </w:tabs>
            <w:rPr>
              <w:rFonts w:eastAsiaTheme="minorEastAsia"/>
              <w:noProof/>
              <w:lang w:val="en-IN" w:eastAsia="en-IN"/>
            </w:rPr>
          </w:pPr>
          <w:hyperlink w:anchor="_Toc70633928" w:history="1">
            <w:r w:rsidR="001D6340" w:rsidRPr="00D33A00">
              <w:rPr>
                <w:rStyle w:val="Hyperlink"/>
                <w:noProof/>
              </w:rPr>
              <w:t>Dodd Frank Act</w:t>
            </w:r>
            <w:r w:rsidR="001D6340">
              <w:rPr>
                <w:noProof/>
                <w:webHidden/>
              </w:rPr>
              <w:tab/>
            </w:r>
            <w:r w:rsidR="001D6340">
              <w:rPr>
                <w:noProof/>
                <w:webHidden/>
              </w:rPr>
              <w:fldChar w:fldCharType="begin"/>
            </w:r>
            <w:r w:rsidR="001D6340">
              <w:rPr>
                <w:noProof/>
                <w:webHidden/>
              </w:rPr>
              <w:instrText xml:space="preserve"> PAGEREF _Toc70633928 \h </w:instrText>
            </w:r>
            <w:r w:rsidR="001D6340">
              <w:rPr>
                <w:noProof/>
                <w:webHidden/>
              </w:rPr>
            </w:r>
            <w:r w:rsidR="001D6340">
              <w:rPr>
                <w:noProof/>
                <w:webHidden/>
              </w:rPr>
              <w:fldChar w:fldCharType="separate"/>
            </w:r>
            <w:r w:rsidR="001D6340">
              <w:rPr>
                <w:noProof/>
                <w:webHidden/>
              </w:rPr>
              <w:t>2</w:t>
            </w:r>
            <w:r w:rsidR="001D6340">
              <w:rPr>
                <w:noProof/>
                <w:webHidden/>
              </w:rPr>
              <w:fldChar w:fldCharType="end"/>
            </w:r>
          </w:hyperlink>
        </w:p>
        <w:p w14:paraId="1F845171" w14:textId="54044B08" w:rsidR="001D6340" w:rsidRDefault="00E41411">
          <w:pPr>
            <w:pStyle w:val="TOC3"/>
            <w:tabs>
              <w:tab w:val="right" w:leader="dot" w:pos="9350"/>
            </w:tabs>
            <w:rPr>
              <w:rFonts w:eastAsiaTheme="minorEastAsia"/>
              <w:noProof/>
              <w:lang w:val="en-IN" w:eastAsia="en-IN"/>
            </w:rPr>
          </w:pPr>
          <w:hyperlink w:anchor="_Toc70633929" w:history="1">
            <w:r w:rsidR="001D6340" w:rsidRPr="00D33A00">
              <w:rPr>
                <w:rStyle w:val="Hyperlink"/>
                <w:noProof/>
              </w:rPr>
              <w:t>Emergency Economic Stabilization Act</w:t>
            </w:r>
            <w:r w:rsidR="001D6340">
              <w:rPr>
                <w:noProof/>
                <w:webHidden/>
              </w:rPr>
              <w:tab/>
            </w:r>
            <w:r w:rsidR="001D6340">
              <w:rPr>
                <w:noProof/>
                <w:webHidden/>
              </w:rPr>
              <w:fldChar w:fldCharType="begin"/>
            </w:r>
            <w:r w:rsidR="001D6340">
              <w:rPr>
                <w:noProof/>
                <w:webHidden/>
              </w:rPr>
              <w:instrText xml:space="preserve"> PAGEREF _Toc70633929 \h </w:instrText>
            </w:r>
            <w:r w:rsidR="001D6340">
              <w:rPr>
                <w:noProof/>
                <w:webHidden/>
              </w:rPr>
            </w:r>
            <w:r w:rsidR="001D6340">
              <w:rPr>
                <w:noProof/>
                <w:webHidden/>
              </w:rPr>
              <w:fldChar w:fldCharType="separate"/>
            </w:r>
            <w:r w:rsidR="001D6340">
              <w:rPr>
                <w:noProof/>
                <w:webHidden/>
              </w:rPr>
              <w:t>4</w:t>
            </w:r>
            <w:r w:rsidR="001D6340">
              <w:rPr>
                <w:noProof/>
                <w:webHidden/>
              </w:rPr>
              <w:fldChar w:fldCharType="end"/>
            </w:r>
          </w:hyperlink>
        </w:p>
        <w:p w14:paraId="323519DE" w14:textId="2C3E3438" w:rsidR="001D6340" w:rsidRDefault="00E41411">
          <w:pPr>
            <w:pStyle w:val="TOC2"/>
            <w:tabs>
              <w:tab w:val="right" w:leader="dot" w:pos="9350"/>
            </w:tabs>
            <w:rPr>
              <w:rFonts w:eastAsiaTheme="minorEastAsia"/>
              <w:noProof/>
              <w:lang w:val="en-IN" w:eastAsia="en-IN"/>
            </w:rPr>
          </w:pPr>
          <w:hyperlink w:anchor="_Toc70633930" w:history="1">
            <w:r w:rsidR="001D6340" w:rsidRPr="00D33A00">
              <w:rPr>
                <w:rStyle w:val="Hyperlink"/>
                <w:noProof/>
              </w:rPr>
              <w:t>UK &amp; Europe</w:t>
            </w:r>
            <w:r w:rsidR="001D6340">
              <w:rPr>
                <w:noProof/>
                <w:webHidden/>
              </w:rPr>
              <w:tab/>
            </w:r>
            <w:r w:rsidR="001D6340">
              <w:rPr>
                <w:noProof/>
                <w:webHidden/>
              </w:rPr>
              <w:fldChar w:fldCharType="begin"/>
            </w:r>
            <w:r w:rsidR="001D6340">
              <w:rPr>
                <w:noProof/>
                <w:webHidden/>
              </w:rPr>
              <w:instrText xml:space="preserve"> PAGEREF _Toc70633930 \h </w:instrText>
            </w:r>
            <w:r w:rsidR="001D6340">
              <w:rPr>
                <w:noProof/>
                <w:webHidden/>
              </w:rPr>
            </w:r>
            <w:r w:rsidR="001D6340">
              <w:rPr>
                <w:noProof/>
                <w:webHidden/>
              </w:rPr>
              <w:fldChar w:fldCharType="separate"/>
            </w:r>
            <w:r w:rsidR="001D6340">
              <w:rPr>
                <w:noProof/>
                <w:webHidden/>
              </w:rPr>
              <w:t>4</w:t>
            </w:r>
            <w:r w:rsidR="001D6340">
              <w:rPr>
                <w:noProof/>
                <w:webHidden/>
              </w:rPr>
              <w:fldChar w:fldCharType="end"/>
            </w:r>
          </w:hyperlink>
        </w:p>
        <w:p w14:paraId="3A2E2DDE" w14:textId="2226848A" w:rsidR="001D6340" w:rsidRDefault="00E41411">
          <w:pPr>
            <w:pStyle w:val="TOC3"/>
            <w:tabs>
              <w:tab w:val="right" w:leader="dot" w:pos="9350"/>
            </w:tabs>
            <w:rPr>
              <w:rFonts w:eastAsiaTheme="minorEastAsia"/>
              <w:noProof/>
              <w:lang w:val="en-IN" w:eastAsia="en-IN"/>
            </w:rPr>
          </w:pPr>
          <w:hyperlink w:anchor="_Toc70633931" w:history="1">
            <w:r w:rsidR="001D6340" w:rsidRPr="00D33A00">
              <w:rPr>
                <w:rStyle w:val="Hyperlink"/>
                <w:noProof/>
              </w:rPr>
              <w:t>Short Selling Restriction</w:t>
            </w:r>
            <w:r w:rsidR="001D6340">
              <w:rPr>
                <w:noProof/>
                <w:webHidden/>
              </w:rPr>
              <w:tab/>
            </w:r>
            <w:r w:rsidR="001D6340">
              <w:rPr>
                <w:noProof/>
                <w:webHidden/>
              </w:rPr>
              <w:fldChar w:fldCharType="begin"/>
            </w:r>
            <w:r w:rsidR="001D6340">
              <w:rPr>
                <w:noProof/>
                <w:webHidden/>
              </w:rPr>
              <w:instrText xml:space="preserve"> PAGEREF _Toc70633931 \h </w:instrText>
            </w:r>
            <w:r w:rsidR="001D6340">
              <w:rPr>
                <w:noProof/>
                <w:webHidden/>
              </w:rPr>
            </w:r>
            <w:r w:rsidR="001D6340">
              <w:rPr>
                <w:noProof/>
                <w:webHidden/>
              </w:rPr>
              <w:fldChar w:fldCharType="separate"/>
            </w:r>
            <w:r w:rsidR="001D6340">
              <w:rPr>
                <w:noProof/>
                <w:webHidden/>
              </w:rPr>
              <w:t>4</w:t>
            </w:r>
            <w:r w:rsidR="001D6340">
              <w:rPr>
                <w:noProof/>
                <w:webHidden/>
              </w:rPr>
              <w:fldChar w:fldCharType="end"/>
            </w:r>
          </w:hyperlink>
        </w:p>
        <w:p w14:paraId="18A27DC9" w14:textId="4BFF7DA8" w:rsidR="001D6340" w:rsidRDefault="00E41411">
          <w:pPr>
            <w:pStyle w:val="TOC3"/>
            <w:tabs>
              <w:tab w:val="right" w:leader="dot" w:pos="9350"/>
            </w:tabs>
            <w:rPr>
              <w:rFonts w:eastAsiaTheme="minorEastAsia"/>
              <w:noProof/>
              <w:lang w:val="en-IN" w:eastAsia="en-IN"/>
            </w:rPr>
          </w:pPr>
          <w:hyperlink w:anchor="_Toc70633932" w:history="1">
            <w:r w:rsidR="001D6340" w:rsidRPr="00D33A00">
              <w:rPr>
                <w:rStyle w:val="Hyperlink"/>
                <w:noProof/>
              </w:rPr>
              <w:t>Financial Services Act 2012</w:t>
            </w:r>
            <w:r w:rsidR="001D6340">
              <w:rPr>
                <w:noProof/>
                <w:webHidden/>
              </w:rPr>
              <w:tab/>
            </w:r>
            <w:r w:rsidR="001D6340">
              <w:rPr>
                <w:noProof/>
                <w:webHidden/>
              </w:rPr>
              <w:fldChar w:fldCharType="begin"/>
            </w:r>
            <w:r w:rsidR="001D6340">
              <w:rPr>
                <w:noProof/>
                <w:webHidden/>
              </w:rPr>
              <w:instrText xml:space="preserve"> PAGEREF _Toc70633932 \h </w:instrText>
            </w:r>
            <w:r w:rsidR="001D6340">
              <w:rPr>
                <w:noProof/>
                <w:webHidden/>
              </w:rPr>
            </w:r>
            <w:r w:rsidR="001D6340">
              <w:rPr>
                <w:noProof/>
                <w:webHidden/>
              </w:rPr>
              <w:fldChar w:fldCharType="separate"/>
            </w:r>
            <w:r w:rsidR="001D6340">
              <w:rPr>
                <w:noProof/>
                <w:webHidden/>
              </w:rPr>
              <w:t>4</w:t>
            </w:r>
            <w:r w:rsidR="001D6340">
              <w:rPr>
                <w:noProof/>
                <w:webHidden/>
              </w:rPr>
              <w:fldChar w:fldCharType="end"/>
            </w:r>
          </w:hyperlink>
        </w:p>
        <w:p w14:paraId="2CC03D38" w14:textId="64EDCB2C" w:rsidR="001D6340" w:rsidRDefault="00E41411">
          <w:pPr>
            <w:pStyle w:val="TOC3"/>
            <w:tabs>
              <w:tab w:val="right" w:leader="dot" w:pos="9350"/>
            </w:tabs>
            <w:rPr>
              <w:rFonts w:eastAsiaTheme="minorEastAsia"/>
              <w:noProof/>
              <w:lang w:val="en-IN" w:eastAsia="en-IN"/>
            </w:rPr>
          </w:pPr>
          <w:hyperlink w:anchor="_Toc70633933" w:history="1">
            <w:r w:rsidR="001D6340" w:rsidRPr="00D33A00">
              <w:rPr>
                <w:rStyle w:val="Hyperlink"/>
                <w:noProof/>
              </w:rPr>
              <w:t>EU Regulatory Reforms</w:t>
            </w:r>
            <w:r w:rsidR="001D6340">
              <w:rPr>
                <w:noProof/>
                <w:webHidden/>
              </w:rPr>
              <w:tab/>
            </w:r>
            <w:r w:rsidR="001D6340">
              <w:rPr>
                <w:noProof/>
                <w:webHidden/>
              </w:rPr>
              <w:fldChar w:fldCharType="begin"/>
            </w:r>
            <w:r w:rsidR="001D6340">
              <w:rPr>
                <w:noProof/>
                <w:webHidden/>
              </w:rPr>
              <w:instrText xml:space="preserve"> PAGEREF _Toc70633933 \h </w:instrText>
            </w:r>
            <w:r w:rsidR="001D6340">
              <w:rPr>
                <w:noProof/>
                <w:webHidden/>
              </w:rPr>
            </w:r>
            <w:r w:rsidR="001D6340">
              <w:rPr>
                <w:noProof/>
                <w:webHidden/>
              </w:rPr>
              <w:fldChar w:fldCharType="separate"/>
            </w:r>
            <w:r w:rsidR="001D6340">
              <w:rPr>
                <w:noProof/>
                <w:webHidden/>
              </w:rPr>
              <w:t>4</w:t>
            </w:r>
            <w:r w:rsidR="001D6340">
              <w:rPr>
                <w:noProof/>
                <w:webHidden/>
              </w:rPr>
              <w:fldChar w:fldCharType="end"/>
            </w:r>
          </w:hyperlink>
        </w:p>
        <w:p w14:paraId="65F965D5" w14:textId="4236F981" w:rsidR="001D6340" w:rsidRDefault="00E41411">
          <w:pPr>
            <w:pStyle w:val="TOC3"/>
            <w:tabs>
              <w:tab w:val="right" w:leader="dot" w:pos="9350"/>
            </w:tabs>
            <w:rPr>
              <w:rFonts w:eastAsiaTheme="minorEastAsia"/>
              <w:noProof/>
              <w:lang w:val="en-IN" w:eastAsia="en-IN"/>
            </w:rPr>
          </w:pPr>
          <w:hyperlink w:anchor="_Toc70633934" w:history="1">
            <w:r w:rsidR="001D6340" w:rsidRPr="00D33A00">
              <w:rPr>
                <w:rStyle w:val="Hyperlink"/>
                <w:noProof/>
              </w:rPr>
              <w:t>Basel</w:t>
            </w:r>
            <w:r w:rsidR="001D6340">
              <w:rPr>
                <w:noProof/>
                <w:webHidden/>
              </w:rPr>
              <w:tab/>
            </w:r>
            <w:r w:rsidR="001D6340">
              <w:rPr>
                <w:noProof/>
                <w:webHidden/>
              </w:rPr>
              <w:fldChar w:fldCharType="begin"/>
            </w:r>
            <w:r w:rsidR="001D6340">
              <w:rPr>
                <w:noProof/>
                <w:webHidden/>
              </w:rPr>
              <w:instrText xml:space="preserve"> PAGEREF _Toc70633934 \h </w:instrText>
            </w:r>
            <w:r w:rsidR="001D6340">
              <w:rPr>
                <w:noProof/>
                <w:webHidden/>
              </w:rPr>
            </w:r>
            <w:r w:rsidR="001D6340">
              <w:rPr>
                <w:noProof/>
                <w:webHidden/>
              </w:rPr>
              <w:fldChar w:fldCharType="separate"/>
            </w:r>
            <w:r w:rsidR="001D6340">
              <w:rPr>
                <w:noProof/>
                <w:webHidden/>
              </w:rPr>
              <w:t>5</w:t>
            </w:r>
            <w:r w:rsidR="001D6340">
              <w:rPr>
                <w:noProof/>
                <w:webHidden/>
              </w:rPr>
              <w:fldChar w:fldCharType="end"/>
            </w:r>
          </w:hyperlink>
        </w:p>
        <w:p w14:paraId="2BC48A13" w14:textId="3F296D9B" w:rsidR="001D6340" w:rsidRDefault="00E41411">
          <w:pPr>
            <w:pStyle w:val="TOC1"/>
            <w:tabs>
              <w:tab w:val="right" w:leader="dot" w:pos="9350"/>
            </w:tabs>
            <w:rPr>
              <w:rFonts w:eastAsiaTheme="minorEastAsia"/>
              <w:noProof/>
              <w:lang w:val="en-IN" w:eastAsia="en-IN"/>
            </w:rPr>
          </w:pPr>
          <w:hyperlink w:anchor="_Toc70633935" w:history="1">
            <w:r w:rsidR="001D6340" w:rsidRPr="00D33A00">
              <w:rPr>
                <w:rStyle w:val="Hyperlink"/>
                <w:noProof/>
              </w:rPr>
              <w:t>Critical Review</w:t>
            </w:r>
            <w:r w:rsidR="001D6340">
              <w:rPr>
                <w:noProof/>
                <w:webHidden/>
              </w:rPr>
              <w:tab/>
            </w:r>
            <w:r w:rsidR="001D6340">
              <w:rPr>
                <w:noProof/>
                <w:webHidden/>
              </w:rPr>
              <w:fldChar w:fldCharType="begin"/>
            </w:r>
            <w:r w:rsidR="001D6340">
              <w:rPr>
                <w:noProof/>
                <w:webHidden/>
              </w:rPr>
              <w:instrText xml:space="preserve"> PAGEREF _Toc70633935 \h </w:instrText>
            </w:r>
            <w:r w:rsidR="001D6340">
              <w:rPr>
                <w:noProof/>
                <w:webHidden/>
              </w:rPr>
            </w:r>
            <w:r w:rsidR="001D6340">
              <w:rPr>
                <w:noProof/>
                <w:webHidden/>
              </w:rPr>
              <w:fldChar w:fldCharType="separate"/>
            </w:r>
            <w:r w:rsidR="001D6340">
              <w:rPr>
                <w:noProof/>
                <w:webHidden/>
              </w:rPr>
              <w:t>6</w:t>
            </w:r>
            <w:r w:rsidR="001D6340">
              <w:rPr>
                <w:noProof/>
                <w:webHidden/>
              </w:rPr>
              <w:fldChar w:fldCharType="end"/>
            </w:r>
          </w:hyperlink>
        </w:p>
        <w:p w14:paraId="2DF1D1BF" w14:textId="249FE46C" w:rsidR="001D6340" w:rsidRDefault="00E41411">
          <w:pPr>
            <w:pStyle w:val="TOC1"/>
            <w:tabs>
              <w:tab w:val="right" w:leader="dot" w:pos="9350"/>
            </w:tabs>
            <w:rPr>
              <w:rFonts w:eastAsiaTheme="minorEastAsia"/>
              <w:noProof/>
              <w:lang w:val="en-IN" w:eastAsia="en-IN"/>
            </w:rPr>
          </w:pPr>
          <w:hyperlink w:anchor="_Toc70633936" w:history="1">
            <w:r w:rsidR="001D6340" w:rsidRPr="00D33A00">
              <w:rPr>
                <w:rStyle w:val="Hyperlink"/>
                <w:noProof/>
              </w:rPr>
              <w:t>Effect on European Bank</w:t>
            </w:r>
            <w:r w:rsidR="001D6340">
              <w:rPr>
                <w:noProof/>
                <w:webHidden/>
              </w:rPr>
              <w:tab/>
            </w:r>
            <w:r w:rsidR="001D6340">
              <w:rPr>
                <w:noProof/>
                <w:webHidden/>
              </w:rPr>
              <w:fldChar w:fldCharType="begin"/>
            </w:r>
            <w:r w:rsidR="001D6340">
              <w:rPr>
                <w:noProof/>
                <w:webHidden/>
              </w:rPr>
              <w:instrText xml:space="preserve"> PAGEREF _Toc70633936 \h </w:instrText>
            </w:r>
            <w:r w:rsidR="001D6340">
              <w:rPr>
                <w:noProof/>
                <w:webHidden/>
              </w:rPr>
            </w:r>
            <w:r w:rsidR="001D6340">
              <w:rPr>
                <w:noProof/>
                <w:webHidden/>
              </w:rPr>
              <w:fldChar w:fldCharType="separate"/>
            </w:r>
            <w:r w:rsidR="001D6340">
              <w:rPr>
                <w:noProof/>
                <w:webHidden/>
              </w:rPr>
              <w:t>8</w:t>
            </w:r>
            <w:r w:rsidR="001D6340">
              <w:rPr>
                <w:noProof/>
                <w:webHidden/>
              </w:rPr>
              <w:fldChar w:fldCharType="end"/>
            </w:r>
          </w:hyperlink>
        </w:p>
        <w:p w14:paraId="310853DF" w14:textId="4D280646" w:rsidR="001D6340" w:rsidRDefault="00E41411">
          <w:pPr>
            <w:pStyle w:val="TOC1"/>
            <w:tabs>
              <w:tab w:val="right" w:leader="dot" w:pos="9350"/>
            </w:tabs>
            <w:rPr>
              <w:rFonts w:eastAsiaTheme="minorEastAsia"/>
              <w:noProof/>
              <w:lang w:val="en-IN" w:eastAsia="en-IN"/>
            </w:rPr>
          </w:pPr>
          <w:hyperlink w:anchor="_Toc70633937" w:history="1">
            <w:r w:rsidR="001D6340" w:rsidRPr="00D33A00">
              <w:rPr>
                <w:rStyle w:val="Hyperlink"/>
                <w:noProof/>
              </w:rPr>
              <w:t>Conclusion</w:t>
            </w:r>
            <w:r w:rsidR="001D6340">
              <w:rPr>
                <w:noProof/>
                <w:webHidden/>
              </w:rPr>
              <w:tab/>
            </w:r>
            <w:r w:rsidR="001D6340">
              <w:rPr>
                <w:noProof/>
                <w:webHidden/>
              </w:rPr>
              <w:fldChar w:fldCharType="begin"/>
            </w:r>
            <w:r w:rsidR="001D6340">
              <w:rPr>
                <w:noProof/>
                <w:webHidden/>
              </w:rPr>
              <w:instrText xml:space="preserve"> PAGEREF _Toc70633937 \h </w:instrText>
            </w:r>
            <w:r w:rsidR="001D6340">
              <w:rPr>
                <w:noProof/>
                <w:webHidden/>
              </w:rPr>
            </w:r>
            <w:r w:rsidR="001D6340">
              <w:rPr>
                <w:noProof/>
                <w:webHidden/>
              </w:rPr>
              <w:fldChar w:fldCharType="separate"/>
            </w:r>
            <w:r w:rsidR="001D6340">
              <w:rPr>
                <w:noProof/>
                <w:webHidden/>
              </w:rPr>
              <w:t>10</w:t>
            </w:r>
            <w:r w:rsidR="001D6340">
              <w:rPr>
                <w:noProof/>
                <w:webHidden/>
              </w:rPr>
              <w:fldChar w:fldCharType="end"/>
            </w:r>
          </w:hyperlink>
        </w:p>
        <w:p w14:paraId="2786506E" w14:textId="07134067" w:rsidR="001D6340" w:rsidRDefault="00E41411">
          <w:pPr>
            <w:pStyle w:val="TOC1"/>
            <w:tabs>
              <w:tab w:val="right" w:leader="dot" w:pos="9350"/>
            </w:tabs>
            <w:rPr>
              <w:rFonts w:eastAsiaTheme="minorEastAsia"/>
              <w:noProof/>
              <w:lang w:val="en-IN" w:eastAsia="en-IN"/>
            </w:rPr>
          </w:pPr>
          <w:hyperlink w:anchor="_Toc70633938" w:history="1">
            <w:r w:rsidR="001D6340" w:rsidRPr="00D33A00">
              <w:rPr>
                <w:rStyle w:val="Hyperlink"/>
                <w:noProof/>
              </w:rPr>
              <w:t>References</w:t>
            </w:r>
            <w:r w:rsidR="001D6340">
              <w:rPr>
                <w:noProof/>
                <w:webHidden/>
              </w:rPr>
              <w:tab/>
            </w:r>
            <w:r w:rsidR="001D6340">
              <w:rPr>
                <w:noProof/>
                <w:webHidden/>
              </w:rPr>
              <w:fldChar w:fldCharType="begin"/>
            </w:r>
            <w:r w:rsidR="001D6340">
              <w:rPr>
                <w:noProof/>
                <w:webHidden/>
              </w:rPr>
              <w:instrText xml:space="preserve"> PAGEREF _Toc70633938 \h </w:instrText>
            </w:r>
            <w:r w:rsidR="001D6340">
              <w:rPr>
                <w:noProof/>
                <w:webHidden/>
              </w:rPr>
            </w:r>
            <w:r w:rsidR="001D6340">
              <w:rPr>
                <w:noProof/>
                <w:webHidden/>
              </w:rPr>
              <w:fldChar w:fldCharType="separate"/>
            </w:r>
            <w:r w:rsidR="001D6340">
              <w:rPr>
                <w:noProof/>
                <w:webHidden/>
              </w:rPr>
              <w:t>11</w:t>
            </w:r>
            <w:r w:rsidR="001D6340">
              <w:rPr>
                <w:noProof/>
                <w:webHidden/>
              </w:rPr>
              <w:fldChar w:fldCharType="end"/>
            </w:r>
          </w:hyperlink>
        </w:p>
        <w:p w14:paraId="5715FA4C" w14:textId="66C84B33" w:rsidR="001D6340" w:rsidRDefault="001D6340">
          <w:r>
            <w:rPr>
              <w:b/>
              <w:bCs/>
              <w:noProof/>
            </w:rPr>
            <w:fldChar w:fldCharType="end"/>
          </w:r>
        </w:p>
      </w:sdtContent>
    </w:sdt>
    <w:p w14:paraId="2906C2E1" w14:textId="77777777" w:rsidR="001D6340" w:rsidRDefault="001D6340">
      <w:pPr>
        <w:rPr>
          <w:rFonts w:asciiTheme="majorHAnsi" w:eastAsiaTheme="majorEastAsia" w:hAnsiTheme="majorHAnsi" w:cstheme="majorBidi"/>
          <w:color w:val="2F5496" w:themeColor="accent1" w:themeShade="BF"/>
          <w:sz w:val="32"/>
          <w:szCs w:val="32"/>
        </w:rPr>
      </w:pPr>
      <w:r>
        <w:br w:type="page"/>
      </w:r>
    </w:p>
    <w:p w14:paraId="6C871508" w14:textId="1BF88B5A" w:rsidR="00AD4C1D" w:rsidRDefault="003A06F8" w:rsidP="00D640FA">
      <w:pPr>
        <w:pStyle w:val="Heading1"/>
        <w:jc w:val="both"/>
      </w:pPr>
      <w:bookmarkStart w:id="2" w:name="_Toc70633925"/>
      <w:r>
        <w:lastRenderedPageBreak/>
        <w:t>Introduction</w:t>
      </w:r>
      <w:bookmarkEnd w:id="2"/>
    </w:p>
    <w:p w14:paraId="7A52364C" w14:textId="1D40C615" w:rsidR="00930E8C" w:rsidRDefault="0025487D" w:rsidP="00D640FA">
      <w:pPr>
        <w:jc w:val="both"/>
      </w:pPr>
      <w:r>
        <w:t>Global Financial System collapsed during 2007-2009</w:t>
      </w:r>
      <w:r w:rsidR="0072695D">
        <w:t xml:space="preserve"> and global economy witnessed </w:t>
      </w:r>
      <w:r w:rsidR="00FC0AA1">
        <w:t xml:space="preserve">recession. </w:t>
      </w:r>
      <w:r w:rsidR="00A57784">
        <w:t>Many financial institutions collapsed due to this financial crisis</w:t>
      </w:r>
      <w:sdt>
        <w:sdtPr>
          <w:id w:val="-1196455542"/>
          <w:citation/>
        </w:sdtPr>
        <w:sdtEndPr/>
        <w:sdtContent>
          <w:r w:rsidR="00B76F99">
            <w:fldChar w:fldCharType="begin"/>
          </w:r>
          <w:r w:rsidR="00B76F99">
            <w:instrText xml:space="preserve"> CITATION Mar08 \l 1033 </w:instrText>
          </w:r>
          <w:r w:rsidR="00B76F99">
            <w:fldChar w:fldCharType="separate"/>
          </w:r>
          <w:r w:rsidR="00B76F99">
            <w:rPr>
              <w:noProof/>
            </w:rPr>
            <w:t xml:space="preserve"> </w:t>
          </w:r>
          <w:r w:rsidR="00B76F99" w:rsidRPr="00B76F99">
            <w:rPr>
              <w:noProof/>
            </w:rPr>
            <w:t>(Baily, et al., 2008)</w:t>
          </w:r>
          <w:r w:rsidR="00B76F99">
            <w:fldChar w:fldCharType="end"/>
          </w:r>
        </w:sdtContent>
      </w:sdt>
      <w:r w:rsidR="00A57784">
        <w:t xml:space="preserve">. </w:t>
      </w:r>
      <w:r w:rsidR="00125512">
        <w:t xml:space="preserve">There are </w:t>
      </w:r>
      <w:r w:rsidR="005C0546">
        <w:t>various</w:t>
      </w:r>
      <w:r w:rsidR="00125512">
        <w:t xml:space="preserve"> reasons which </w:t>
      </w:r>
      <w:r w:rsidR="001D720A">
        <w:t>elevated</w:t>
      </w:r>
      <w:r w:rsidR="00125512">
        <w:t xml:space="preserve"> the subprime crisis. </w:t>
      </w:r>
      <w:r w:rsidR="008E3D9F">
        <w:t xml:space="preserve">Financial institutions failed </w:t>
      </w:r>
      <w:r w:rsidR="00A07B23">
        <w:t>to estimate their true valuation model and relied up</w:t>
      </w:r>
      <w:r w:rsidR="00AA55CA">
        <w:t>o</w:t>
      </w:r>
      <w:r w:rsidR="00A07B23">
        <w:t>n credit rating</w:t>
      </w:r>
      <w:r w:rsidR="00AA55CA">
        <w:t>s.</w:t>
      </w:r>
      <w:r w:rsidR="004E7A48">
        <w:t xml:space="preserve"> Credit default Swaps</w:t>
      </w:r>
      <w:r w:rsidR="00A37FEE">
        <w:t xml:space="preserve"> (CDS) market was highly unregulated. </w:t>
      </w:r>
      <w:r w:rsidR="002041CA">
        <w:t xml:space="preserve">However, it all started due to subprime mortgage crisis. </w:t>
      </w:r>
      <w:r w:rsidR="00315A86">
        <w:t xml:space="preserve">Federal reserve </w:t>
      </w:r>
      <w:r w:rsidR="007F3A57">
        <w:t xml:space="preserve">lowered its interest rate from 3% in 2003 to 1% in 2001. </w:t>
      </w:r>
      <w:r w:rsidR="000C2326">
        <w:t xml:space="preserve">The objective was to make money accessible in the market and boost economy. </w:t>
      </w:r>
      <w:r w:rsidR="00D64E66">
        <w:t xml:space="preserve">This resulted </w:t>
      </w:r>
      <w:r w:rsidR="004F6FD1">
        <w:t xml:space="preserve">steep rise in home price and low mortgage rates. Borrowers including subprime </w:t>
      </w:r>
      <w:r w:rsidR="00E43811">
        <w:t>borrowers could buy house. Subprime borrower</w:t>
      </w:r>
      <w:r w:rsidR="002041CA">
        <w:t>s</w:t>
      </w:r>
      <w:r w:rsidR="00E43811">
        <w:t xml:space="preserve"> do not have good credit rating history. So must pay higher interest rate to get a loan. Even, during this time </w:t>
      </w:r>
      <w:r w:rsidR="002041CA">
        <w:t>financial institutions were</w:t>
      </w:r>
      <w:r w:rsidR="00E43811">
        <w:t xml:space="preserve"> relaxed to give loan to subprime borrowers</w:t>
      </w:r>
      <w:r w:rsidR="002041CA">
        <w:t xml:space="preserve"> without stringent underwriting.</w:t>
      </w:r>
      <w:r w:rsidR="004827A6">
        <w:t xml:space="preserve"> Banks used to sell this mortgage loan to large investment companies which used to repackage these loans into relatively low risk assets such as</w:t>
      </w:r>
      <w:r w:rsidR="00FE4E41">
        <w:t xml:space="preserve"> CDO (Collateralized debt obligations) and  </w:t>
      </w:r>
      <w:r w:rsidR="004827A6">
        <w:t xml:space="preserve"> mortgage backed securities. </w:t>
      </w:r>
      <w:r w:rsidR="00F009C7">
        <w:t xml:space="preserve">Therefore, a large secondary market was developed based on these subprime loans. </w:t>
      </w:r>
      <w:r w:rsidR="0014240C">
        <w:t xml:space="preserve">Gradually the Federal reserve interest rate started to </w:t>
      </w:r>
      <w:r w:rsidR="00983FCB">
        <w:t>increase,</w:t>
      </w:r>
      <w:r w:rsidR="0014240C">
        <w:t xml:space="preserve"> and it reached to 5.25% and remained till August 2007. </w:t>
      </w:r>
      <w:r w:rsidR="00983FCB">
        <w:t xml:space="preserve">By </w:t>
      </w:r>
      <w:r w:rsidR="00ED3801">
        <w:t>2004</w:t>
      </w:r>
      <w:r w:rsidR="00983FCB">
        <w:t xml:space="preserve"> homeownership reached 69</w:t>
      </w:r>
      <w:r w:rsidR="00ED3801">
        <w:t>.2%</w:t>
      </w:r>
      <w:sdt>
        <w:sdtPr>
          <w:id w:val="-1836608093"/>
          <w:citation/>
        </w:sdtPr>
        <w:sdtEndPr/>
        <w:sdtContent>
          <w:r w:rsidR="00D20AC0">
            <w:fldChar w:fldCharType="begin"/>
          </w:r>
          <w:r w:rsidR="00D20AC0">
            <w:instrText xml:space="preserve"> CITATION FRE21 \l 1033 </w:instrText>
          </w:r>
          <w:r w:rsidR="00D20AC0">
            <w:fldChar w:fldCharType="separate"/>
          </w:r>
          <w:r w:rsidR="00D20AC0">
            <w:rPr>
              <w:noProof/>
            </w:rPr>
            <w:t xml:space="preserve"> </w:t>
          </w:r>
          <w:r w:rsidR="00D20AC0" w:rsidRPr="00D20AC0">
            <w:rPr>
              <w:noProof/>
            </w:rPr>
            <w:t>(FRED, 2021)</w:t>
          </w:r>
          <w:r w:rsidR="00D20AC0">
            <w:fldChar w:fldCharType="end"/>
          </w:r>
        </w:sdtContent>
      </w:sdt>
      <w:r w:rsidR="00A94AA9">
        <w:t xml:space="preserve">. Then in early 2006, home price started to decrease. </w:t>
      </w:r>
      <w:r w:rsidR="0073704F">
        <w:t xml:space="preserve">Americans faced deep trouble as their houses were worth below the </w:t>
      </w:r>
      <w:r w:rsidR="00573F16">
        <w:t>amount,</w:t>
      </w:r>
      <w:r w:rsidR="006414A1">
        <w:t xml:space="preserve"> they paid to take loan from lenders. </w:t>
      </w:r>
      <w:r w:rsidR="00755643">
        <w:t>Therefore</w:t>
      </w:r>
      <w:r w:rsidR="00CF2DE7">
        <w:t>,</w:t>
      </w:r>
      <w:r w:rsidR="00755643">
        <w:t xml:space="preserve"> the number of defaulters started to increase</w:t>
      </w:r>
      <w:r w:rsidR="009A410B">
        <w:t xml:space="preserve"> specifically the subprime borrowers. </w:t>
      </w:r>
      <w:r w:rsidR="00CF2DE7">
        <w:t xml:space="preserve">In 2007, subprime lenders started to file bankruptcy. </w:t>
      </w:r>
      <w:r w:rsidR="005B0FDF">
        <w:t xml:space="preserve">By mid of 2007, it was evident that this </w:t>
      </w:r>
      <w:r w:rsidR="00EB4C02">
        <w:t xml:space="preserve">banking industry </w:t>
      </w:r>
      <w:r w:rsidR="005C7A28">
        <w:t xml:space="preserve">was unable to resolve </w:t>
      </w:r>
      <w:r w:rsidR="003451C2">
        <w:t xml:space="preserve">this crisis. </w:t>
      </w:r>
      <w:r w:rsidR="00865163">
        <w:t xml:space="preserve">Interbank markets froze due to this. </w:t>
      </w:r>
      <w:r w:rsidR="00933D9E">
        <w:t>Northern Rock filed bankruptcy</w:t>
      </w:r>
      <w:r w:rsidR="00571D94">
        <w:t xml:space="preserve"> in 2008</w:t>
      </w:r>
      <w:sdt>
        <w:sdtPr>
          <w:id w:val="1082719039"/>
          <w:citation/>
        </w:sdtPr>
        <w:sdtEndPr/>
        <w:sdtContent>
          <w:r w:rsidR="00A53D12">
            <w:fldChar w:fldCharType="begin"/>
          </w:r>
          <w:r w:rsidR="00A53D12">
            <w:instrText xml:space="preserve"> CITATION Dom17 \l 1033 </w:instrText>
          </w:r>
          <w:r w:rsidR="00A53D12">
            <w:fldChar w:fldCharType="separate"/>
          </w:r>
          <w:r w:rsidR="00A53D12">
            <w:rPr>
              <w:noProof/>
            </w:rPr>
            <w:t xml:space="preserve"> </w:t>
          </w:r>
          <w:r w:rsidR="00A53D12" w:rsidRPr="00A53D12">
            <w:rPr>
              <w:noProof/>
            </w:rPr>
            <w:t>(O'Connell, 2017)</w:t>
          </w:r>
          <w:r w:rsidR="00A53D12">
            <w:fldChar w:fldCharType="end"/>
          </w:r>
        </w:sdtContent>
      </w:sdt>
      <w:r w:rsidR="00933D9E">
        <w:t xml:space="preserve">. UBS a Swiss Bank </w:t>
      </w:r>
      <w:r w:rsidR="00B45029">
        <w:t xml:space="preserve">announced $3.4 billion loss due to their investment in secondary market which was linked to subprime mortgage market. </w:t>
      </w:r>
      <w:r w:rsidR="006B5678">
        <w:t>By winter 2008, United states and global economy complete</w:t>
      </w:r>
      <w:r w:rsidR="00FB2E04">
        <w:t>ly blown away due to recession. B</w:t>
      </w:r>
      <w:r w:rsidR="003C0222">
        <w:t>ritish Government nationalize</w:t>
      </w:r>
      <w:r w:rsidR="006D0C27">
        <w:t>d</w:t>
      </w:r>
      <w:r w:rsidR="003C0222">
        <w:t xml:space="preserve"> Northern Rock. Investment firm Be</w:t>
      </w:r>
      <w:r w:rsidR="00245912">
        <w:t xml:space="preserve">ar Stearns collapsed. </w:t>
      </w:r>
      <w:r w:rsidR="00736AC5">
        <w:t>F</w:t>
      </w:r>
      <w:r w:rsidR="0009547A">
        <w:t>annie Mae and Freddie Mac, two of the largest lenders in USA were sized by US Government. However</w:t>
      </w:r>
      <w:r w:rsidR="00663030">
        <w:t>,</w:t>
      </w:r>
      <w:r w:rsidR="0009547A">
        <w:t xml:space="preserve"> the collapse of iconic Lehman Brothers created the history as it was the largest bankruptcy ever filed</w:t>
      </w:r>
      <w:r w:rsidR="007308AE">
        <w:t xml:space="preserve"> in US financial history.</w:t>
      </w:r>
      <w:r w:rsidR="00245912">
        <w:t xml:space="preserve"> </w:t>
      </w:r>
    </w:p>
    <w:p w14:paraId="1607F2A0" w14:textId="1A0F0260" w:rsidR="00930E8C" w:rsidRDefault="002F3657" w:rsidP="00D640FA">
      <w:pPr>
        <w:jc w:val="both"/>
      </w:pPr>
      <w:r>
        <w:t xml:space="preserve">Governments provided bailout packages and introduced various acts in their countries to prevent further economic slide. This article will explain some of those acts which has significant impact in US, UK and Europe economy. </w:t>
      </w:r>
      <w:r w:rsidR="00307E76">
        <w:t xml:space="preserve">This article will also critically review </w:t>
      </w:r>
      <w:r w:rsidR="0072235F">
        <w:t xml:space="preserve">how these reforms </w:t>
      </w:r>
      <w:r w:rsidR="005F4A78">
        <w:t xml:space="preserve">have contributed the financial system. </w:t>
      </w:r>
      <w:r w:rsidR="00543E56">
        <w:t>In addition to that the article takes reference to UBS bank</w:t>
      </w:r>
      <w:r w:rsidR="004B72D3">
        <w:t xml:space="preserve"> and analyses the effect of these reforms. </w:t>
      </w:r>
    </w:p>
    <w:p w14:paraId="620AD6C9" w14:textId="0E41ABDA" w:rsidR="00573F16" w:rsidRDefault="00573F16" w:rsidP="003C0CD0">
      <w:pPr>
        <w:pStyle w:val="Heading1"/>
        <w:jc w:val="both"/>
      </w:pPr>
      <w:bookmarkStart w:id="3" w:name="_Toc70633926"/>
      <w:r>
        <w:t xml:space="preserve">Key </w:t>
      </w:r>
      <w:r w:rsidR="00413220">
        <w:t>Financial Reforms</w:t>
      </w:r>
      <w:bookmarkEnd w:id="3"/>
      <w:r w:rsidR="00991FFC">
        <w:t xml:space="preserve"> </w:t>
      </w:r>
    </w:p>
    <w:p w14:paraId="55FD977A" w14:textId="6850F946" w:rsidR="00492E96" w:rsidRDefault="00C91CBD" w:rsidP="00D640FA">
      <w:pPr>
        <w:jc w:val="both"/>
      </w:pPr>
      <w:r>
        <w:t xml:space="preserve">Global regulators and government authorities implemented new financial reforms to prevent further slide in economy. </w:t>
      </w:r>
      <w:r w:rsidR="00A03283">
        <w:t xml:space="preserve">Different countries implemented different reforms, however the objective of these reforms </w:t>
      </w:r>
      <w:r w:rsidR="00F244E0">
        <w:t>is</w:t>
      </w:r>
      <w:r w:rsidR="00A03283">
        <w:t xml:space="preserve"> similar</w:t>
      </w:r>
      <w:r w:rsidR="002C411B">
        <w:t xml:space="preserve"> which is strengthening the overall financial system </w:t>
      </w:r>
      <w:r w:rsidR="00CE7A04">
        <w:t xml:space="preserve">to avoid any further financial recession. </w:t>
      </w:r>
      <w:r w:rsidR="007F7A5A">
        <w:t xml:space="preserve">This article describes some key financial reforms implemented in </w:t>
      </w:r>
      <w:r w:rsidR="00D60F87">
        <w:t xml:space="preserve">USA, EU and UK. </w:t>
      </w:r>
    </w:p>
    <w:p w14:paraId="0577E932" w14:textId="631B05DC" w:rsidR="00D60F87" w:rsidRDefault="00D60F87" w:rsidP="00D640FA">
      <w:pPr>
        <w:pStyle w:val="Heading2"/>
        <w:jc w:val="both"/>
      </w:pPr>
      <w:bookmarkStart w:id="4" w:name="_Toc70633927"/>
      <w:r>
        <w:t>USA</w:t>
      </w:r>
      <w:bookmarkEnd w:id="4"/>
    </w:p>
    <w:p w14:paraId="2D7758D1" w14:textId="77777777" w:rsidR="0086610A" w:rsidRDefault="009803BB" w:rsidP="00D640FA">
      <w:pPr>
        <w:jc w:val="both"/>
      </w:pPr>
      <w:r>
        <w:t xml:space="preserve">Major </w:t>
      </w:r>
      <w:r w:rsidR="00691B38">
        <w:t xml:space="preserve">reforms established after the subprime crisis were 1. Dodd Frank act 2. </w:t>
      </w:r>
      <w:r w:rsidR="00CC15E3">
        <w:t>Emergency Economic Stabilization Act (EESA)</w:t>
      </w:r>
    </w:p>
    <w:p w14:paraId="1EBCB485" w14:textId="0010A492" w:rsidR="00EF0DCE" w:rsidRDefault="0086610A" w:rsidP="00D640FA">
      <w:pPr>
        <w:pStyle w:val="Heading3"/>
        <w:jc w:val="both"/>
      </w:pPr>
      <w:bookmarkStart w:id="5" w:name="_Toc70633928"/>
      <w:r>
        <w:t>Dodd Frank Act</w:t>
      </w:r>
      <w:bookmarkEnd w:id="5"/>
      <w:r w:rsidR="00CC15E3">
        <w:t xml:space="preserve"> </w:t>
      </w:r>
    </w:p>
    <w:p w14:paraId="21075989" w14:textId="77777777" w:rsidR="001D4D38" w:rsidRDefault="001D4D38" w:rsidP="00D640FA">
      <w:pPr>
        <w:jc w:val="both"/>
      </w:pPr>
    </w:p>
    <w:p w14:paraId="2C0D7CE4" w14:textId="55F809BF" w:rsidR="001D4D38" w:rsidRDefault="001D4D38" w:rsidP="00D640FA">
      <w:pPr>
        <w:jc w:val="both"/>
      </w:pPr>
      <w:r>
        <w:lastRenderedPageBreak/>
        <w:t xml:space="preserve">“The Dodd Frank Wall Street Reform and Consumer Protection Act 2010” was created </w:t>
      </w:r>
      <w:r w:rsidR="00352BFD">
        <w:t xml:space="preserve">as counteractive measure of </w:t>
      </w:r>
      <w:r w:rsidR="001E51E6">
        <w:t xml:space="preserve">Financial crisis. It was named after </w:t>
      </w:r>
      <w:r w:rsidR="001D0BA3" w:rsidRPr="001D4D38">
        <w:t>Senator Christopher J. Dodd</w:t>
      </w:r>
      <w:r w:rsidR="001D0BA3">
        <w:t xml:space="preserve"> </w:t>
      </w:r>
      <w:r w:rsidR="001D0BA3" w:rsidRPr="001D4D38">
        <w:t>and Representative Barney Frank</w:t>
      </w:r>
      <w:r w:rsidR="001D0BA3">
        <w:t xml:space="preserve"> who were the primary sponsor of this act. </w:t>
      </w:r>
      <w:r w:rsidR="00616A49">
        <w:t xml:space="preserve">The several provisions of act </w:t>
      </w:r>
      <w:r w:rsidR="00AA2EB6">
        <w:t>were</w:t>
      </w:r>
      <w:r w:rsidR="00616A49">
        <w:t xml:space="preserve"> implemented over </w:t>
      </w:r>
      <w:r w:rsidR="004B63E4">
        <w:t>a period</w:t>
      </w:r>
      <w:r w:rsidR="009B2803">
        <w:t>.</w:t>
      </w:r>
      <w:r w:rsidR="001976CE">
        <w:t xml:space="preserve"> Below are some of the key provisions of Dodd-Frank act</w:t>
      </w:r>
      <w:sdt>
        <w:sdtPr>
          <w:id w:val="784697794"/>
          <w:citation/>
        </w:sdtPr>
        <w:sdtEndPr/>
        <w:sdtContent>
          <w:r w:rsidR="009F2098">
            <w:fldChar w:fldCharType="begin"/>
          </w:r>
          <w:r w:rsidR="009F2098">
            <w:instrText xml:space="preserve"> CITATION Hay21 \l 1033 </w:instrText>
          </w:r>
          <w:r w:rsidR="009F2098">
            <w:fldChar w:fldCharType="separate"/>
          </w:r>
          <w:r w:rsidR="009F2098">
            <w:rPr>
              <w:noProof/>
            </w:rPr>
            <w:t xml:space="preserve"> </w:t>
          </w:r>
          <w:r w:rsidR="009F2098" w:rsidRPr="009F2098">
            <w:rPr>
              <w:noProof/>
            </w:rPr>
            <w:t>(Hayes, 2021)</w:t>
          </w:r>
          <w:r w:rsidR="009F2098">
            <w:fldChar w:fldCharType="end"/>
          </w:r>
        </w:sdtContent>
      </w:sdt>
      <w:r w:rsidR="001976CE">
        <w:t>.</w:t>
      </w:r>
    </w:p>
    <w:p w14:paraId="23DE0425" w14:textId="262C3E5F" w:rsidR="00935660" w:rsidRDefault="00935660" w:rsidP="00D640FA">
      <w:pPr>
        <w:pStyle w:val="ListParagraph"/>
        <w:numPr>
          <w:ilvl w:val="0"/>
          <w:numId w:val="1"/>
        </w:numPr>
        <w:jc w:val="both"/>
      </w:pPr>
      <w:r w:rsidRPr="001D16E0">
        <w:rPr>
          <w:b/>
        </w:rPr>
        <w:t>Financial Stability:</w:t>
      </w:r>
      <w:r>
        <w:t xml:space="preserve"> </w:t>
      </w:r>
      <w:r w:rsidR="00EE67A5">
        <w:t>The Dodd-Frank act has established ‘Financial Stability Oversight Council’</w:t>
      </w:r>
      <w:r w:rsidR="00A66647">
        <w:t>. In addition to that ‘Orderly Liquidation Authority’ oversight the financial stability of the large and major financial institut</w:t>
      </w:r>
      <w:r w:rsidR="00AF27F8">
        <w:t>ions</w:t>
      </w:r>
      <w:r w:rsidR="00025BEE">
        <w:t xml:space="preserve">. The large financial institutions are “too big to fail”. Failure in these institutions have severe impact on overall country’s and global economy. </w:t>
      </w:r>
      <w:r w:rsidR="0067308F">
        <w:t>The law provides opportunity for liquidation</w:t>
      </w:r>
      <w:r w:rsidR="0010004C">
        <w:t xml:space="preserve"> of assets via orderly liquidation fund. It also provides direction about restructuring of financial assets. </w:t>
      </w:r>
      <w:r w:rsidR="00054770">
        <w:t>The council determines the systemic risk and can break a large size bank</w:t>
      </w:r>
      <w:r w:rsidR="00A70070">
        <w:t xml:space="preserve"> to mitigate risks. It can </w:t>
      </w:r>
      <w:r w:rsidR="007B0D4E">
        <w:t>provide mandate to increase their cash reserve. Similarly, ‘Federal Insurance Office’ can regulate and monitor large insurance firms which are “too big to fail”.</w:t>
      </w:r>
    </w:p>
    <w:p w14:paraId="42D85317" w14:textId="7ED77F8B" w:rsidR="00A2697C" w:rsidRDefault="001D16E0" w:rsidP="00D640FA">
      <w:pPr>
        <w:pStyle w:val="ListParagraph"/>
        <w:numPr>
          <w:ilvl w:val="0"/>
          <w:numId w:val="1"/>
        </w:numPr>
        <w:jc w:val="both"/>
      </w:pPr>
      <w:r>
        <w:rPr>
          <w:b/>
        </w:rPr>
        <w:t>‘</w:t>
      </w:r>
      <w:r w:rsidR="00A2697C" w:rsidRPr="001D16E0">
        <w:rPr>
          <w:b/>
        </w:rPr>
        <w:t>Consumer Financial Protection Bureau</w:t>
      </w:r>
      <w:r>
        <w:rPr>
          <w:b/>
        </w:rPr>
        <w:t>’</w:t>
      </w:r>
      <w:r w:rsidR="00A2697C" w:rsidRPr="001D16E0">
        <w:rPr>
          <w:b/>
        </w:rPr>
        <w:t>:</w:t>
      </w:r>
      <w:r w:rsidR="0079403E">
        <w:t xml:space="preserve"> Under Dodd-Frank act,</w:t>
      </w:r>
      <w:r w:rsidR="00A2697C">
        <w:t xml:space="preserve"> </w:t>
      </w:r>
      <w:r w:rsidR="006E2C5A">
        <w:t xml:space="preserve">CFPB </w:t>
      </w:r>
      <w:r w:rsidR="00CB57AA">
        <w:t>was established</w:t>
      </w:r>
      <w:r w:rsidR="0079403E">
        <w:t xml:space="preserve">. The purpose was to control the </w:t>
      </w:r>
      <w:r w:rsidR="00987B2A">
        <w:t>aggressive</w:t>
      </w:r>
      <w:r w:rsidR="0079403E">
        <w:t xml:space="preserve"> mortgage lending</w:t>
      </w:r>
      <w:r w:rsidR="004B57A6">
        <w:t xml:space="preserve">. During 2008 financial crisis subprime mortgage lending was one of the biggest reasons. </w:t>
      </w:r>
      <w:r w:rsidR="00A337D2">
        <w:t xml:space="preserve">Therefore, CFPB’s role is to prevent the similar scenario in future. </w:t>
      </w:r>
      <w:r w:rsidR="00D07C76">
        <w:t xml:space="preserve">In addition to this it also makes aware the consumers about the terms and conditions of a mortgage lending. </w:t>
      </w:r>
      <w:r w:rsidR="00705319">
        <w:t xml:space="preserve">CFPB resists mortgage brokers from collecting higher commissions for </w:t>
      </w:r>
      <w:r w:rsidR="007A695B">
        <w:t xml:space="preserve">foreclosing a loan with increased </w:t>
      </w:r>
      <w:r w:rsidR="002D0AA0">
        <w:t>interest rates or higher fees. Also</w:t>
      </w:r>
      <w:r w:rsidR="00132329">
        <w:t>,</w:t>
      </w:r>
      <w:r w:rsidR="002D0AA0">
        <w:t xml:space="preserve"> it prevents the originator to guide the consumer to the loan which require higher charges </w:t>
      </w:r>
      <w:r w:rsidR="005534DF">
        <w:t>for originators. CFPB manages credit and debit card lending</w:t>
      </w:r>
      <w:r w:rsidR="00EB379E">
        <w:t xml:space="preserve">. The bureau address complaints </w:t>
      </w:r>
      <w:r w:rsidR="00132329">
        <w:t xml:space="preserve">of </w:t>
      </w:r>
      <w:r w:rsidR="00EB379E">
        <w:t>mortgage consumers</w:t>
      </w:r>
      <w:r w:rsidR="00132329">
        <w:t xml:space="preserve">. It </w:t>
      </w:r>
      <w:r w:rsidR="00B20305">
        <w:t xml:space="preserve">makes the formal procedure simplified including the </w:t>
      </w:r>
      <w:r w:rsidR="00C971DB">
        <w:t xml:space="preserve">mortgage forms in Lehman’s term. </w:t>
      </w:r>
      <w:r w:rsidR="00EB379E">
        <w:t xml:space="preserve"> </w:t>
      </w:r>
    </w:p>
    <w:p w14:paraId="43439847" w14:textId="6B38D2B5" w:rsidR="00D508D3" w:rsidRDefault="00917B71" w:rsidP="00D640FA">
      <w:pPr>
        <w:pStyle w:val="ListParagraph"/>
        <w:numPr>
          <w:ilvl w:val="0"/>
          <w:numId w:val="1"/>
        </w:numPr>
        <w:jc w:val="both"/>
      </w:pPr>
      <w:r w:rsidRPr="001D16E0">
        <w:rPr>
          <w:b/>
        </w:rPr>
        <w:t>Volcker Rule:</w:t>
      </w:r>
      <w:r>
        <w:t xml:space="preserve"> </w:t>
      </w:r>
      <w:r w:rsidR="002B1C13">
        <w:t xml:space="preserve"> </w:t>
      </w:r>
      <w:r w:rsidR="00A31DB2">
        <w:t xml:space="preserve">To eliminate proprietary trading, limit bank investment </w:t>
      </w:r>
      <w:r w:rsidR="00E930BD">
        <w:t>and</w:t>
      </w:r>
      <w:r w:rsidR="00A31DB2">
        <w:t xml:space="preserve"> limit speculative </w:t>
      </w:r>
      <w:r w:rsidR="006442CE">
        <w:t>trading,</w:t>
      </w:r>
      <w:r w:rsidR="001500BF">
        <w:t xml:space="preserve"> </w:t>
      </w:r>
      <w:r w:rsidR="00386B2D">
        <w:t xml:space="preserve">Volcker rule was implemented under Dodd-Frank act. </w:t>
      </w:r>
      <w:r w:rsidR="009E066A">
        <w:t xml:space="preserve">Banks are not </w:t>
      </w:r>
      <w:r w:rsidR="00FB01F8">
        <w:t>encouraged</w:t>
      </w:r>
      <w:r w:rsidR="009E066A">
        <w:t xml:space="preserve"> to get involved </w:t>
      </w:r>
      <w:r w:rsidR="00FB01F8">
        <w:t xml:space="preserve">with private equity or hedge funds as these assets </w:t>
      </w:r>
      <w:r w:rsidR="00AC1350">
        <w:t xml:space="preserve">consists of </w:t>
      </w:r>
      <w:r w:rsidR="006442CE">
        <w:t>high-risk</w:t>
      </w:r>
      <w:r w:rsidR="00AC1350">
        <w:t xml:space="preserve"> elements. To avoid the conflict of interest Volcker rule </w:t>
      </w:r>
      <w:r w:rsidR="004A08BC">
        <w:t xml:space="preserve">directs the banks not to do trading </w:t>
      </w:r>
      <w:r w:rsidR="006442CE">
        <w:t xml:space="preserve">proprietarily, unless it has </w:t>
      </w:r>
      <w:r w:rsidR="007E1CC0">
        <w:t>enough</w:t>
      </w:r>
      <w:r w:rsidR="006442CE">
        <w:t xml:space="preserve"> </w:t>
      </w:r>
      <w:r w:rsidR="007E1CC0">
        <w:t xml:space="preserve">“stake in the result”. </w:t>
      </w:r>
      <w:r w:rsidR="007D2817">
        <w:t>Volcker rule has provisions to regulate credit default swaps (CDS)</w:t>
      </w:r>
      <w:r w:rsidR="00F4541C">
        <w:t xml:space="preserve"> which was one of the major </w:t>
      </w:r>
      <w:r w:rsidR="00C01B3D">
        <w:t>reasons’</w:t>
      </w:r>
      <w:r w:rsidR="00F4541C">
        <w:t xml:space="preserve"> of 2008 financial crisis. </w:t>
      </w:r>
      <w:r w:rsidR="0035745F">
        <w:t xml:space="preserve">The act established centralized exchange </w:t>
      </w:r>
      <w:r w:rsidR="00592B8F">
        <w:t xml:space="preserve">which </w:t>
      </w:r>
      <w:r w:rsidR="000A0BC6">
        <w:t xml:space="preserve">facilitate Swap trading. By establishing </w:t>
      </w:r>
      <w:r w:rsidR="00C01B3D">
        <w:t>exchange,</w:t>
      </w:r>
      <w:r w:rsidR="000A0BC6">
        <w:t xml:space="preserve"> the act reduced the counterparty default</w:t>
      </w:r>
      <w:r w:rsidR="000B3537">
        <w:t xml:space="preserve"> </w:t>
      </w:r>
      <w:r w:rsidR="001D16E0">
        <w:t>and</w:t>
      </w:r>
      <w:r w:rsidR="000B3537">
        <w:t xml:space="preserve"> promoted higher disclosure of information associated with swap trading to increase the transparency in</w:t>
      </w:r>
      <w:r w:rsidR="00EB363C">
        <w:t xml:space="preserve"> the market. </w:t>
      </w:r>
    </w:p>
    <w:p w14:paraId="5C6F5C65" w14:textId="56393114" w:rsidR="000B695D" w:rsidRDefault="00D508D3" w:rsidP="00D640FA">
      <w:pPr>
        <w:pStyle w:val="ListParagraph"/>
        <w:numPr>
          <w:ilvl w:val="0"/>
          <w:numId w:val="1"/>
        </w:numPr>
        <w:jc w:val="both"/>
      </w:pPr>
      <w:r w:rsidRPr="009D23C4">
        <w:rPr>
          <w:b/>
        </w:rPr>
        <w:t>Securities and Exchange Commission (SEC) Office of Credit Ratings:</w:t>
      </w:r>
      <w:r>
        <w:t xml:space="preserve"> </w:t>
      </w:r>
      <w:r w:rsidR="000B695D">
        <w:t xml:space="preserve">Credit rating agencies were responsible </w:t>
      </w:r>
      <w:r w:rsidR="004F2164">
        <w:t xml:space="preserve">for the financial crisis. Rating agencies </w:t>
      </w:r>
      <w:r w:rsidR="006E0622">
        <w:t>unethically exaggerated the rating of financial institutions</w:t>
      </w:r>
      <w:r w:rsidR="00674EC1">
        <w:t xml:space="preserve">. To prevent this under Dodd-Frank act SEC office of credit rating was formed. </w:t>
      </w:r>
      <w:r w:rsidR="00102AC2">
        <w:t>The responsibility is to monitor the credit rating agencies so that they provide honest, reliable and meaningful credit rating</w:t>
      </w:r>
      <w:r w:rsidR="002524E5">
        <w:t xml:space="preserve">s to financial institutions and other organizations. </w:t>
      </w:r>
    </w:p>
    <w:p w14:paraId="0E02CD8F" w14:textId="77777777" w:rsidR="000B695D" w:rsidRDefault="000B695D" w:rsidP="00D640FA">
      <w:pPr>
        <w:pStyle w:val="ListParagraph"/>
        <w:jc w:val="both"/>
      </w:pPr>
    </w:p>
    <w:p w14:paraId="383A2665" w14:textId="3CE55ACA" w:rsidR="00E66375" w:rsidRDefault="00D508D3" w:rsidP="00D640FA">
      <w:pPr>
        <w:pStyle w:val="ListParagraph"/>
        <w:numPr>
          <w:ilvl w:val="0"/>
          <w:numId w:val="1"/>
        </w:numPr>
        <w:jc w:val="both"/>
      </w:pPr>
      <w:r w:rsidRPr="001D442A">
        <w:rPr>
          <w:b/>
        </w:rPr>
        <w:t>Whistleblower Program:</w:t>
      </w:r>
      <w:r>
        <w:t xml:space="preserve"> </w:t>
      </w:r>
      <w:r w:rsidR="007109FA">
        <w:t>Dodd</w:t>
      </w:r>
      <w:r w:rsidR="00ED1D2B">
        <w:t xml:space="preserve">-Frank act elaborated and extended the existing whistleblower initiative by implementing Sarbanes-Oxley Act (SOX). </w:t>
      </w:r>
      <w:r w:rsidR="00882BF8">
        <w:t xml:space="preserve">Whistleblowers may receive 10%-30% </w:t>
      </w:r>
      <w:r w:rsidR="00AA5F8F">
        <w:t>of the earnings from a litigation payment</w:t>
      </w:r>
      <w:r w:rsidR="007F5DBE">
        <w:t xml:space="preserve">. This has become mandatory in the new act. </w:t>
      </w:r>
      <w:r w:rsidR="00194A62">
        <w:t xml:space="preserve">The </w:t>
      </w:r>
      <w:r w:rsidR="007D2B90">
        <w:t xml:space="preserve">act </w:t>
      </w:r>
      <w:r w:rsidR="00940FB3">
        <w:t xml:space="preserve">extended the scope where it included employees of subsidiaries along with parent organization. </w:t>
      </w:r>
    </w:p>
    <w:p w14:paraId="280D9E55" w14:textId="77777777" w:rsidR="006C7F3E" w:rsidRDefault="006C7F3E" w:rsidP="00D640FA">
      <w:pPr>
        <w:pStyle w:val="ListParagraph"/>
        <w:jc w:val="both"/>
      </w:pPr>
    </w:p>
    <w:p w14:paraId="3E40AE20" w14:textId="1ED3BDA9" w:rsidR="0052187C" w:rsidRDefault="006965A7" w:rsidP="00D640FA">
      <w:pPr>
        <w:pStyle w:val="Heading3"/>
        <w:jc w:val="both"/>
      </w:pPr>
      <w:bookmarkStart w:id="6" w:name="_Toc70633929"/>
      <w:r>
        <w:lastRenderedPageBreak/>
        <w:t>Emergency Economic Stabilization Act</w:t>
      </w:r>
      <w:bookmarkEnd w:id="6"/>
    </w:p>
    <w:p w14:paraId="3D63CAB4" w14:textId="28799ADD" w:rsidR="0052187C" w:rsidRDefault="000B4BF9" w:rsidP="00D640FA">
      <w:pPr>
        <w:jc w:val="both"/>
      </w:pPr>
      <w:r>
        <w:t>US Congress passed this act in October 2008</w:t>
      </w:r>
      <w:r w:rsidR="00C03E72">
        <w:t xml:space="preserve">. This act </w:t>
      </w:r>
      <w:r w:rsidR="00E273AC">
        <w:t xml:space="preserve">issued $700 billion to purchase </w:t>
      </w:r>
      <w:r w:rsidR="00F71F24">
        <w:t>mortgage backed securities, bank shares and others. These assets were termed as “troubled-assets”. The</w:t>
      </w:r>
      <w:r w:rsidR="005B55DE">
        <w:t xml:space="preserve"> “Troubled-asset relief program</w:t>
      </w:r>
      <w:r w:rsidR="004C4E6B">
        <w:t xml:space="preserve"> </w:t>
      </w:r>
      <w:r w:rsidR="00AB3D91">
        <w:t>(TARP)</w:t>
      </w:r>
      <w:r w:rsidR="005B55DE">
        <w:t xml:space="preserve">” </w:t>
      </w:r>
      <w:r w:rsidR="005E679F">
        <w:t xml:space="preserve">spent approximately $426 billion, predominantly for bailing out the institutions </w:t>
      </w:r>
      <w:r w:rsidR="00D100E3">
        <w:t>including AIG, Citigroup, Bank of America, General Motors, JP</w:t>
      </w:r>
      <w:r w:rsidR="00AB3D91">
        <w:t xml:space="preserve">Morgan Chase. The treasury could recover approximately $441.7 billion </w:t>
      </w:r>
      <w:r w:rsidR="004C4E6B">
        <w:t xml:space="preserve">from the TARP recipients. </w:t>
      </w:r>
    </w:p>
    <w:p w14:paraId="5C36DE5C" w14:textId="599E9FC7" w:rsidR="004C4E6B" w:rsidRDefault="004460B6" w:rsidP="00D640FA">
      <w:pPr>
        <w:pStyle w:val="Heading2"/>
        <w:jc w:val="both"/>
      </w:pPr>
      <w:bookmarkStart w:id="7" w:name="_Toc70633930"/>
      <w:r>
        <w:t>UK</w:t>
      </w:r>
      <w:r w:rsidR="00BF6721">
        <w:t xml:space="preserve"> &amp; Europe</w:t>
      </w:r>
      <w:bookmarkEnd w:id="7"/>
    </w:p>
    <w:p w14:paraId="2740D241" w14:textId="546D5C98" w:rsidR="008A7EB1" w:rsidRDefault="009C0958" w:rsidP="00D640FA">
      <w:pPr>
        <w:pStyle w:val="Heading3"/>
        <w:jc w:val="both"/>
      </w:pPr>
      <w:bookmarkStart w:id="8" w:name="_Toc70633931"/>
      <w:r>
        <w:t>Short Selling Restriction</w:t>
      </w:r>
      <w:bookmarkEnd w:id="8"/>
    </w:p>
    <w:p w14:paraId="02860DD0" w14:textId="1FE9E6A5" w:rsidR="00D10310" w:rsidRDefault="00672491" w:rsidP="00D640FA">
      <w:pPr>
        <w:jc w:val="both"/>
      </w:pPr>
      <w:r>
        <w:t xml:space="preserve">UK regulators imposed </w:t>
      </w:r>
      <w:r w:rsidR="009B15E0">
        <w:t xml:space="preserve">temporary restriction on short-selling </w:t>
      </w:r>
      <w:r w:rsidR="00DD15AE">
        <w:t>of shares. Investors can make profit by short selling while a share</w:t>
      </w:r>
      <w:r w:rsidR="00245238">
        <w:t xml:space="preserve"> when it</w:t>
      </w:r>
      <w:r w:rsidR="00DD15AE">
        <w:t xml:space="preserve"> declines i</w:t>
      </w:r>
      <w:r w:rsidR="00843C96">
        <w:t>ts</w:t>
      </w:r>
      <w:r w:rsidR="00DD15AE">
        <w:t xml:space="preserve"> value. </w:t>
      </w:r>
      <w:r w:rsidR="002A52EA">
        <w:t xml:space="preserve">When a large organization’s stock starts declining, investors do more short selling and that cumulatively reduce the share price. </w:t>
      </w:r>
      <w:r w:rsidR="00C058AD">
        <w:t>It was believed that short selling of share</w:t>
      </w:r>
      <w:r w:rsidR="007C3F1E">
        <w:t xml:space="preserve"> is one of the prime reasons of bailout </w:t>
      </w:r>
      <w:r w:rsidR="000A06AA">
        <w:t>of</w:t>
      </w:r>
      <w:r w:rsidR="007C3F1E">
        <w:t xml:space="preserve"> Lehman Brothers. </w:t>
      </w:r>
    </w:p>
    <w:p w14:paraId="7BE7EA4E" w14:textId="178ECE0B" w:rsidR="00CA465A" w:rsidRDefault="00CA465A" w:rsidP="00D640FA">
      <w:pPr>
        <w:pStyle w:val="Heading3"/>
        <w:jc w:val="both"/>
      </w:pPr>
      <w:bookmarkStart w:id="9" w:name="_Toc70633932"/>
      <w:r>
        <w:t>Financial Services Act 2012</w:t>
      </w:r>
      <w:bookmarkEnd w:id="9"/>
    </w:p>
    <w:p w14:paraId="5A4177AA" w14:textId="2BFA154B" w:rsidR="00E97545" w:rsidRDefault="00E97545" w:rsidP="00D640FA">
      <w:pPr>
        <w:jc w:val="both"/>
      </w:pPr>
      <w:r>
        <w:t>UK government responded to the financial crisis by introducing ‘Financial Services Act 2012</w:t>
      </w:r>
      <w:r w:rsidR="00C06759">
        <w:t xml:space="preserve">’. This enabled a completely new approach towards banking regulations. Previously the system was tripartite where The Bank of England, HM treasury and FSA were involved. </w:t>
      </w:r>
      <w:r w:rsidR="00CA465A">
        <w:t xml:space="preserve">According to the new act </w:t>
      </w:r>
      <w:r w:rsidR="00BC1EF5">
        <w:t>the system has changed to twin peaks which are PRA and FCA.</w:t>
      </w:r>
      <w:r w:rsidR="00F35E17">
        <w:t xml:space="preserve"> </w:t>
      </w:r>
      <w:r w:rsidR="00D655CC">
        <w:t xml:space="preserve">Northern Trust, HOBS collapsed during financial crisis. It was highlighted that the collapse of these financial institutions </w:t>
      </w:r>
      <w:r w:rsidR="004463A4">
        <w:t xml:space="preserve">happened due to failure of tripartite regulation. FSA failed to anticipate the crisis despite they were </w:t>
      </w:r>
      <w:r w:rsidR="00336B96">
        <w:t xml:space="preserve">aware about the discrepancies and </w:t>
      </w:r>
      <w:r w:rsidR="0069057C">
        <w:t>deficiencies,</w:t>
      </w:r>
      <w:r w:rsidR="00336B96">
        <w:t xml:space="preserve"> before the financial crisis happens. </w:t>
      </w:r>
    </w:p>
    <w:p w14:paraId="340FB803" w14:textId="73DDB046" w:rsidR="00413202" w:rsidRDefault="00413202" w:rsidP="00D640FA">
      <w:pPr>
        <w:pStyle w:val="Heading3"/>
        <w:jc w:val="both"/>
      </w:pPr>
      <w:bookmarkStart w:id="10" w:name="_Toc70633933"/>
      <w:r>
        <w:t>EU Regulatory Reforms</w:t>
      </w:r>
      <w:bookmarkEnd w:id="10"/>
    </w:p>
    <w:p w14:paraId="1AC06445" w14:textId="51DD8101" w:rsidR="00413202" w:rsidRDefault="0082678D" w:rsidP="00D640FA">
      <w:pPr>
        <w:jc w:val="both"/>
      </w:pPr>
      <w:r>
        <w:t>European Parliament Committee in May 2010</w:t>
      </w:r>
      <w:r w:rsidR="000E0CA7">
        <w:t xml:space="preserve"> </w:t>
      </w:r>
      <w:r w:rsidR="00A65336">
        <w:t xml:space="preserve">passed a bill which </w:t>
      </w:r>
      <w:r w:rsidR="007C7EF2">
        <w:t>strengthened and empowered the regulatory authorities to monitor banks</w:t>
      </w:r>
      <w:r w:rsidR="00D01E46">
        <w:t xml:space="preserve">, insurers, pension funds. </w:t>
      </w:r>
      <w:r>
        <w:t>The plan also create</w:t>
      </w:r>
      <w:r w:rsidR="0052362A">
        <w:t>d</w:t>
      </w:r>
      <w:r>
        <w:t xml:space="preserve"> a provision of establishing two new funds</w:t>
      </w:r>
      <w:r w:rsidR="0052362A">
        <w:t>- deposit insurance fund and stability fund. The large financial institutions were supposed to contribute</w:t>
      </w:r>
      <w:r w:rsidR="00CA4760">
        <w:t xml:space="preserve"> in these funds. Depending on the risk assessment the contribution to these funds </w:t>
      </w:r>
      <w:r w:rsidR="00BC3FD6">
        <w:t xml:space="preserve">were determined. </w:t>
      </w:r>
      <w:r w:rsidR="0065121D">
        <w:t>‘</w:t>
      </w:r>
      <w:r w:rsidR="00B91FFD">
        <w:t>European Systemic Risk board</w:t>
      </w:r>
      <w:r w:rsidR="0065121D">
        <w:t xml:space="preserve"> (ESRB)’</w:t>
      </w:r>
      <w:r w:rsidR="00B91FFD">
        <w:t xml:space="preserve"> was</w:t>
      </w:r>
      <w:r w:rsidR="00031D53">
        <w:t xml:space="preserve"> created under this plan which oversight the interconnected risks between the banks</w:t>
      </w:r>
      <w:r w:rsidR="00101A0F">
        <w:t xml:space="preserve">. </w:t>
      </w:r>
      <w:r w:rsidR="00FF049F">
        <w:t xml:space="preserve">The plan created </w:t>
      </w:r>
      <w:r w:rsidR="00860830">
        <w:t>this</w:t>
      </w:r>
      <w:r w:rsidR="00FF049F">
        <w:t xml:space="preserve"> new system ‘</w:t>
      </w:r>
      <w:r w:rsidR="00FF049F" w:rsidRPr="00FF049F">
        <w:t>European System of Financial Supervisors</w:t>
      </w:r>
      <w:r w:rsidR="00FF049F">
        <w:t xml:space="preserve"> (ESFS)’ whic</w:t>
      </w:r>
      <w:r w:rsidR="0050489E">
        <w:t>h would comprise of EBA, EIOPA, ESA</w:t>
      </w:r>
      <w:sdt>
        <w:sdtPr>
          <w:id w:val="1878131020"/>
          <w:citation/>
        </w:sdtPr>
        <w:sdtEndPr/>
        <w:sdtContent>
          <w:r w:rsidR="00D640FA">
            <w:fldChar w:fldCharType="begin"/>
          </w:r>
          <w:r w:rsidR="00D640FA">
            <w:instrText xml:space="preserve"> CITATION Eur21 \l 1033 </w:instrText>
          </w:r>
          <w:r w:rsidR="00D640FA">
            <w:fldChar w:fldCharType="separate"/>
          </w:r>
          <w:r w:rsidR="00D640FA">
            <w:rPr>
              <w:noProof/>
            </w:rPr>
            <w:t xml:space="preserve"> </w:t>
          </w:r>
          <w:r w:rsidR="00D640FA" w:rsidRPr="00D640FA">
            <w:rPr>
              <w:noProof/>
            </w:rPr>
            <w:t>(European-Parliament, 2021)</w:t>
          </w:r>
          <w:r w:rsidR="00D640FA">
            <w:fldChar w:fldCharType="end"/>
          </w:r>
        </w:sdtContent>
      </w:sdt>
      <w:r w:rsidR="0050489E">
        <w:t xml:space="preserve">. A new committee was established to avoid any conflict between these </w:t>
      </w:r>
      <w:r w:rsidR="00BE5553">
        <w:t xml:space="preserve">regulatory authorities. Thus, ESFS would promote a common </w:t>
      </w:r>
      <w:r w:rsidR="007507C3">
        <w:t xml:space="preserve">direction to financial institutions to maintain synchronized regulatory norms. </w:t>
      </w:r>
      <w:r w:rsidR="00FE03DB">
        <w:t xml:space="preserve">It also protects consumer’s interest in financial market. </w:t>
      </w:r>
      <w:r w:rsidR="00F26E1F">
        <w:t>ESFS monitors the stress at micro level for individual financial institutions in order to provide stability</w:t>
      </w:r>
      <w:r w:rsidR="006D551C">
        <w:t xml:space="preserve"> and protect consumers </w:t>
      </w:r>
      <w:r w:rsidR="00926FCD">
        <w:t>faith on banking.</w:t>
      </w:r>
      <w:r w:rsidR="006F0769">
        <w:t xml:space="preserve"> By doing macro prudential-supervision</w:t>
      </w:r>
      <w:r w:rsidR="00540EBD">
        <w:t xml:space="preserve"> ESFS holistically monitors the </w:t>
      </w:r>
      <w:r w:rsidR="009E0990">
        <w:t xml:space="preserve">entire financial system and maintain its stability so that in future any other financial crisis can be avoided. </w:t>
      </w:r>
    </w:p>
    <w:p w14:paraId="50567B7E" w14:textId="725F0E76" w:rsidR="004A140B" w:rsidRDefault="004A140B" w:rsidP="00D640FA">
      <w:pPr>
        <w:jc w:val="both"/>
      </w:pPr>
      <w:r>
        <w:rPr>
          <w:noProof/>
          <w:lang w:val="en-GB" w:eastAsia="en-GB"/>
        </w:rPr>
        <w:lastRenderedPageBreak/>
        <w:drawing>
          <wp:inline distT="0" distB="0" distL="0" distR="0" wp14:anchorId="7CA6D9E1" wp14:editId="11472B91">
            <wp:extent cx="3261203" cy="5095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4616" cy="5101207"/>
                    </a:xfrm>
                    <a:prstGeom prst="rect">
                      <a:avLst/>
                    </a:prstGeom>
                    <a:noFill/>
                    <a:ln>
                      <a:noFill/>
                    </a:ln>
                  </pic:spPr>
                </pic:pic>
              </a:graphicData>
            </a:graphic>
          </wp:inline>
        </w:drawing>
      </w:r>
    </w:p>
    <w:p w14:paraId="43BAB094" w14:textId="7F289886" w:rsidR="004A140B" w:rsidRPr="00413202" w:rsidRDefault="004A140B" w:rsidP="00D640FA">
      <w:pPr>
        <w:pStyle w:val="Caption"/>
        <w:jc w:val="both"/>
      </w:pPr>
      <w:r>
        <w:t xml:space="preserve">Figure </w:t>
      </w:r>
      <w:fldSimple w:instr=" SEQ Figure \* ARABIC ">
        <w:r w:rsidR="00A925CB">
          <w:rPr>
            <w:noProof/>
          </w:rPr>
          <w:t>1</w:t>
        </w:r>
      </w:fldSimple>
      <w:r>
        <w:t>: ESFS</w:t>
      </w:r>
    </w:p>
    <w:p w14:paraId="3D9D89E9" w14:textId="20D51FA4" w:rsidR="0088552D" w:rsidRDefault="00BF6721" w:rsidP="00D640FA">
      <w:pPr>
        <w:pStyle w:val="Heading3"/>
        <w:jc w:val="both"/>
      </w:pPr>
      <w:bookmarkStart w:id="11" w:name="_Toc70633934"/>
      <w:r>
        <w:t>Basel</w:t>
      </w:r>
      <w:bookmarkEnd w:id="11"/>
      <w:r>
        <w:t xml:space="preserve"> </w:t>
      </w:r>
    </w:p>
    <w:p w14:paraId="063D118A" w14:textId="071EA4D5" w:rsidR="008241BE" w:rsidRDefault="00416292" w:rsidP="00D640FA">
      <w:pPr>
        <w:jc w:val="both"/>
      </w:pPr>
      <w:r>
        <w:t xml:space="preserve">Different regulatory reforms were </w:t>
      </w:r>
      <w:r w:rsidR="00197465">
        <w:t xml:space="preserve">introduced post financial crisis of 2008 in order to </w:t>
      </w:r>
      <w:r w:rsidR="0008382A">
        <w:t>avoid any such future crisis in financial industry. However, it was also evident th</w:t>
      </w:r>
      <w:r w:rsidR="003900C9">
        <w:t xml:space="preserve">at the existing financial regulations for banking systems were not effective as it was expected </w:t>
      </w:r>
      <w:r w:rsidR="00E7769C">
        <w:t xml:space="preserve">to prevent a financial crisis. It also failed to protect financial institution from the turmoil and bailouts. </w:t>
      </w:r>
      <w:r w:rsidR="001530F4">
        <w:t xml:space="preserve">The ‘Basel committee on Bank Supervision (BCBC)’ was established in 1970 in order to </w:t>
      </w:r>
      <w:r w:rsidR="00A05A17">
        <w:t xml:space="preserve">monitor international banking and provide guidelines for stability in global banking system. </w:t>
      </w:r>
      <w:r w:rsidR="00615977">
        <w:t xml:space="preserve">The Basel committee introduced </w:t>
      </w:r>
      <w:r w:rsidR="007B2E59">
        <w:t xml:space="preserve">regulatory framework </w:t>
      </w:r>
      <w:r w:rsidR="00403D20">
        <w:t xml:space="preserve">in 1988 </w:t>
      </w:r>
      <w:r w:rsidR="00BD4624">
        <w:t>for regulating the capital structure of banks and financial institutions</w:t>
      </w:r>
      <w:r w:rsidR="00403D20">
        <w:t xml:space="preserve"> and maintain synergy in global banking system. It was named as Basel I. </w:t>
      </w:r>
      <w:r w:rsidR="00714D6C">
        <w:t xml:space="preserve">In 2004 the second accord was released which was known as Basel II. </w:t>
      </w:r>
      <w:r w:rsidR="00403D20">
        <w:t xml:space="preserve"> </w:t>
      </w:r>
      <w:r w:rsidR="00925C14">
        <w:t xml:space="preserve">The new framework was established as a response to financial institution’s systemic risk. </w:t>
      </w:r>
      <w:r w:rsidR="009633A0">
        <w:t>A new comprehensive set of amendment was made to strengthen the financial regulation and bank</w:t>
      </w:r>
      <w:r w:rsidR="00490792">
        <w:t xml:space="preserve">’s risk management system. Bank’s capital strength, liquidity and standard leverage were also raised by Basel norms. </w:t>
      </w:r>
    </w:p>
    <w:p w14:paraId="3DA64331" w14:textId="4699BF89" w:rsidR="00EE2333" w:rsidRDefault="00EE2333" w:rsidP="00D640FA">
      <w:pPr>
        <w:jc w:val="both"/>
      </w:pPr>
      <w:r>
        <w:lastRenderedPageBreak/>
        <w:t xml:space="preserve">Basel III brought changes in increasing minimum capital requirement for </w:t>
      </w:r>
      <w:r w:rsidR="000F2005">
        <w:t>financial institutions, in addition to the buffer capital. Basel III also elevated the coverage of financial institutions and banks</w:t>
      </w:r>
      <w:r w:rsidR="00EF3B11">
        <w:t xml:space="preserve">’ credit risk exposure. The new leverage and liquidity </w:t>
      </w:r>
      <w:r w:rsidR="00B4703C">
        <w:t xml:space="preserve">ratios </w:t>
      </w:r>
      <w:r w:rsidR="00EE41EC">
        <w:t xml:space="preserve">ensure that banks are maintaining their adequate funds </w:t>
      </w:r>
      <w:r w:rsidR="00E2212C">
        <w:t xml:space="preserve">during a stress period. </w:t>
      </w:r>
      <w:r w:rsidR="00F46B7B">
        <w:t xml:space="preserve">Basel III also provide direction in terms of </w:t>
      </w:r>
      <w:r w:rsidR="00750562">
        <w:t xml:space="preserve">creating </w:t>
      </w:r>
      <w:r w:rsidR="00F46B7B">
        <w:t>balance sheet</w:t>
      </w:r>
      <w:r w:rsidR="00750562">
        <w:t xml:space="preserve"> with restricted measures. </w:t>
      </w:r>
      <w:r w:rsidR="003A1CB3">
        <w:t xml:space="preserve">The norm puts limitation to size and number of activities a financial institution can create. </w:t>
      </w:r>
    </w:p>
    <w:p w14:paraId="7C7365D1" w14:textId="1CD87159" w:rsidR="006E7336" w:rsidRDefault="006E7336" w:rsidP="00D640FA">
      <w:pPr>
        <w:jc w:val="both"/>
      </w:pPr>
      <w:r>
        <w:t xml:space="preserve">Basel II </w:t>
      </w:r>
      <w:r w:rsidR="00463E14">
        <w:t xml:space="preserve">introduced three different types of Tier capital. In Basel </w:t>
      </w:r>
      <w:r w:rsidR="00560539">
        <w:t xml:space="preserve">III reduced </w:t>
      </w:r>
      <w:r w:rsidR="00102264">
        <w:t xml:space="preserve">it to two, Tier one and Tier two. After financial crisis, all UK commercial banks </w:t>
      </w:r>
      <w:r w:rsidR="003E0E34">
        <w:t>must</w:t>
      </w:r>
      <w:r w:rsidR="00102264">
        <w:t xml:space="preserve"> maintain T</w:t>
      </w:r>
      <w:r w:rsidR="003E0E34">
        <w:t>ier one capital. Th</w:t>
      </w:r>
      <w:r w:rsidR="00457FAC">
        <w:t>us</w:t>
      </w:r>
      <w:r w:rsidR="001C24B9">
        <w:t>,</w:t>
      </w:r>
      <w:r w:rsidR="00457FAC">
        <w:t xml:space="preserve"> the Tier one and Tier two segregation of capital requirement </w:t>
      </w:r>
      <w:r w:rsidR="003E0E34">
        <w:t xml:space="preserve">defines the financial strength of </w:t>
      </w:r>
      <w:r w:rsidR="00457FAC">
        <w:t>different banks. In</w:t>
      </w:r>
      <w:r w:rsidR="00DE3674">
        <w:t xml:space="preserve"> Basel </w:t>
      </w:r>
      <w:r w:rsidR="005515A7">
        <w:t xml:space="preserve">III </w:t>
      </w:r>
      <w:r w:rsidR="00DE3674">
        <w:t xml:space="preserve">another important </w:t>
      </w:r>
      <w:r w:rsidR="005515A7">
        <w:t>theory</w:t>
      </w:r>
      <w:r w:rsidR="00DE3674">
        <w:t xml:space="preserve"> is ‘Counter Cyclical Capital Buffer</w:t>
      </w:r>
      <w:r w:rsidR="005515A7">
        <w:t xml:space="preserve">. This was required to </w:t>
      </w:r>
      <w:r w:rsidR="00387AB8">
        <w:t xml:space="preserve">amend pro-cyclicity of previous Basel II norms. This is specifically during the economic growth. </w:t>
      </w:r>
    </w:p>
    <w:p w14:paraId="48A078C0" w14:textId="3143BC9B" w:rsidR="00261E8C" w:rsidRDefault="00261E8C" w:rsidP="00D640FA">
      <w:pPr>
        <w:pStyle w:val="Heading1"/>
        <w:jc w:val="both"/>
      </w:pPr>
      <w:bookmarkStart w:id="12" w:name="_Toc70633935"/>
      <w:r>
        <w:t>Critical Review</w:t>
      </w:r>
      <w:bookmarkEnd w:id="12"/>
      <w:r w:rsidR="00EF33D5">
        <w:t xml:space="preserve"> </w:t>
      </w:r>
    </w:p>
    <w:p w14:paraId="4CB1C35E" w14:textId="4056ED2F" w:rsidR="008D766B" w:rsidRDefault="00BF75AC" w:rsidP="00D640FA">
      <w:pPr>
        <w:jc w:val="both"/>
      </w:pPr>
      <w:r>
        <w:t xml:space="preserve">Policy makers, economists have critically reviewed the laws and </w:t>
      </w:r>
      <w:r w:rsidR="00120A1B">
        <w:t xml:space="preserve">reforms </w:t>
      </w:r>
      <w:r w:rsidR="00714A6F">
        <w:t xml:space="preserve">implemented after financial crisis in 2008. </w:t>
      </w:r>
      <w:r w:rsidR="00F81259">
        <w:t xml:space="preserve">This section describes the critical evaluation of these reforms and </w:t>
      </w:r>
      <w:r w:rsidR="00016576">
        <w:t xml:space="preserve">whether these reforms have helped the economy to avoid another recession. </w:t>
      </w:r>
    </w:p>
    <w:p w14:paraId="2DC2E9E8" w14:textId="30D3E981" w:rsidR="00261E8C" w:rsidRDefault="004B1DC3" w:rsidP="00D640FA">
      <w:pPr>
        <w:jc w:val="both"/>
      </w:pPr>
      <w:r>
        <w:t xml:space="preserve">Protagonists of Dodd Frank acts believed that this regulation </w:t>
      </w:r>
      <w:r w:rsidR="00472868">
        <w:t xml:space="preserve">would prevent global economy to witness another event such as 2008 financial crisis. It would </w:t>
      </w:r>
      <w:r w:rsidR="003B046A">
        <w:t xml:space="preserve">prevent </w:t>
      </w:r>
      <w:r w:rsidR="00472868">
        <w:t xml:space="preserve">financial authorities, credit rating agencies and organization to abuse the </w:t>
      </w:r>
      <w:r w:rsidR="00547FC0">
        <w:t>laws</w:t>
      </w:r>
      <w:r w:rsidR="00550522">
        <w:t xml:space="preserve">. However, the detractor of Dodd Frank act highlighted that this law would reduce the competitiveness </w:t>
      </w:r>
      <w:r w:rsidR="00BF743D">
        <w:t xml:space="preserve">of </w:t>
      </w:r>
      <w:r w:rsidR="00550522">
        <w:t>US financial institutions</w:t>
      </w:r>
      <w:r w:rsidR="00BF743D">
        <w:t xml:space="preserve"> with respect to its foreign </w:t>
      </w:r>
      <w:r w:rsidR="0007049A">
        <w:t xml:space="preserve">peers. According to this school of thoughts the complex regulatory environment would </w:t>
      </w:r>
      <w:r w:rsidR="00DC5000">
        <w:t>put additional burden on small financial institutions, community banks</w:t>
      </w:r>
      <w:r w:rsidR="00FD2CDE">
        <w:t xml:space="preserve">. However, these small financial institutions did not have any significant role in causing financial crisis. </w:t>
      </w:r>
    </w:p>
    <w:p w14:paraId="6DEE8F11" w14:textId="1CBD12FA" w:rsidR="00397765" w:rsidRDefault="00397765" w:rsidP="00D640FA">
      <w:pPr>
        <w:jc w:val="both"/>
      </w:pPr>
      <w:r>
        <w:t xml:space="preserve">Financial institutions became </w:t>
      </w:r>
      <w:r w:rsidR="008576A9">
        <w:t xml:space="preserve">more secure after the laws were implemented. </w:t>
      </w:r>
      <w:r w:rsidR="00542FA5">
        <w:t xml:space="preserve">However, the shortage of liquidity in the market was evident. </w:t>
      </w:r>
      <w:r w:rsidR="00E214C3">
        <w:t>This happened as the law enforced greater degree of capital requirements from</w:t>
      </w:r>
      <w:r w:rsidR="00D01223">
        <w:t xml:space="preserve"> the financial institution. </w:t>
      </w:r>
    </w:p>
    <w:p w14:paraId="33162881" w14:textId="09ADAC74" w:rsidR="00AE2AD4" w:rsidRDefault="005C58E0" w:rsidP="00D640FA">
      <w:pPr>
        <w:jc w:val="both"/>
      </w:pPr>
      <w:r>
        <w:t>The scenario was more prominent in Bond market.</w:t>
      </w:r>
      <w:r w:rsidR="00C37CF8">
        <w:t xml:space="preserve"> In Bond market all securities are not ‘mark to market’ and </w:t>
      </w:r>
      <w:r w:rsidR="0062703A">
        <w:t>several</w:t>
      </w:r>
      <w:r w:rsidR="00C37CF8">
        <w:t xml:space="preserve"> bonds may lack a consistent supply of sellers and buyers. </w:t>
      </w:r>
      <w:r w:rsidR="0014081B">
        <w:t xml:space="preserve">Under Dodd Frank act banks are supposed to keep </w:t>
      </w:r>
      <w:r w:rsidR="0062703A">
        <w:t xml:space="preserve">a higher </w:t>
      </w:r>
      <w:r w:rsidR="00F835AB">
        <w:t>proportion</w:t>
      </w:r>
      <w:r w:rsidR="005F53D7">
        <w:t xml:space="preserve"> of </w:t>
      </w:r>
      <w:r w:rsidR="00F835AB">
        <w:t>their financial assets in cash. Therefore, the amount of money which bank</w:t>
      </w:r>
      <w:r w:rsidR="00142766">
        <w:t xml:space="preserve">s </w:t>
      </w:r>
      <w:r w:rsidR="00E96263">
        <w:t>can</w:t>
      </w:r>
      <w:r w:rsidR="00142766">
        <w:t xml:space="preserve"> invest in marketable securities has come down. </w:t>
      </w:r>
      <w:r w:rsidR="00C546AA">
        <w:t xml:space="preserve">Traditionally banks </w:t>
      </w:r>
      <w:r w:rsidR="000A3806">
        <w:t xml:space="preserve">were key contributor in the </w:t>
      </w:r>
      <w:r w:rsidR="00C546AA">
        <w:t xml:space="preserve">bond market </w:t>
      </w:r>
      <w:r w:rsidR="004E3BBA">
        <w:t xml:space="preserve">and played the role of market maker. After implementation of Dodd-Frank act banks were unable to contribute as market maker. </w:t>
      </w:r>
      <w:r w:rsidR="000D6C5B">
        <w:t>Therefore</w:t>
      </w:r>
      <w:r w:rsidR="000C55AA">
        <w:t>,</w:t>
      </w:r>
      <w:r w:rsidR="000D6C5B">
        <w:t xml:space="preserve"> prospective sellers would find hard time to find </w:t>
      </w:r>
      <w:r w:rsidR="00652633">
        <w:t xml:space="preserve">counteracting buyers and prospective buyers would find it difficult to </w:t>
      </w:r>
      <w:r w:rsidR="00737778">
        <w:t>search counteracting sellers.</w:t>
      </w:r>
    </w:p>
    <w:p w14:paraId="09CA0EF6" w14:textId="1875D8EA" w:rsidR="000C03D0" w:rsidRDefault="004B4E90" w:rsidP="00D640FA">
      <w:pPr>
        <w:jc w:val="both"/>
      </w:pPr>
      <w:r>
        <w:t xml:space="preserve">Donald Trump elected as President of United States in 2016. He decided to repeal the Dodd-Frank act. </w:t>
      </w:r>
      <w:r w:rsidR="004B1070">
        <w:t xml:space="preserve">In May </w:t>
      </w:r>
      <w:r w:rsidR="00102F2F">
        <w:t>2018,</w:t>
      </w:r>
      <w:r w:rsidR="004B1070">
        <w:t xml:space="preserve"> Dona</w:t>
      </w:r>
      <w:r w:rsidR="003F0EBE">
        <w:t>l</w:t>
      </w:r>
      <w:r w:rsidR="004B1070">
        <w:t>d Trump</w:t>
      </w:r>
      <w:r w:rsidR="003F0EBE">
        <w:t xml:space="preserve"> administration </w:t>
      </w:r>
      <w:r w:rsidR="00316877">
        <w:t>rolled back significant part of the law.</w:t>
      </w:r>
      <w:r w:rsidR="00905F53">
        <w:t xml:space="preserve"> </w:t>
      </w:r>
      <w:r w:rsidR="00FA6C4C">
        <w:t xml:space="preserve">U.S congressed </w:t>
      </w:r>
      <w:r w:rsidR="00A27F61">
        <w:t>reviewed and passed Consumer Protection Act, Regulatory relief and Economic Growth act after rolling back adequate percentage of Dodd Frank Act.</w:t>
      </w:r>
      <w:r w:rsidR="00722F1C">
        <w:t xml:space="preserve"> </w:t>
      </w:r>
      <w:r w:rsidR="006B2060">
        <w:t xml:space="preserve">Below here some of the significant reforms. </w:t>
      </w:r>
    </w:p>
    <w:p w14:paraId="1F6598B2" w14:textId="73B2482E" w:rsidR="0049438E" w:rsidRDefault="00C031ED" w:rsidP="00D640FA">
      <w:pPr>
        <w:pStyle w:val="ListParagraph"/>
        <w:numPr>
          <w:ilvl w:val="0"/>
          <w:numId w:val="2"/>
        </w:numPr>
        <w:jc w:val="both"/>
      </w:pPr>
      <w:r>
        <w:t xml:space="preserve">The new </w:t>
      </w:r>
      <w:r w:rsidR="00BA3824">
        <w:t>reform</w:t>
      </w:r>
      <w:r>
        <w:t xml:space="preserve"> </w:t>
      </w:r>
      <w:r w:rsidR="00E54229">
        <w:t>relaxes</w:t>
      </w:r>
      <w:r>
        <w:t xml:space="preserve"> the Dodd-Frank </w:t>
      </w:r>
      <w:r w:rsidR="00E54229">
        <w:t xml:space="preserve">act </w:t>
      </w:r>
      <w:r>
        <w:t xml:space="preserve">for regional banks </w:t>
      </w:r>
      <w:r w:rsidR="00E54229">
        <w:t xml:space="preserve">and </w:t>
      </w:r>
      <w:r w:rsidR="00EC2A11">
        <w:t xml:space="preserve">small financial institutions </w:t>
      </w:r>
      <w:r>
        <w:t xml:space="preserve">by increasing the </w:t>
      </w:r>
      <w:r w:rsidR="006E1E10">
        <w:t xml:space="preserve">financial </w:t>
      </w:r>
      <w:r>
        <w:t xml:space="preserve">asset </w:t>
      </w:r>
      <w:r w:rsidR="00477133">
        <w:t xml:space="preserve">threshold for stress test requirement, </w:t>
      </w:r>
      <w:r w:rsidR="00343761">
        <w:t xml:space="preserve">and risk related compliance. </w:t>
      </w:r>
    </w:p>
    <w:p w14:paraId="653F9956" w14:textId="7C3F75C8" w:rsidR="0049438E" w:rsidRDefault="00562032" w:rsidP="00D640FA">
      <w:pPr>
        <w:pStyle w:val="ListParagraph"/>
        <w:numPr>
          <w:ilvl w:val="0"/>
          <w:numId w:val="2"/>
        </w:numPr>
        <w:jc w:val="both"/>
      </w:pPr>
      <w:r>
        <w:lastRenderedPageBreak/>
        <w:t xml:space="preserve">There are some financial institutions </w:t>
      </w:r>
      <w:r w:rsidR="00C75C1A">
        <w:t xml:space="preserve">who acts as </w:t>
      </w:r>
      <w:r w:rsidR="00542D59">
        <w:t>a</w:t>
      </w:r>
      <w:r w:rsidR="00C75C1A">
        <w:t xml:space="preserve"> custodian of customer’s assets, but they are not involve</w:t>
      </w:r>
      <w:r w:rsidR="00542D59">
        <w:t>d</w:t>
      </w:r>
      <w:r w:rsidR="00C75C1A">
        <w:t xml:space="preserve"> </w:t>
      </w:r>
      <w:r w:rsidR="00542D59">
        <w:t>in lending</w:t>
      </w:r>
      <w:r w:rsidR="00C75C1A">
        <w:t xml:space="preserve"> </w:t>
      </w:r>
      <w:r w:rsidR="00542D59">
        <w:t xml:space="preserve">or act as a traditional bank. For those kinds of institutions, the new law has lowered the capital requirements </w:t>
      </w:r>
      <w:r w:rsidR="00B474A5">
        <w:t>and</w:t>
      </w:r>
      <w:r w:rsidR="00542D59">
        <w:t xml:space="preserve"> decreased required leverage ratios. </w:t>
      </w:r>
    </w:p>
    <w:p w14:paraId="59CB00AA" w14:textId="6EF70FB9" w:rsidR="00542D59" w:rsidRDefault="00B474A5" w:rsidP="00D640FA">
      <w:pPr>
        <w:pStyle w:val="ListParagraph"/>
        <w:numPr>
          <w:ilvl w:val="0"/>
          <w:numId w:val="2"/>
        </w:numPr>
        <w:jc w:val="both"/>
      </w:pPr>
      <w:r>
        <w:t xml:space="preserve">The new act relieves escrow obligation for residential mortgage lending held by a credit union or a depository trust under specific conditions. It also provides direction to ‘Federal Housing Finance Agency’ to establish a </w:t>
      </w:r>
      <w:r w:rsidR="00070705">
        <w:t>defined standard</w:t>
      </w:r>
      <w:r>
        <w:t xml:space="preserve"> for Fannie Mae and Freddie Mac to evaluate substitute credit rating methods.</w:t>
      </w:r>
    </w:p>
    <w:p w14:paraId="1C7879E0" w14:textId="30B63BEC" w:rsidR="00070705" w:rsidRDefault="00BC0B15" w:rsidP="00D640FA">
      <w:pPr>
        <w:pStyle w:val="ListParagraph"/>
        <w:numPr>
          <w:ilvl w:val="0"/>
          <w:numId w:val="2"/>
        </w:numPr>
        <w:jc w:val="both"/>
      </w:pPr>
      <w:r>
        <w:t>According to Volcker Rile the lender had to maintain$10 billion asset requirement. The new law has exempted the lender from this requirement. Also</w:t>
      </w:r>
      <w:r w:rsidR="006B2060">
        <w:t>,</w:t>
      </w:r>
      <w:r w:rsidR="00E30579">
        <w:t xml:space="preserve"> capital requirements and</w:t>
      </w:r>
      <w:r>
        <w:t xml:space="preserve"> stringent reporting </w:t>
      </w:r>
      <w:r w:rsidR="00E30579">
        <w:t xml:space="preserve">are now relaxed for small lenders. </w:t>
      </w:r>
    </w:p>
    <w:p w14:paraId="24971F59" w14:textId="4451B623" w:rsidR="00417531" w:rsidRDefault="006A0C64" w:rsidP="00D640FA">
      <w:pPr>
        <w:jc w:val="both"/>
      </w:pPr>
      <w:r>
        <w:t xml:space="preserve">Several analysts and researchers have studied the Basel norms.  </w:t>
      </w:r>
      <w:r w:rsidR="00163594">
        <w:t>According to Persaud, ‘Counter-Cyclicality’ should be the cornerstone of new regulatory environment and it should not be considered as an additional element</w:t>
      </w:r>
      <w:sdt>
        <w:sdtPr>
          <w:id w:val="-1068877978"/>
          <w:citation/>
        </w:sdtPr>
        <w:sdtEndPr/>
        <w:sdtContent>
          <w:r w:rsidR="00163594">
            <w:fldChar w:fldCharType="begin"/>
          </w:r>
          <w:r w:rsidR="00163594">
            <w:instrText xml:space="preserve"> CITATION Per10 \l 1033 </w:instrText>
          </w:r>
          <w:r w:rsidR="00163594">
            <w:fldChar w:fldCharType="separate"/>
          </w:r>
          <w:r w:rsidR="00163594">
            <w:rPr>
              <w:noProof/>
            </w:rPr>
            <w:t xml:space="preserve"> </w:t>
          </w:r>
          <w:r w:rsidR="00163594" w:rsidRPr="001C24B9">
            <w:rPr>
              <w:noProof/>
            </w:rPr>
            <w:t>(Persaud, 2010)</w:t>
          </w:r>
          <w:r w:rsidR="00163594">
            <w:fldChar w:fldCharType="end"/>
          </w:r>
        </w:sdtContent>
      </w:sdt>
      <w:r w:rsidR="00163594">
        <w:t>. The initial Basel III agreement constituted stringent regulatory values</w:t>
      </w:r>
      <w:sdt>
        <w:sdtPr>
          <w:id w:val="-1388413036"/>
          <w:citation/>
        </w:sdtPr>
        <w:sdtEndPr/>
        <w:sdtContent>
          <w:r w:rsidR="00163594">
            <w:fldChar w:fldCharType="begin"/>
          </w:r>
          <w:r w:rsidR="00163594">
            <w:instrText xml:space="preserve"> CITATION DHo13 \l 1033 </w:instrText>
          </w:r>
          <w:r w:rsidR="00163594">
            <w:fldChar w:fldCharType="separate"/>
          </w:r>
          <w:r w:rsidR="00163594">
            <w:rPr>
              <w:noProof/>
            </w:rPr>
            <w:t xml:space="preserve"> </w:t>
          </w:r>
          <w:r w:rsidR="00163594" w:rsidRPr="009311D3">
            <w:rPr>
              <w:noProof/>
            </w:rPr>
            <w:t>(Howarth &amp; Quaglia, 2013)</w:t>
          </w:r>
          <w:r w:rsidR="00163594">
            <w:fldChar w:fldCharType="end"/>
          </w:r>
        </w:sdtContent>
      </w:sdt>
      <w:r w:rsidR="00163594">
        <w:t>.Despite of the fact that, 2008 financial crisis generated a requirement of stringent regulatory norms, governance and continuous monitoring on financial institutions, the implementation of Basel III happened in 2019 only, which was far delayed than the planned. It is evident that Basel III can bridge the gap between Basel I and Basel II, and it has also addressed the key issues of previous financial crisis.</w:t>
      </w:r>
    </w:p>
    <w:p w14:paraId="733A1B90" w14:textId="58E81000" w:rsidR="00771ADA" w:rsidRDefault="005C0089" w:rsidP="00D640FA">
      <w:pPr>
        <w:jc w:val="both"/>
      </w:pPr>
      <w:r>
        <w:t xml:space="preserve">The financial crisis in 2008 showed the world why a stringent regulatory framework is required in global financial system. </w:t>
      </w:r>
      <w:r w:rsidR="00E105DA">
        <w:t>As the large banks are interconnected with each other globally, it was evident that a macro prudential-supervision regulatory framework is necessary in order to monitor and govern the financial system. The macro prudential-</w:t>
      </w:r>
      <w:r w:rsidR="00955C83">
        <w:t xml:space="preserve">supervision </w:t>
      </w:r>
      <w:r w:rsidR="00E176F1">
        <w:t>was</w:t>
      </w:r>
      <w:r w:rsidR="00955C83">
        <w:t xml:space="preserve"> necessary to monitor </w:t>
      </w:r>
      <w:r w:rsidR="00262BD1">
        <w:t>each</w:t>
      </w:r>
      <w:r w:rsidR="00955C83">
        <w:t xml:space="preserve"> </w:t>
      </w:r>
      <w:r w:rsidR="007332E4">
        <w:t>bank</w:t>
      </w:r>
      <w:r w:rsidR="00955C83">
        <w:t xml:space="preserve"> and check the stress</w:t>
      </w:r>
      <w:r w:rsidR="00E176F1">
        <w:t xml:space="preserve"> factor and bring back the trust of consumers on banking system. </w:t>
      </w:r>
      <w:r w:rsidR="00262BD1">
        <w:t xml:space="preserve">The regulation also </w:t>
      </w:r>
      <w:r w:rsidR="006340E2">
        <w:t>encouraged</w:t>
      </w:r>
      <w:r w:rsidR="00262BD1">
        <w:t xml:space="preserve"> to </w:t>
      </w:r>
      <w:r w:rsidR="006340E2">
        <w:t xml:space="preserve">build a strong </w:t>
      </w:r>
      <w:r w:rsidR="00262BD1">
        <w:t>corporate governance</w:t>
      </w:r>
      <w:r w:rsidR="006340E2">
        <w:t xml:space="preserve"> system</w:t>
      </w:r>
      <w:r w:rsidR="00262BD1">
        <w:t xml:space="preserve"> </w:t>
      </w:r>
      <w:r w:rsidR="00BA431D">
        <w:t xml:space="preserve">of financial institutions. </w:t>
      </w:r>
      <w:r w:rsidR="002F25BE">
        <w:t>The company boards must</w:t>
      </w:r>
      <w:r w:rsidR="00EA4259">
        <w:t xml:space="preserve"> reveal</w:t>
      </w:r>
      <w:r w:rsidR="002F25BE">
        <w:t xml:space="preserve"> the risks and hazards </w:t>
      </w:r>
      <w:r w:rsidR="00EA4259">
        <w:t xml:space="preserve">in terms of running the business. </w:t>
      </w:r>
      <w:r w:rsidR="003B6823">
        <w:t>Therefore, a productive reporting system was required in terms of monitoring and governance.</w:t>
      </w:r>
      <w:r w:rsidR="00633A15">
        <w:t xml:space="preserve">UK has one such institution which maintains reporting </w:t>
      </w:r>
      <w:r w:rsidR="00F81808">
        <w:t>governance FRC</w:t>
      </w:r>
      <w:r w:rsidR="00633A15">
        <w:t xml:space="preserve"> (Financial Reporting Council)</w:t>
      </w:r>
      <w:r w:rsidR="00D640FA">
        <w:t xml:space="preserve">. </w:t>
      </w:r>
      <w:r w:rsidR="00F81808">
        <w:t>‘The UK Corporate Governance Code</w:t>
      </w:r>
      <w:r w:rsidR="0094381A">
        <w:t xml:space="preserve">’ provides direction and build standards of best practices for Company boards </w:t>
      </w:r>
      <w:r w:rsidR="00080629">
        <w:t>with regards to their relationship with the company shareholders.</w:t>
      </w:r>
      <w:r w:rsidR="006D3520">
        <w:t xml:space="preserve"> According to Merino et al, the public confidence on corporate governance system has dec</w:t>
      </w:r>
      <w:r w:rsidR="00A7372B">
        <w:t>lined significantly. The organizations, regulatory bodies must restore this confi</w:t>
      </w:r>
      <w:r w:rsidR="00155D18">
        <w:t xml:space="preserve">dence by addressing the challenges related with corporate governance relations and </w:t>
      </w:r>
      <w:r w:rsidR="003438EA">
        <w:t>company management</w:t>
      </w:r>
      <w:sdt>
        <w:sdtPr>
          <w:id w:val="-732075248"/>
          <w:citation/>
        </w:sdtPr>
        <w:sdtEndPr/>
        <w:sdtContent>
          <w:r w:rsidR="003438EA">
            <w:fldChar w:fldCharType="begin"/>
          </w:r>
          <w:r w:rsidR="003438EA">
            <w:instrText xml:space="preserve"> CITATION Mer10 \l 1033 </w:instrText>
          </w:r>
          <w:r w:rsidR="003438EA">
            <w:fldChar w:fldCharType="separate"/>
          </w:r>
          <w:r w:rsidR="003438EA">
            <w:rPr>
              <w:noProof/>
            </w:rPr>
            <w:t xml:space="preserve"> </w:t>
          </w:r>
          <w:r w:rsidR="003438EA" w:rsidRPr="003438EA">
            <w:rPr>
              <w:noProof/>
            </w:rPr>
            <w:t>(Merino, et al., 2010)</w:t>
          </w:r>
          <w:r w:rsidR="003438EA">
            <w:fldChar w:fldCharType="end"/>
          </w:r>
        </w:sdtContent>
      </w:sdt>
      <w:r w:rsidR="003438EA">
        <w:t xml:space="preserve">. </w:t>
      </w:r>
      <w:r w:rsidR="00102F2F">
        <w:t xml:space="preserve">The researchers suggested that </w:t>
      </w:r>
      <w:r w:rsidR="00FE0761">
        <w:t>corporate governance plays a crucial role in understanding a</w:t>
      </w:r>
      <w:r w:rsidR="00556B45">
        <w:t xml:space="preserve"> financial firm’s business practice</w:t>
      </w:r>
      <w:r w:rsidR="0032667A">
        <w:t xml:space="preserve"> and response during a financial crisis. </w:t>
      </w:r>
    </w:p>
    <w:p w14:paraId="0BF805DF" w14:textId="5BB1201E" w:rsidR="001136E1" w:rsidRDefault="00F16C36" w:rsidP="00D640FA">
      <w:pPr>
        <w:jc w:val="both"/>
      </w:pPr>
      <w:r>
        <w:t xml:space="preserve">Banks have a high contagion financial risk, as they are globally </w:t>
      </w:r>
      <w:r w:rsidR="004155E1">
        <w:t>interconnected with each other in terms of transaction, policies</w:t>
      </w:r>
      <w:r w:rsidR="00EC1E24">
        <w:t xml:space="preserve"> and overall business. </w:t>
      </w:r>
      <w:r w:rsidR="000259BB">
        <w:t xml:space="preserve">However, the global banks </w:t>
      </w:r>
      <w:r w:rsidR="00FF6E95">
        <w:t>showed negligence and recklessness</w:t>
      </w:r>
      <w:r w:rsidR="00B222CF">
        <w:t xml:space="preserve"> and unethical practices</w:t>
      </w:r>
      <w:r w:rsidR="00FF6E95">
        <w:t xml:space="preserve"> during the early 2000s.  </w:t>
      </w:r>
      <w:r w:rsidR="00B222CF">
        <w:t>For instance</w:t>
      </w:r>
      <w:r w:rsidR="00EA08C1">
        <w:t>,</w:t>
      </w:r>
      <w:r w:rsidR="00B222CF">
        <w:t xml:space="preserve"> </w:t>
      </w:r>
      <w:r w:rsidR="00FF6E95">
        <w:t>LIBOR scandal</w:t>
      </w:r>
      <w:r w:rsidR="00B222CF">
        <w:t xml:space="preserve"> </w:t>
      </w:r>
      <w:r w:rsidR="00EA08C1">
        <w:t xml:space="preserve">for which </w:t>
      </w:r>
      <w:r w:rsidR="00B222CF">
        <w:t xml:space="preserve">the various financial institutions manipulated the </w:t>
      </w:r>
      <w:r w:rsidR="005843D7">
        <w:t xml:space="preserve">Libor rate unethically. </w:t>
      </w:r>
      <w:r w:rsidR="00EA08C1">
        <w:t>The banks were alread</w:t>
      </w:r>
      <w:r w:rsidR="007538CA">
        <w:t xml:space="preserve">y facing financial loss and therefore they did not show any intent to keep the LIBOR rate down. </w:t>
      </w:r>
      <w:sdt>
        <w:sdtPr>
          <w:id w:val="-1995638057"/>
          <w:citation/>
        </w:sdtPr>
        <w:sdtEndPr/>
        <w:sdtContent>
          <w:r w:rsidR="004B77AF">
            <w:fldChar w:fldCharType="begin"/>
          </w:r>
          <w:r w:rsidR="004B77AF">
            <w:instrText xml:space="preserve"> CITATION Pat13 \l 1033 </w:instrText>
          </w:r>
          <w:r w:rsidR="004B77AF">
            <w:fldChar w:fldCharType="separate"/>
          </w:r>
          <w:r w:rsidR="004B77AF" w:rsidRPr="004B77AF">
            <w:rPr>
              <w:noProof/>
            </w:rPr>
            <w:t>(McConnell, 2013)</w:t>
          </w:r>
          <w:r w:rsidR="004B77AF">
            <w:fldChar w:fldCharType="end"/>
          </w:r>
        </w:sdtContent>
      </w:sdt>
      <w:r w:rsidR="004B77AF">
        <w:t>.</w:t>
      </w:r>
      <w:r w:rsidR="00B44DAA">
        <w:t xml:space="preserve"> </w:t>
      </w:r>
      <w:r w:rsidR="001F3091">
        <w:t xml:space="preserve">FCA (‘Financial Conduct Authority’) </w:t>
      </w:r>
      <w:r w:rsidR="00AB33D9">
        <w:t>replaced</w:t>
      </w:r>
      <w:r w:rsidR="001F3091">
        <w:t xml:space="preserve"> FSA in 2013. </w:t>
      </w:r>
      <w:r w:rsidR="002E27BB">
        <w:t xml:space="preserve">FCA and PRA (‘Prudential Regulation Authority’) adopted a new policy which was </w:t>
      </w:r>
      <w:r w:rsidR="002D5D3B">
        <w:t>named as</w:t>
      </w:r>
      <w:r w:rsidR="002E27BB">
        <w:t xml:space="preserve"> </w:t>
      </w:r>
      <w:r w:rsidR="002D5D3B">
        <w:t>‘</w:t>
      </w:r>
      <w:r w:rsidR="002E27BB">
        <w:t>creditable deterrence</w:t>
      </w:r>
      <w:r w:rsidR="002D5D3B">
        <w:t xml:space="preserve"> policy’. In this policy </w:t>
      </w:r>
      <w:r w:rsidR="008E02D6">
        <w:t xml:space="preserve">more harsher norms were </w:t>
      </w:r>
      <w:r w:rsidR="00FB3416">
        <w:t>imposed on the banks. In addition to that heavy penalties were imposed on wrongdoers and unethical practices</w:t>
      </w:r>
      <w:sdt>
        <w:sdtPr>
          <w:id w:val="370726573"/>
          <w:citation/>
        </w:sdtPr>
        <w:sdtEndPr/>
        <w:sdtContent>
          <w:r w:rsidR="003D6051">
            <w:fldChar w:fldCharType="begin"/>
          </w:r>
          <w:r w:rsidR="004916FB">
            <w:instrText xml:space="preserve">CITATION Gar13 \l 1033 </w:instrText>
          </w:r>
          <w:r w:rsidR="003D6051">
            <w:fldChar w:fldCharType="separate"/>
          </w:r>
          <w:r w:rsidR="004916FB">
            <w:rPr>
              <w:noProof/>
            </w:rPr>
            <w:t xml:space="preserve"> </w:t>
          </w:r>
          <w:r w:rsidR="004916FB" w:rsidRPr="004916FB">
            <w:rPr>
              <w:noProof/>
            </w:rPr>
            <w:t>(Wilson &amp; Wilson, 2013)</w:t>
          </w:r>
          <w:r w:rsidR="003D6051">
            <w:fldChar w:fldCharType="end"/>
          </w:r>
        </w:sdtContent>
      </w:sdt>
      <w:r w:rsidR="00FB3416">
        <w:t xml:space="preserve">. </w:t>
      </w:r>
      <w:r w:rsidR="009E0D36">
        <w:t xml:space="preserve">According to Lui, FCA </w:t>
      </w:r>
      <w:r w:rsidR="007575CD">
        <w:t xml:space="preserve">and PRA acted very stringently by enforcing sanctions on financial institutions </w:t>
      </w:r>
      <w:r w:rsidR="00AB33D9">
        <w:t xml:space="preserve">post 2008 crisis and this could be a good step </w:t>
      </w:r>
      <w:r w:rsidR="00AB33D9">
        <w:lastRenderedPageBreak/>
        <w:t>in order to maintain a stable corporate governance</w:t>
      </w:r>
      <w:sdt>
        <w:sdtPr>
          <w:id w:val="-977609542"/>
          <w:citation/>
        </w:sdtPr>
        <w:sdtEndPr/>
        <w:sdtContent>
          <w:r w:rsidR="00AB33D9">
            <w:fldChar w:fldCharType="begin"/>
          </w:r>
          <w:r w:rsidR="00AB33D9">
            <w:instrText xml:space="preserve"> CITATION Ali15 \l 1033 </w:instrText>
          </w:r>
          <w:r w:rsidR="00AB33D9">
            <w:fldChar w:fldCharType="separate"/>
          </w:r>
          <w:r w:rsidR="00AB33D9">
            <w:rPr>
              <w:noProof/>
            </w:rPr>
            <w:t xml:space="preserve"> </w:t>
          </w:r>
          <w:r w:rsidR="00AB33D9" w:rsidRPr="00AB33D9">
            <w:rPr>
              <w:noProof/>
            </w:rPr>
            <w:t>(Lui, 2015)</w:t>
          </w:r>
          <w:r w:rsidR="00AB33D9">
            <w:fldChar w:fldCharType="end"/>
          </w:r>
        </w:sdtContent>
      </w:sdt>
      <w:r w:rsidR="00AB33D9">
        <w:t xml:space="preserve">. </w:t>
      </w:r>
      <w:r w:rsidR="00292E36">
        <w:t xml:space="preserve">FCA introduced SMR (‘Senior Managers Regime’) </w:t>
      </w:r>
      <w:r w:rsidR="00EA2FC0">
        <w:t>which made the approval process to hold the position of a director of a bank even stricter than before the financial crisis</w:t>
      </w:r>
      <w:sdt>
        <w:sdtPr>
          <w:id w:val="407277385"/>
          <w:citation/>
        </w:sdtPr>
        <w:sdtEndPr/>
        <w:sdtContent>
          <w:r w:rsidR="00EA2FC0">
            <w:fldChar w:fldCharType="begin"/>
          </w:r>
          <w:r w:rsidR="00EA2FC0">
            <w:instrText xml:space="preserve"> CITATION Jam00 \l 1033 </w:instrText>
          </w:r>
          <w:r w:rsidR="00EA2FC0">
            <w:fldChar w:fldCharType="separate"/>
          </w:r>
          <w:r w:rsidR="00EA2FC0">
            <w:rPr>
              <w:noProof/>
            </w:rPr>
            <w:t xml:space="preserve"> </w:t>
          </w:r>
          <w:r w:rsidR="00EA2FC0" w:rsidRPr="00EA2FC0">
            <w:rPr>
              <w:noProof/>
            </w:rPr>
            <w:t>(Bagge, 2000)</w:t>
          </w:r>
          <w:r w:rsidR="00EA2FC0">
            <w:fldChar w:fldCharType="end"/>
          </w:r>
        </w:sdtContent>
      </w:sdt>
      <w:r w:rsidR="00EA2FC0">
        <w:t xml:space="preserve">. </w:t>
      </w:r>
      <w:r w:rsidR="00246FA9">
        <w:t xml:space="preserve">In 2013 Banking Reform Act was introduced. Similarly, </w:t>
      </w:r>
      <w:r w:rsidR="006D4672">
        <w:t xml:space="preserve">PRA </w:t>
      </w:r>
      <w:r w:rsidR="00E20903">
        <w:t>introduce</w:t>
      </w:r>
      <w:r w:rsidR="00246FA9">
        <w:t>d</w:t>
      </w:r>
      <w:r w:rsidR="00E20903">
        <w:t xml:space="preserve"> a new accountability regime in 2014 for insurance industry</w:t>
      </w:r>
      <w:r w:rsidR="00246FA9">
        <w:t xml:space="preserve">. </w:t>
      </w:r>
      <w:r w:rsidR="0040792A">
        <w:t xml:space="preserve">According to PRA, the regulatory framework should </w:t>
      </w:r>
      <w:r w:rsidR="0022435B">
        <w:t>strengthen similar</w:t>
      </w:r>
      <w:r w:rsidR="0040792A">
        <w:t xml:space="preserve"> standards </w:t>
      </w:r>
      <w:r w:rsidR="009040C1">
        <w:t xml:space="preserve">of conduct, financial fitness, financial stress management and accountability </w:t>
      </w:r>
      <w:r w:rsidR="00EF3D1C">
        <w:t>among banks and insurance companies</w:t>
      </w:r>
      <w:sdt>
        <w:sdtPr>
          <w:id w:val="367730162"/>
          <w:citation/>
        </w:sdtPr>
        <w:sdtEndPr/>
        <w:sdtContent>
          <w:r w:rsidR="00EF3D1C">
            <w:fldChar w:fldCharType="begin"/>
          </w:r>
          <w:r w:rsidR="00EF3D1C">
            <w:instrText xml:space="preserve"> CITATION Gra13 \l 1033 </w:instrText>
          </w:r>
          <w:r w:rsidR="00EF3D1C">
            <w:fldChar w:fldCharType="separate"/>
          </w:r>
          <w:r w:rsidR="00EF3D1C">
            <w:rPr>
              <w:noProof/>
            </w:rPr>
            <w:t xml:space="preserve"> </w:t>
          </w:r>
          <w:r w:rsidR="00EF3D1C" w:rsidRPr="00EF3D1C">
            <w:rPr>
              <w:noProof/>
            </w:rPr>
            <w:t>(Baber, 2013)</w:t>
          </w:r>
          <w:r w:rsidR="00EF3D1C">
            <w:fldChar w:fldCharType="end"/>
          </w:r>
        </w:sdtContent>
      </w:sdt>
      <w:r w:rsidR="00EF3D1C">
        <w:t xml:space="preserve">. </w:t>
      </w:r>
    </w:p>
    <w:p w14:paraId="42B471BF" w14:textId="0F2B793A" w:rsidR="009352A2" w:rsidRDefault="00BD7E45" w:rsidP="00D640FA">
      <w:pPr>
        <w:jc w:val="both"/>
      </w:pPr>
      <w:r>
        <w:t xml:space="preserve">The shareholders have keen interest on the financial institutions, however they have very limited control over corporate governance. It can be said that directors of banks run the banks for </w:t>
      </w:r>
      <w:r w:rsidR="004A3550">
        <w:t>the shareholders. Therefore</w:t>
      </w:r>
      <w:r w:rsidR="00756D67">
        <w:t>,</w:t>
      </w:r>
      <w:r w:rsidR="004A3550">
        <w:t xml:space="preserve"> a significant</w:t>
      </w:r>
      <w:r w:rsidR="00156116">
        <w:t xml:space="preserve"> </w:t>
      </w:r>
      <w:r w:rsidR="008648D4">
        <w:t xml:space="preserve">asymmetry prevailed in terms of the control on the </w:t>
      </w:r>
      <w:r w:rsidR="008F76AE">
        <w:t xml:space="preserve">information. Lord Myners </w:t>
      </w:r>
      <w:r w:rsidR="00AB4E19">
        <w:t xml:space="preserve">provided one of the most critical reviews against shareholders. He mentioned that hedge fund became typically an </w:t>
      </w:r>
      <w:r w:rsidR="00D55E2F">
        <w:t>ownerless corporation. Shareholders did not monitor what a hedge fund manager was doing with the fund</w:t>
      </w:r>
      <w:r w:rsidR="004F1540">
        <w:t>, therefore it went beyond control</w:t>
      </w:r>
      <w:sdt>
        <w:sdtPr>
          <w:id w:val="1716616913"/>
          <w:citation/>
        </w:sdtPr>
        <w:sdtEndPr/>
        <w:sdtContent>
          <w:r w:rsidR="004F1540">
            <w:fldChar w:fldCharType="begin"/>
          </w:r>
          <w:r w:rsidR="004F1540">
            <w:instrText xml:space="preserve"> CITATION Myn16 \l 1033 </w:instrText>
          </w:r>
          <w:r w:rsidR="004F1540">
            <w:fldChar w:fldCharType="separate"/>
          </w:r>
          <w:r w:rsidR="004F1540">
            <w:rPr>
              <w:noProof/>
            </w:rPr>
            <w:t xml:space="preserve"> </w:t>
          </w:r>
          <w:r w:rsidR="004F1540" w:rsidRPr="004F1540">
            <w:rPr>
              <w:noProof/>
            </w:rPr>
            <w:t>(Myners, 2016)</w:t>
          </w:r>
          <w:r w:rsidR="004F1540">
            <w:fldChar w:fldCharType="end"/>
          </w:r>
        </w:sdtContent>
      </w:sdt>
      <w:r w:rsidR="004F1540">
        <w:t>.</w:t>
      </w:r>
      <w:r w:rsidR="00EC70B6">
        <w:t xml:space="preserve"> </w:t>
      </w:r>
      <w:r w:rsidR="004F1540">
        <w:t xml:space="preserve"> </w:t>
      </w:r>
      <w:r w:rsidR="00EC70B6">
        <w:t xml:space="preserve">Even there was no one to monitor or govern what director </w:t>
      </w:r>
      <w:r w:rsidR="00A559C8">
        <w:t xml:space="preserve">was doing and therefore it </w:t>
      </w:r>
      <w:r w:rsidR="00E56114">
        <w:t>led</w:t>
      </w:r>
      <w:r w:rsidR="00A559C8">
        <w:t xml:space="preserve"> to enormously high leverage ratios. </w:t>
      </w:r>
    </w:p>
    <w:p w14:paraId="638792D7" w14:textId="195BA6AD" w:rsidR="00E56114" w:rsidRDefault="00E56114" w:rsidP="00D640FA">
      <w:pPr>
        <w:jc w:val="both"/>
      </w:pPr>
      <w:r>
        <w:t xml:space="preserve">One </w:t>
      </w:r>
      <w:r w:rsidR="00123174">
        <w:t xml:space="preserve">of the prime recommendations were suggested by Walker review was </w:t>
      </w:r>
      <w:r w:rsidR="005234F4">
        <w:t xml:space="preserve">promoting institutional investors to engage and become active </w:t>
      </w:r>
      <w:r w:rsidR="00E07642">
        <w:t>with respect to individual investments. This lead to generate a controversial approach w</w:t>
      </w:r>
      <w:r w:rsidR="00780EF0">
        <w:t xml:space="preserve">hich was introduced in </w:t>
      </w:r>
      <w:r w:rsidR="00D335C4">
        <w:t>2009</w:t>
      </w:r>
      <w:r w:rsidR="00780EF0">
        <w:t xml:space="preserve"> to elevate the quality of bank’s stakeholder engagement. This was named as Stewardship Code and later it was adopted by FRC</w:t>
      </w:r>
      <w:sdt>
        <w:sdtPr>
          <w:id w:val="843986219"/>
          <w:citation/>
        </w:sdtPr>
        <w:sdtEndPr/>
        <w:sdtContent>
          <w:r w:rsidR="00780EF0">
            <w:fldChar w:fldCharType="begin"/>
          </w:r>
          <w:r w:rsidR="00D335C4">
            <w:instrText xml:space="preserve">CITATION Dav09 \l 1033 </w:instrText>
          </w:r>
          <w:r w:rsidR="00780EF0">
            <w:fldChar w:fldCharType="separate"/>
          </w:r>
          <w:r w:rsidR="00D335C4">
            <w:rPr>
              <w:noProof/>
            </w:rPr>
            <w:t xml:space="preserve"> </w:t>
          </w:r>
          <w:r w:rsidR="00D335C4" w:rsidRPr="00D335C4">
            <w:rPr>
              <w:noProof/>
            </w:rPr>
            <w:t>(Walker, 2009)</w:t>
          </w:r>
          <w:r w:rsidR="00780EF0">
            <w:fldChar w:fldCharType="end"/>
          </w:r>
        </w:sdtContent>
      </w:sdt>
      <w:r w:rsidR="00780EF0">
        <w:t xml:space="preserve">. </w:t>
      </w:r>
      <w:r w:rsidR="00A92817">
        <w:t xml:space="preserve">Despite of the fact that the code was set </w:t>
      </w:r>
      <w:r w:rsidR="008376D9">
        <w:t xml:space="preserve">for providing best practices to institutional investors to engage with the individual investors it was made transparent that </w:t>
      </w:r>
      <w:r w:rsidR="000F59E8">
        <w:t xml:space="preserve">it does not hold any compulsion to micro manage </w:t>
      </w:r>
      <w:r w:rsidR="00D42453">
        <w:t xml:space="preserve">or influence the selling of a holding </w:t>
      </w:r>
      <w:sdt>
        <w:sdtPr>
          <w:id w:val="-2144792003"/>
          <w:citation/>
        </w:sdtPr>
        <w:sdtEndPr/>
        <w:sdtContent>
          <w:r w:rsidR="00FD44E1">
            <w:fldChar w:fldCharType="begin"/>
          </w:r>
          <w:r w:rsidR="00FD44E1">
            <w:instrText xml:space="preserve"> CITATION Che10 \l 1033 </w:instrText>
          </w:r>
          <w:r w:rsidR="00FD44E1">
            <w:fldChar w:fldCharType="separate"/>
          </w:r>
          <w:r w:rsidR="00FD44E1">
            <w:rPr>
              <w:noProof/>
            </w:rPr>
            <w:t xml:space="preserve"> </w:t>
          </w:r>
          <w:r w:rsidR="00FD44E1" w:rsidRPr="00FD44E1">
            <w:rPr>
              <w:noProof/>
            </w:rPr>
            <w:t>(Cheffins, 2010)</w:t>
          </w:r>
          <w:r w:rsidR="00FD44E1">
            <w:fldChar w:fldCharType="end"/>
          </w:r>
        </w:sdtContent>
      </w:sdt>
      <w:r w:rsidR="00740E0A">
        <w:t xml:space="preserve">. </w:t>
      </w:r>
    </w:p>
    <w:p w14:paraId="6C15EA93" w14:textId="641EE8F1" w:rsidR="002F191D" w:rsidRDefault="0016723D" w:rsidP="00D640FA">
      <w:pPr>
        <w:jc w:val="both"/>
      </w:pPr>
      <w:r>
        <w:t xml:space="preserve">Financial institutions should focus on corporate governance </w:t>
      </w:r>
      <w:r w:rsidR="00AB0F00">
        <w:t>which in turn strengthen economy</w:t>
      </w:r>
      <w:r w:rsidR="008939EA">
        <w:t xml:space="preserve">. </w:t>
      </w:r>
      <w:r w:rsidR="00FF410A">
        <w:t xml:space="preserve">Despite of knowing the fact still it can be found that financial institutions are not voluntarily maintain corporate governance as expected. </w:t>
      </w:r>
      <w:r w:rsidR="00682D1F">
        <w:t xml:space="preserve">The reason could be that financial firms try to maintain it to the extent but still fails to </w:t>
      </w:r>
      <w:r w:rsidR="007719AB">
        <w:t>deliver the desirable impact</w:t>
      </w:r>
      <w:r w:rsidR="009C685E">
        <w:t xml:space="preserve"> and incur more cost. </w:t>
      </w:r>
    </w:p>
    <w:p w14:paraId="10DB4F0E" w14:textId="39B158C1" w:rsidR="001A2646" w:rsidRDefault="00A66197" w:rsidP="00D640FA">
      <w:pPr>
        <w:jc w:val="both"/>
      </w:pPr>
      <w:r>
        <w:t xml:space="preserve">The critical review of these norms helps us to understand the loop holes of the system and how different financial institution utilized it to create a bubble during pre-crisis period. </w:t>
      </w:r>
      <w:r w:rsidR="008516B4">
        <w:t xml:space="preserve">Banking regulation has been there </w:t>
      </w:r>
      <w:r w:rsidR="001816E4">
        <w:t>always,</w:t>
      </w:r>
      <w:r w:rsidR="008516B4">
        <w:t xml:space="preserve"> and it is certain rules to which banks are supposed to adhere to</w:t>
      </w:r>
      <w:sdt>
        <w:sdtPr>
          <w:id w:val="931855845"/>
          <w:citation/>
        </w:sdtPr>
        <w:sdtEndPr/>
        <w:sdtContent>
          <w:r w:rsidR="008F51AE">
            <w:fldChar w:fldCharType="begin"/>
          </w:r>
          <w:r w:rsidR="008F51AE">
            <w:instrText xml:space="preserve"> CITATION And17 \l 1033 </w:instrText>
          </w:r>
          <w:r w:rsidR="008F51AE">
            <w:fldChar w:fldCharType="separate"/>
          </w:r>
          <w:r w:rsidR="008F51AE">
            <w:rPr>
              <w:noProof/>
            </w:rPr>
            <w:t xml:space="preserve"> </w:t>
          </w:r>
          <w:r w:rsidR="008F51AE" w:rsidRPr="008F51AE">
            <w:rPr>
              <w:noProof/>
            </w:rPr>
            <w:t>(Hindmoor &amp; Bell, 2017)</w:t>
          </w:r>
          <w:r w:rsidR="008F51AE">
            <w:fldChar w:fldCharType="end"/>
          </w:r>
        </w:sdtContent>
      </w:sdt>
      <w:r w:rsidR="008516B4">
        <w:t>.</w:t>
      </w:r>
      <w:r w:rsidR="009E5FC5">
        <w:t xml:space="preserve"> Weak supervision of the financial system coupled with </w:t>
      </w:r>
      <w:r w:rsidR="009012D0">
        <w:t xml:space="preserve">regulator’s relaxed attitude gave the banks enough opportunities to </w:t>
      </w:r>
      <w:r w:rsidR="001816E4">
        <w:t>cause the financial crisis</w:t>
      </w:r>
      <w:sdt>
        <w:sdtPr>
          <w:id w:val="-1308926085"/>
          <w:citation/>
        </w:sdtPr>
        <w:sdtEndPr/>
        <w:sdtContent>
          <w:r w:rsidR="001816E4">
            <w:fldChar w:fldCharType="begin"/>
          </w:r>
          <w:r w:rsidR="001816E4">
            <w:instrText xml:space="preserve"> CITATION Pet09 \l 1033 </w:instrText>
          </w:r>
          <w:r w:rsidR="001816E4">
            <w:fldChar w:fldCharType="separate"/>
          </w:r>
          <w:r w:rsidR="001816E4">
            <w:rPr>
              <w:noProof/>
            </w:rPr>
            <w:t xml:space="preserve"> </w:t>
          </w:r>
          <w:r w:rsidR="001816E4" w:rsidRPr="001816E4">
            <w:rPr>
              <w:noProof/>
            </w:rPr>
            <w:t>(Yeoh, 2009)</w:t>
          </w:r>
          <w:r w:rsidR="001816E4">
            <w:fldChar w:fldCharType="end"/>
          </w:r>
        </w:sdtContent>
      </w:sdt>
      <w:r w:rsidR="001816E4">
        <w:t>.</w:t>
      </w:r>
      <w:r w:rsidR="007F4203">
        <w:t xml:space="preserve"> According to Yeoh the crisis was </w:t>
      </w:r>
      <w:r w:rsidR="00C11022">
        <w:t xml:space="preserve">result of bad corporate </w:t>
      </w:r>
      <w:r w:rsidR="00D221AE">
        <w:t>governance</w:t>
      </w:r>
      <w:r w:rsidR="00C11022">
        <w:t xml:space="preserve">, </w:t>
      </w:r>
      <w:r w:rsidR="002F0214">
        <w:t xml:space="preserve">relax regulatory supervision and adverse macroeconomic environment. </w:t>
      </w:r>
      <w:r w:rsidR="00306754">
        <w:t>Post Crisis regulatory authorities of different countries evaluated the cause and effect of crisis and focused o</w:t>
      </w:r>
      <w:r w:rsidR="00D6435D">
        <w:t>n capital adequacy</w:t>
      </w:r>
      <w:r w:rsidR="002B55A1">
        <w:t xml:space="preserve"> which became the </w:t>
      </w:r>
      <w:r w:rsidR="00351EAE">
        <w:t>predominant tool of correction</w:t>
      </w:r>
      <w:sdt>
        <w:sdtPr>
          <w:id w:val="1878891956"/>
          <w:citation/>
        </w:sdtPr>
        <w:sdtEndPr/>
        <w:sdtContent>
          <w:r w:rsidR="00F333E5">
            <w:fldChar w:fldCharType="begin"/>
          </w:r>
          <w:r w:rsidR="00F333E5">
            <w:instrText xml:space="preserve"> CITATION The09 \l 1033 </w:instrText>
          </w:r>
          <w:r w:rsidR="00F333E5">
            <w:fldChar w:fldCharType="separate"/>
          </w:r>
          <w:r w:rsidR="00F333E5">
            <w:rPr>
              <w:noProof/>
            </w:rPr>
            <w:t xml:space="preserve"> </w:t>
          </w:r>
          <w:r w:rsidR="00F333E5" w:rsidRPr="00F333E5">
            <w:rPr>
              <w:noProof/>
            </w:rPr>
            <w:t>(The-Warwick-Commission, 2009)</w:t>
          </w:r>
          <w:r w:rsidR="00F333E5">
            <w:fldChar w:fldCharType="end"/>
          </w:r>
        </w:sdtContent>
      </w:sdt>
      <w:r w:rsidR="00351EAE">
        <w:t xml:space="preserve">. </w:t>
      </w:r>
      <w:r w:rsidR="00A33535">
        <w:t>The subprime mortgage crisis was one of the mai</w:t>
      </w:r>
      <w:r w:rsidR="00470124">
        <w:t>n</w:t>
      </w:r>
      <w:r w:rsidR="00A33535">
        <w:t xml:space="preserve"> reasons and lack of regulation in this market </w:t>
      </w:r>
      <w:r w:rsidR="00F34C16">
        <w:t>elevated t</w:t>
      </w:r>
      <w:r w:rsidR="00470124">
        <w:t>he</w:t>
      </w:r>
      <w:r w:rsidR="00F34C16">
        <w:t xml:space="preserve"> crisis and multiplied it. In addition to that reduced interest rate promoted banks to focus on investing </w:t>
      </w:r>
      <w:r w:rsidR="00A925CB">
        <w:t>on high</w:t>
      </w:r>
      <w:r w:rsidR="00F34C16">
        <w:t xml:space="preserve">-risk assets and </w:t>
      </w:r>
      <w:r w:rsidR="00FA5278">
        <w:t xml:space="preserve">focus on secondary market. Lack of regulation in investment banking created the large bubble and finally the fall of entire financial system started. </w:t>
      </w:r>
      <w:r w:rsidR="002C34CE">
        <w:t>Therefore, policymakers started focusing on all aspects including the investment banking, retail banking</w:t>
      </w:r>
      <w:r w:rsidR="000B0DD6">
        <w:t xml:space="preserve">, commercial banking to regain the trust of consumers on banking system. </w:t>
      </w:r>
    </w:p>
    <w:p w14:paraId="37C30F3A" w14:textId="3844558A" w:rsidR="00261E8C" w:rsidRDefault="00B35010" w:rsidP="00D640FA">
      <w:pPr>
        <w:pStyle w:val="Heading1"/>
        <w:jc w:val="both"/>
      </w:pPr>
      <w:bookmarkStart w:id="13" w:name="_Toc70633936"/>
      <w:r>
        <w:lastRenderedPageBreak/>
        <w:t>Effect on European Bank</w:t>
      </w:r>
      <w:bookmarkEnd w:id="13"/>
      <w:r w:rsidR="00EF33D5">
        <w:t xml:space="preserve"> </w:t>
      </w:r>
    </w:p>
    <w:p w14:paraId="5775BDA9" w14:textId="148F1B86" w:rsidR="00D40092" w:rsidRDefault="00833C39" w:rsidP="00D640FA">
      <w:pPr>
        <w:jc w:val="both"/>
      </w:pPr>
      <w:r>
        <w:t xml:space="preserve">Previous two segments analyses the regulations implemented after financial crisis globally. </w:t>
      </w:r>
      <w:r w:rsidR="00256C8D">
        <w:t xml:space="preserve">Critical review of these regulations and its impact were discussed. </w:t>
      </w:r>
      <w:r w:rsidR="00860CC8">
        <w:t xml:space="preserve">In this segment a </w:t>
      </w:r>
      <w:r w:rsidR="000C7656">
        <w:t>UK bank Royal Bank of Scotland is selected to understand the effect</w:t>
      </w:r>
      <w:r w:rsidR="00260546">
        <w:t xml:space="preserve"> of the new regulation</w:t>
      </w:r>
      <w:sdt>
        <w:sdtPr>
          <w:id w:val="1019658099"/>
          <w:citation/>
        </w:sdtPr>
        <w:sdtEndPr/>
        <w:sdtContent>
          <w:r w:rsidR="00575BA9">
            <w:fldChar w:fldCharType="begin"/>
          </w:r>
          <w:r w:rsidR="00575BA9">
            <w:instrText xml:space="preserve"> CITATION Dud18 \l 1033 </w:instrText>
          </w:r>
          <w:r w:rsidR="00575BA9">
            <w:fldChar w:fldCharType="separate"/>
          </w:r>
          <w:r w:rsidR="00575BA9">
            <w:rPr>
              <w:noProof/>
            </w:rPr>
            <w:t xml:space="preserve"> </w:t>
          </w:r>
          <w:r w:rsidR="00575BA9" w:rsidRPr="00575BA9">
            <w:rPr>
              <w:noProof/>
            </w:rPr>
            <w:t>(Dudley, 2018)</w:t>
          </w:r>
          <w:r w:rsidR="00575BA9">
            <w:fldChar w:fldCharType="end"/>
          </w:r>
        </w:sdtContent>
      </w:sdt>
      <w:r w:rsidR="00260546">
        <w:t xml:space="preserve">. </w:t>
      </w:r>
      <w:r w:rsidR="008F1B4D">
        <w:t>Royal Bank of Scotland has long history of</w:t>
      </w:r>
      <w:r w:rsidR="0045109A">
        <w:t xml:space="preserve"> approximately 300 years. It started as a small bank and they gradually grew up to a large behemoth in financial world. </w:t>
      </w:r>
      <w:r w:rsidR="00D01B07">
        <w:t xml:space="preserve">RBS has acquired many banks. But its notable acquisition </w:t>
      </w:r>
      <w:r w:rsidR="000300F0">
        <w:t>was</w:t>
      </w:r>
      <w:r w:rsidR="00D01B07">
        <w:t xml:space="preserve"> ABN AMRO in 2007 and NatWest acquisition in 2000. </w:t>
      </w:r>
      <w:r w:rsidR="002114DA">
        <w:t xml:space="preserve">The aggressive growth model </w:t>
      </w:r>
      <w:r w:rsidR="009827C5">
        <w:t xml:space="preserve">provided the </w:t>
      </w:r>
      <w:r w:rsidR="000300F0">
        <w:t>growth,</w:t>
      </w:r>
      <w:r w:rsidR="009827C5">
        <w:t xml:space="preserve"> but it also brought high risk in terms of non-performing assets, high operation cost, different legacy systems</w:t>
      </w:r>
      <w:r w:rsidR="000300F0">
        <w:t xml:space="preserve"> and others. </w:t>
      </w:r>
    </w:p>
    <w:p w14:paraId="1A20A05A" w14:textId="08E110DC" w:rsidR="00A925CB" w:rsidRDefault="00C20B6D" w:rsidP="00D640FA">
      <w:pPr>
        <w:jc w:val="both"/>
      </w:pPr>
      <w:r>
        <w:t xml:space="preserve">RBS elaborated its balance sheet </w:t>
      </w:r>
      <w:r w:rsidR="001248A2">
        <w:t xml:space="preserve">raised </w:t>
      </w:r>
      <w:r>
        <w:t xml:space="preserve">swiftly </w:t>
      </w:r>
      <w:r w:rsidR="00D90566">
        <w:t>prior to financial crisis</w:t>
      </w:r>
      <w:r w:rsidR="001248A2">
        <w:t xml:space="preserve"> from </w:t>
      </w:r>
      <w:r w:rsidR="00152A74">
        <w:t xml:space="preserve">£750 billion in the year of 2005 to £2,400 billion in 2008. The amount was more that UK GDP in 2008.  </w:t>
      </w:r>
      <w:r w:rsidR="00FF618A">
        <w:t>This pre-crisis rise of RBS was driven by the expansion of bank’s derivative and wholesale line of business</w:t>
      </w:r>
      <w:r w:rsidR="00213491">
        <w:t xml:space="preserve">. This also includes the acquisition of ABN AMRO which is a large Dutch bank in 2007. Wholesale debt funds contributed to expansion largely. </w:t>
      </w:r>
      <w:r w:rsidR="000907C2">
        <w:t>The Global financial crisis of 2008 hit RBS. The bank was recapitalized by government of UK</w:t>
      </w:r>
      <w:r w:rsidR="00E54FDA">
        <w:t xml:space="preserve">. UK Government incentivize the </w:t>
      </w:r>
      <w:r w:rsidR="006528EC">
        <w:t xml:space="preserve">financial system to boost it and save it from drowning </w:t>
      </w:r>
      <w:r w:rsidR="00EB72D4">
        <w:t xml:space="preserve">it from the crisis. As a response to the crisis and the government aid RBS started to </w:t>
      </w:r>
      <w:r w:rsidR="0001444E">
        <w:t xml:space="preserve">divest its portfolio to consolidate and strengthen </w:t>
      </w:r>
      <w:r w:rsidR="00C47C72">
        <w:t>its</w:t>
      </w:r>
      <w:r w:rsidR="0001444E">
        <w:t xml:space="preserve"> balance sheet. </w:t>
      </w:r>
      <w:r w:rsidR="003F4C7B">
        <w:t xml:space="preserve">This was done upon the agreement with European Commission. </w:t>
      </w:r>
      <w:r w:rsidR="00043EEA">
        <w:t>RBS established “non-core” division</w:t>
      </w:r>
      <w:r w:rsidR="00B33E0F">
        <w:t xml:space="preserve">. The aim was to manage and control “high-risk” assets. From 2010 to 2013 these high-risk assets were reduced by £150 billion. Therefore, RBS’ balance sheet was made stronger </w:t>
      </w:r>
      <w:r w:rsidR="007F2548">
        <w:t>mostly by the mean of divesting financial assets such as write-downs, whole-business disposal</w:t>
      </w:r>
      <w:r w:rsidR="00E16FAB">
        <w:t xml:space="preserve"> rather that, investing on raising capitals or earning retentions. As RBS has made considerable amount of loss </w:t>
      </w:r>
      <w:r w:rsidR="00070FEE">
        <w:t xml:space="preserve">over this crisis period, it could not generate new capital or assets organically. </w:t>
      </w:r>
      <w:r w:rsidR="005D4F9B">
        <w:t xml:space="preserve">In 2013, UK government conducted systematic review of the bank’s financial health. </w:t>
      </w:r>
      <w:r w:rsidR="00DC1FDC">
        <w:t xml:space="preserve">Based on Government and stakeholder’s interest RBS announced that it would focus on lending </w:t>
      </w:r>
      <w:r w:rsidR="00A12022">
        <w:t xml:space="preserve">to personal and commercial space. These measures </w:t>
      </w:r>
      <w:r w:rsidR="00C3020D">
        <w:t xml:space="preserve">also </w:t>
      </w:r>
      <w:r w:rsidR="008A66D8">
        <w:t>include</w:t>
      </w:r>
      <w:r w:rsidR="00C3020D">
        <w:t xml:space="preserve"> sell off the stakes in an US retail bank Citizens</w:t>
      </w:r>
      <w:r w:rsidR="008A66D8">
        <w:t xml:space="preserve">. By doing so RBS further reduced it investment banking portfolio and decided to sell off £38 billion non-performing high-risk assets. </w:t>
      </w:r>
      <w:r w:rsidR="00C65462">
        <w:t xml:space="preserve">This also includes </w:t>
      </w:r>
      <w:r w:rsidR="002D216B">
        <w:t xml:space="preserve">loans from RBS’s subsidiary Irish Bank and </w:t>
      </w:r>
      <w:r w:rsidR="003A4932">
        <w:t xml:space="preserve">commercial lending portfolio. It also decided to divest </w:t>
      </w:r>
      <w:r w:rsidR="00133FCC">
        <w:t xml:space="preserve">most of its international footprint. RBS reduced its presence from 38 countries to only 13 countries. </w:t>
      </w:r>
      <w:r w:rsidR="00B830D4">
        <w:t>In addition to that the bank also shut down its</w:t>
      </w:r>
      <w:r w:rsidR="00B546C5">
        <w:t xml:space="preserve"> cash management and</w:t>
      </w:r>
      <w:r w:rsidR="00B830D4">
        <w:t xml:space="preserve"> trade finance </w:t>
      </w:r>
      <w:r w:rsidR="00E67FA4">
        <w:t xml:space="preserve">operation outside UK and Ireland. </w:t>
      </w:r>
      <w:r w:rsidR="00815028">
        <w:t>RBS gradually narrowed down its portfolio and business focus and finally in 2016 it could achieve the CET1 capital ratio of 13.</w:t>
      </w:r>
      <w:r w:rsidR="00624AC9">
        <w:t xml:space="preserve">4%. In 2008 the CET1 capital ratio was 6.1%. </w:t>
      </w:r>
      <w:r w:rsidR="008D4BE2">
        <w:t xml:space="preserve">Bank’s revenue started coming from net interest income. This was predominantly generated from the lending business, investment banking attributed mostly on fixed-income and foreign exchange market. </w:t>
      </w:r>
      <w:r w:rsidR="00AD1693">
        <w:t>RBS took many initiatives as a part of its cost cutting strateg</w:t>
      </w:r>
      <w:r w:rsidR="00BD3E4E">
        <w:t xml:space="preserve">y. Improving cost efficiency was one of its key focus during this period. </w:t>
      </w:r>
      <w:r w:rsidR="002104E3">
        <w:t>Despite of the fact</w:t>
      </w:r>
      <w:r w:rsidR="00B83A82">
        <w:t xml:space="preserve"> that it could achieve its financial targets, </w:t>
      </w:r>
      <w:r w:rsidR="002104E3">
        <w:t xml:space="preserve">legacy issues have been always a challenge for the </w:t>
      </w:r>
      <w:r w:rsidR="00A925CB">
        <w:t>bank,</w:t>
      </w:r>
      <w:r w:rsidR="002104E3">
        <w:t xml:space="preserve"> and it hit on the bottom line of </w:t>
      </w:r>
      <w:r w:rsidR="00B83A82">
        <w:t>profit statement.</w:t>
      </w:r>
      <w:r w:rsidR="00F14238">
        <w:t xml:space="preserve"> In 2016,</w:t>
      </w:r>
      <w:r w:rsidR="00B83A82">
        <w:t xml:space="preserve"> </w:t>
      </w:r>
      <w:r w:rsidR="00513B5F">
        <w:t xml:space="preserve">RBS </w:t>
      </w:r>
      <w:r w:rsidR="00D05F2C">
        <w:t xml:space="preserve">reported </w:t>
      </w:r>
      <w:r w:rsidR="00F14238">
        <w:t>total loss of £7.0 billion</w:t>
      </w:r>
      <w:r w:rsidR="00EA4D5C">
        <w:t>. This include litigation costs and restructuring cost. The litigation cost for RBS was £5.9 billion. The restructuring cost was £2.1 billion.</w:t>
      </w:r>
    </w:p>
    <w:p w14:paraId="121DEAAB" w14:textId="6E0D81AB" w:rsidR="00C20B6D" w:rsidRDefault="003B3D78" w:rsidP="00D640FA">
      <w:pPr>
        <w:jc w:val="both"/>
      </w:pPr>
      <w:r>
        <w:rPr>
          <w:noProof/>
          <w:lang w:val="en-GB" w:eastAsia="en-GB"/>
        </w:rPr>
        <w:lastRenderedPageBreak/>
        <w:drawing>
          <wp:inline distT="0" distB="0" distL="0" distR="0" wp14:anchorId="2779E386" wp14:editId="7B7C63CC">
            <wp:extent cx="5713095" cy="2143125"/>
            <wp:effectExtent l="0" t="0" r="190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30313" cy="2187096"/>
                    </a:xfrm>
                    <a:prstGeom prst="rect">
                      <a:avLst/>
                    </a:prstGeom>
                  </pic:spPr>
                </pic:pic>
              </a:graphicData>
            </a:graphic>
          </wp:inline>
        </w:drawing>
      </w:r>
    </w:p>
    <w:p w14:paraId="17346101" w14:textId="5C6E6EDF" w:rsidR="00A925CB" w:rsidRDefault="00A925CB" w:rsidP="00A925CB">
      <w:pPr>
        <w:pStyle w:val="Caption"/>
      </w:pPr>
      <w:r>
        <w:t xml:space="preserve">Figure </w:t>
      </w:r>
      <w:fldSimple w:instr=" SEQ Figure \* ARABIC ">
        <w:r>
          <w:rPr>
            <w:noProof/>
          </w:rPr>
          <w:t>2</w:t>
        </w:r>
      </w:fldSimple>
      <w:r>
        <w:t>: RBS financial health</w:t>
      </w:r>
    </w:p>
    <w:p w14:paraId="0E80FBAA" w14:textId="62EBB495" w:rsidR="003B2E15" w:rsidRDefault="003B2E15" w:rsidP="00D640FA">
      <w:pPr>
        <w:jc w:val="both"/>
      </w:pPr>
      <w:r>
        <w:t>During 2019, RBS remained focused on its restructuring activities</w:t>
      </w:r>
      <w:r w:rsidR="003447F7">
        <w:t xml:space="preserve"> </w:t>
      </w:r>
      <w:r w:rsidR="00D73FC0">
        <w:t>and</w:t>
      </w:r>
      <w:r w:rsidR="003447F7">
        <w:t xml:space="preserve"> to maintain all regulatory requirements defined by UK Government. The primary </w:t>
      </w:r>
      <w:r w:rsidR="00D73FC0">
        <w:t xml:space="preserve">business is core retail banking </w:t>
      </w:r>
      <w:r w:rsidR="008B129B">
        <w:t>starting from wholesale to investment banking activities. RBS remained under Government aid and committed t</w:t>
      </w:r>
      <w:r w:rsidR="0085553B">
        <w:t>o maintain a long</w:t>
      </w:r>
      <w:r w:rsidR="00FE1760">
        <w:t>-</w:t>
      </w:r>
      <w:r w:rsidR="0085553B">
        <w:t>term CET-1 capital ratio of 13% minimum</w:t>
      </w:r>
      <w:r w:rsidR="004131AC">
        <w:t xml:space="preserve">. It also committed to achieve cost to income ratio of 50%. RBS intended to gain </w:t>
      </w:r>
      <w:r w:rsidR="00FE1760">
        <w:t xml:space="preserve">12% rate of return on </w:t>
      </w:r>
      <w:r w:rsidR="004131AC">
        <w:t xml:space="preserve">equity </w:t>
      </w:r>
      <w:r w:rsidR="00FE1760">
        <w:t xml:space="preserve">by 2020. </w:t>
      </w:r>
    </w:p>
    <w:p w14:paraId="0483D7FB" w14:textId="3334CC9D" w:rsidR="003B2E15" w:rsidRDefault="007267D7" w:rsidP="00D640FA">
      <w:pPr>
        <w:jc w:val="both"/>
      </w:pPr>
      <w:r>
        <w:t>In 2020 RBS renamed itself as NatWest</w:t>
      </w:r>
      <w:sdt>
        <w:sdtPr>
          <w:id w:val="-1122755284"/>
          <w:citation/>
        </w:sdtPr>
        <w:sdtEndPr/>
        <w:sdtContent>
          <w:r>
            <w:fldChar w:fldCharType="begin"/>
          </w:r>
          <w:r>
            <w:instrText xml:space="preserve"> CITATION Ste20 \l 1033 </w:instrText>
          </w:r>
          <w:r>
            <w:fldChar w:fldCharType="separate"/>
          </w:r>
          <w:r>
            <w:rPr>
              <w:noProof/>
            </w:rPr>
            <w:t xml:space="preserve"> </w:t>
          </w:r>
          <w:r w:rsidRPr="007267D7">
            <w:rPr>
              <w:noProof/>
            </w:rPr>
            <w:t>(Spezzati, 2020)</w:t>
          </w:r>
          <w:r>
            <w:fldChar w:fldCharType="end"/>
          </w:r>
        </w:sdtContent>
      </w:sdt>
      <w:r>
        <w:t>.</w:t>
      </w:r>
      <w:r w:rsidR="004E5E30">
        <w:t xml:space="preserve"> The bank returned to profit </w:t>
      </w:r>
      <w:r w:rsidR="00CD1AB5">
        <w:t xml:space="preserve">after a decade </w:t>
      </w:r>
      <w:r w:rsidR="00E31E47">
        <w:t xml:space="preserve">however it is still struggling to grow and overcome the loss caused due to financial crisis. Post Brexit the mortgage lending business is </w:t>
      </w:r>
      <w:r w:rsidR="001150C2">
        <w:t>booming,</w:t>
      </w:r>
      <w:r w:rsidR="00E31E47">
        <w:t xml:space="preserve"> and it is working as </w:t>
      </w:r>
      <w:r w:rsidR="001150C2">
        <w:t>a</w:t>
      </w:r>
      <w:r w:rsidR="00E31E47">
        <w:t xml:space="preserve"> cash cow for RBS. </w:t>
      </w:r>
      <w:r w:rsidR="00CF43FB">
        <w:t xml:space="preserve">Government still holds majority of the shares in the bank. </w:t>
      </w:r>
    </w:p>
    <w:p w14:paraId="0B9A7C34" w14:textId="67452EBD" w:rsidR="00AA4B66" w:rsidRDefault="00AA4B66" w:rsidP="00D640FA">
      <w:pPr>
        <w:jc w:val="both"/>
      </w:pPr>
      <w:r>
        <w:t xml:space="preserve">It is evident that the financial crisis of 2008 hit the entire banking system. RBS was no exception to it. </w:t>
      </w:r>
      <w:r w:rsidR="00EF4196">
        <w:t>Due to the crisis the bank incurred major loss</w:t>
      </w:r>
      <w:r w:rsidR="00D91613">
        <w:t xml:space="preserve">. Government had to intervene to save the bank and due to government aid, it was saved. However, one thing was very clear that the regulatory measures were not taken properly by RBS bank. The increase in high-risk assets </w:t>
      </w:r>
      <w:r w:rsidR="007C33B2">
        <w:t xml:space="preserve">became a huge challenge for the bank. Ultimately it had to shed off those assets in order to keep adhere to the regulatory norms. Due to stringent regulations RBS had to change its strategy, do business more ethically and focus on restructuring to </w:t>
      </w:r>
      <w:r w:rsidR="001A2646">
        <w:t xml:space="preserve">adhere to reforms and capital requirements. </w:t>
      </w:r>
    </w:p>
    <w:p w14:paraId="5B9333A3" w14:textId="20796DBA" w:rsidR="00B35010" w:rsidRDefault="00B35010" w:rsidP="00B6729C">
      <w:pPr>
        <w:pStyle w:val="Heading1"/>
      </w:pPr>
      <w:bookmarkStart w:id="14" w:name="_Toc70633937"/>
      <w:r>
        <w:t>Conclusion</w:t>
      </w:r>
      <w:bookmarkEnd w:id="14"/>
      <w:r w:rsidR="00991FFC">
        <w:t xml:space="preserve"> </w:t>
      </w:r>
    </w:p>
    <w:p w14:paraId="15EC61DF" w14:textId="77777777" w:rsidR="00271E31" w:rsidRDefault="00271E31" w:rsidP="00271E31">
      <w:pPr>
        <w:jc w:val="both"/>
      </w:pPr>
      <w:r>
        <w:t>The financial crisis of 2008 has tremendous impact in restricting the entire regulatory system of global finance. Lack of regulation in investment banking created the large bubble and finally the fall of entire financial system started. Credit default Swaps (CDS) market was highly unregulated. The subprime mortgage lenders started filing bankruptcy as the borrower started defaulting in USA.  Financial institutions are interconnected with each other globally. Therefore, the crisis which started in USA also had severe impact on the EU and UK banks. Governments provided bailout packages and introduced various acts in their countries to prevent further economic slide. “The Dodd Frank Wall Street Reform and Consumer Protection Act 2010” was created as counteractive measure of Financial crisis. UK regulators imposed temporary restriction on short-selling of shares.</w:t>
      </w:r>
      <w:r w:rsidRPr="00BA4783">
        <w:t xml:space="preserve"> </w:t>
      </w:r>
      <w:r>
        <w:t xml:space="preserve">UK government responded to the financial crisis by introducing ‘Financial Services Act 2012’. This enabled a completely new approach towards banking regulations. European Parliament Committee in May 2010 passed a bill which </w:t>
      </w:r>
      <w:r>
        <w:lastRenderedPageBreak/>
        <w:t>strengthened and empowered the regulatory authorities to monitor banks, insurers, pension funds and established ESFS. Basel II introduced three different types of Tier capital. In Basel III reduced it to two, Tier one and Tier two. After financial crisis, all UK commercial banks must maintain Tier one capital.</w:t>
      </w:r>
      <w:r w:rsidRPr="006F428B">
        <w:t xml:space="preserve"> </w:t>
      </w:r>
      <w:r>
        <w:t xml:space="preserve">Several regulatory authorities globally implemented new norms. However, from the study it is evident that all these norms focus on strengthening the financial system. The new regulations encourage banks to do fair practices and avoid high-risk assets.  The crisis was result of bad corporate governance, relax regulatory supervision and adverse macroeconomic environment. Post Crisis regulatory authorities of different countries evaluated the cause and effect of crisis and focused on capital adequacy which became the predominant tool of correction. </w:t>
      </w:r>
    </w:p>
    <w:p w14:paraId="6D732CDE" w14:textId="13A03E86" w:rsidR="00B6729C" w:rsidRDefault="00B6729C" w:rsidP="00D640FA">
      <w:pPr>
        <w:jc w:val="both"/>
      </w:pPr>
    </w:p>
    <w:bookmarkStart w:id="15" w:name="_Toc70633938" w:displacedByCustomXml="next"/>
    <w:sdt>
      <w:sdtPr>
        <w:rPr>
          <w:rFonts w:asciiTheme="minorHAnsi" w:eastAsiaTheme="minorHAnsi" w:hAnsiTheme="minorHAnsi" w:cstheme="minorBidi"/>
          <w:color w:val="auto"/>
          <w:sz w:val="22"/>
          <w:szCs w:val="22"/>
        </w:rPr>
        <w:id w:val="332182554"/>
        <w:docPartObj>
          <w:docPartGallery w:val="Bibliographies"/>
          <w:docPartUnique/>
        </w:docPartObj>
      </w:sdtPr>
      <w:sdtEndPr/>
      <w:sdtContent>
        <w:p w14:paraId="5035F8AE" w14:textId="7B306029" w:rsidR="00A925CB" w:rsidRDefault="00A925CB">
          <w:pPr>
            <w:pStyle w:val="Heading1"/>
          </w:pPr>
          <w:r>
            <w:t>References</w:t>
          </w:r>
          <w:bookmarkEnd w:id="15"/>
        </w:p>
        <w:sdt>
          <w:sdtPr>
            <w:id w:val="-573587230"/>
            <w:bibliography/>
          </w:sdtPr>
          <w:sdtEndPr/>
          <w:sdtContent>
            <w:p w14:paraId="2084AF1B" w14:textId="77777777" w:rsidR="00A925CB" w:rsidRDefault="00A925CB" w:rsidP="00A925CB">
              <w:pPr>
                <w:pStyle w:val="Bibliography"/>
                <w:rPr>
                  <w:noProof/>
                  <w:sz w:val="24"/>
                  <w:szCs w:val="24"/>
                </w:rPr>
              </w:pPr>
              <w:r>
                <w:fldChar w:fldCharType="begin"/>
              </w:r>
              <w:r>
                <w:instrText xml:space="preserve"> BIBLIOGRAPHY </w:instrText>
              </w:r>
              <w:r>
                <w:fldChar w:fldCharType="separate"/>
              </w:r>
              <w:r>
                <w:rPr>
                  <w:noProof/>
                </w:rPr>
                <w:t xml:space="preserve">Baber, G., 2013. A critical examination of the legislative response in banking and financial regulation to issues related to misconduct in the context of the crisis of 2007‐2009. </w:t>
              </w:r>
              <w:r>
                <w:rPr>
                  <w:i/>
                  <w:iCs/>
                  <w:noProof/>
                </w:rPr>
                <w:t xml:space="preserve">Journal of Financial Crime, </w:t>
              </w:r>
              <w:r>
                <w:rPr>
                  <w:noProof/>
                </w:rPr>
                <w:t>20(2), p. 237.</w:t>
              </w:r>
            </w:p>
            <w:p w14:paraId="1D3E6086" w14:textId="77777777" w:rsidR="00A925CB" w:rsidRDefault="00A925CB" w:rsidP="00A925CB">
              <w:pPr>
                <w:pStyle w:val="Bibliography"/>
                <w:rPr>
                  <w:noProof/>
                </w:rPr>
              </w:pPr>
              <w:r>
                <w:rPr>
                  <w:noProof/>
                </w:rPr>
                <w:t xml:space="preserve">Bagge, J., 2000. Senior management responsibilities under the new regulatory regime. </w:t>
              </w:r>
              <w:r>
                <w:rPr>
                  <w:i/>
                  <w:iCs/>
                  <w:noProof/>
                </w:rPr>
                <w:t xml:space="preserve">Journal of Financial Regulation and Compliance , </w:t>
              </w:r>
              <w:r>
                <w:rPr>
                  <w:noProof/>
                </w:rPr>
                <w:t>8(3), p. 201.</w:t>
              </w:r>
            </w:p>
            <w:p w14:paraId="7D09B39E" w14:textId="77777777" w:rsidR="00A925CB" w:rsidRDefault="00A925CB" w:rsidP="00A925CB">
              <w:pPr>
                <w:pStyle w:val="Bibliography"/>
                <w:rPr>
                  <w:noProof/>
                </w:rPr>
              </w:pPr>
              <w:r>
                <w:rPr>
                  <w:noProof/>
                </w:rPr>
                <w:t xml:space="preserve">Baily, M. N., Litan, R. E. &amp; Johnson, M. S., 2008. </w:t>
              </w:r>
              <w:r>
                <w:rPr>
                  <w:i/>
                  <w:iCs/>
                  <w:noProof/>
                </w:rPr>
                <w:t xml:space="preserve">The origins of the Financial Crisis. </w:t>
              </w:r>
              <w:r>
                <w:rPr>
                  <w:noProof/>
                </w:rPr>
                <w:t>1 ed. Washington: The Brooklin Institutions.</w:t>
              </w:r>
            </w:p>
            <w:p w14:paraId="783CA46A" w14:textId="77777777" w:rsidR="00A925CB" w:rsidRDefault="00A925CB" w:rsidP="00A925CB">
              <w:pPr>
                <w:pStyle w:val="Bibliography"/>
                <w:rPr>
                  <w:noProof/>
                </w:rPr>
              </w:pPr>
              <w:r>
                <w:rPr>
                  <w:noProof/>
                </w:rPr>
                <w:t xml:space="preserve">Cheffins, B. R., 2010. The Stewardship Code’s Achilles’ Heel’. </w:t>
              </w:r>
              <w:r>
                <w:rPr>
                  <w:i/>
                  <w:iCs/>
                  <w:noProof/>
                </w:rPr>
                <w:t xml:space="preserve">The Modern Law Review, </w:t>
              </w:r>
              <w:r>
                <w:rPr>
                  <w:noProof/>
                </w:rPr>
                <w:t>73(6), pp. 1004-1010.</w:t>
              </w:r>
            </w:p>
            <w:p w14:paraId="497C65A0" w14:textId="77777777" w:rsidR="00A925CB" w:rsidRDefault="00A925CB" w:rsidP="00A925CB">
              <w:pPr>
                <w:pStyle w:val="Bibliography"/>
                <w:rPr>
                  <w:noProof/>
                </w:rPr>
              </w:pPr>
              <w:r>
                <w:rPr>
                  <w:noProof/>
                </w:rPr>
                <w:t xml:space="preserve">Dudley, W. C., 2018. </w:t>
              </w:r>
              <w:r>
                <w:rPr>
                  <w:i/>
                  <w:iCs/>
                  <w:noProof/>
                </w:rPr>
                <w:t xml:space="preserve">Structural changes in banking after the crisis, </w:t>
              </w:r>
              <w:r>
                <w:rPr>
                  <w:noProof/>
                </w:rPr>
                <w:t>New York: Federal Reserve Bank.</w:t>
              </w:r>
            </w:p>
            <w:p w14:paraId="4453935A" w14:textId="77777777" w:rsidR="00A925CB" w:rsidRDefault="00A925CB" w:rsidP="00A925CB">
              <w:pPr>
                <w:pStyle w:val="Bibliography"/>
                <w:rPr>
                  <w:noProof/>
                </w:rPr>
              </w:pPr>
              <w:r>
                <w:rPr>
                  <w:noProof/>
                </w:rPr>
                <w:t xml:space="preserve">European-Parliament, 2021. </w:t>
              </w:r>
              <w:r>
                <w:rPr>
                  <w:i/>
                  <w:iCs/>
                  <w:noProof/>
                </w:rPr>
                <w:t xml:space="preserve">European System of Financial Supervision (ESFS). </w:t>
              </w:r>
              <w:r>
                <w:rPr>
                  <w:noProof/>
                </w:rPr>
                <w:t xml:space="preserve">[Online] </w:t>
              </w:r>
              <w:r>
                <w:rPr>
                  <w:noProof/>
                </w:rPr>
                <w:br/>
                <w:t xml:space="preserve">Available at: </w:t>
              </w:r>
              <w:r>
                <w:rPr>
                  <w:noProof/>
                  <w:u w:val="single"/>
                </w:rPr>
                <w:t>https://www.europarl.europa.eu/factsheets/en/sheet/84/european-system-of-financial-supervision-esfs-</w:t>
              </w:r>
              <w:r>
                <w:rPr>
                  <w:noProof/>
                </w:rPr>
                <w:br/>
                <w:t>[Accessed 29 April 2021].</w:t>
              </w:r>
            </w:p>
            <w:p w14:paraId="5548B092" w14:textId="77777777" w:rsidR="00A925CB" w:rsidRDefault="00A925CB" w:rsidP="00A925CB">
              <w:pPr>
                <w:pStyle w:val="Bibliography"/>
                <w:rPr>
                  <w:noProof/>
                </w:rPr>
              </w:pPr>
              <w:r>
                <w:rPr>
                  <w:noProof/>
                </w:rPr>
                <w:t xml:space="preserve">FRED, 2021. </w:t>
              </w:r>
              <w:r>
                <w:rPr>
                  <w:i/>
                  <w:iCs/>
                  <w:noProof/>
                </w:rPr>
                <w:t xml:space="preserve">Homeownership Rate for the United States. </w:t>
              </w:r>
              <w:r>
                <w:rPr>
                  <w:noProof/>
                </w:rPr>
                <w:t xml:space="preserve">[Online] </w:t>
              </w:r>
              <w:r>
                <w:rPr>
                  <w:noProof/>
                </w:rPr>
                <w:br/>
                <w:t xml:space="preserve">Available at: </w:t>
              </w:r>
              <w:r>
                <w:rPr>
                  <w:noProof/>
                  <w:u w:val="single"/>
                </w:rPr>
                <w:t>https://fred.stlouisfed.org/series/RHORUSQ156N</w:t>
              </w:r>
              <w:r>
                <w:rPr>
                  <w:noProof/>
                </w:rPr>
                <w:br/>
                <w:t>[Accessed 27 26 April].</w:t>
              </w:r>
            </w:p>
            <w:p w14:paraId="60AAB8D0" w14:textId="77777777" w:rsidR="00A925CB" w:rsidRDefault="00A925CB" w:rsidP="00A925CB">
              <w:pPr>
                <w:pStyle w:val="Bibliography"/>
                <w:rPr>
                  <w:noProof/>
                </w:rPr>
              </w:pPr>
              <w:r>
                <w:rPr>
                  <w:noProof/>
                </w:rPr>
                <w:t xml:space="preserve">Hayes, A., 2021. </w:t>
              </w:r>
              <w:r>
                <w:rPr>
                  <w:i/>
                  <w:iCs/>
                  <w:noProof/>
                </w:rPr>
                <w:t xml:space="preserve">Dodd-Frank Wall Street Reform and Consumer Protection Act. </w:t>
              </w:r>
              <w:r>
                <w:rPr>
                  <w:noProof/>
                </w:rPr>
                <w:t xml:space="preserve">[Online] </w:t>
              </w:r>
              <w:r>
                <w:rPr>
                  <w:noProof/>
                </w:rPr>
                <w:br/>
                <w:t xml:space="preserve">Available at: </w:t>
              </w:r>
              <w:r>
                <w:rPr>
                  <w:noProof/>
                  <w:u w:val="single"/>
                </w:rPr>
                <w:t>https://www.investopedia.com/terms/d/dodd-frank-financial-regulatory-reform-bill.asp</w:t>
              </w:r>
              <w:r>
                <w:rPr>
                  <w:noProof/>
                </w:rPr>
                <w:br/>
                <w:t>[Accessed 28 April 2021].</w:t>
              </w:r>
            </w:p>
            <w:p w14:paraId="1080F35C" w14:textId="77777777" w:rsidR="00A925CB" w:rsidRDefault="00A925CB" w:rsidP="00A925CB">
              <w:pPr>
                <w:pStyle w:val="Bibliography"/>
                <w:rPr>
                  <w:noProof/>
                </w:rPr>
              </w:pPr>
              <w:r>
                <w:rPr>
                  <w:noProof/>
                </w:rPr>
                <w:t xml:space="preserve">Hindmoor, A. &amp; Bell, S., 2017. Structural Power and the Politics of Bank Capital Regulation in the UK. </w:t>
              </w:r>
              <w:r>
                <w:rPr>
                  <w:i/>
                  <w:iCs/>
                  <w:noProof/>
                </w:rPr>
                <w:t xml:space="preserve">Political Studies, </w:t>
              </w:r>
              <w:r>
                <w:rPr>
                  <w:noProof/>
                </w:rPr>
                <w:t>65(1), pp. 103-110.</w:t>
              </w:r>
            </w:p>
            <w:p w14:paraId="3E04C433" w14:textId="77777777" w:rsidR="00A925CB" w:rsidRDefault="00A925CB" w:rsidP="00A925CB">
              <w:pPr>
                <w:pStyle w:val="Bibliography"/>
                <w:rPr>
                  <w:noProof/>
                </w:rPr>
              </w:pPr>
              <w:r>
                <w:rPr>
                  <w:noProof/>
                </w:rPr>
                <w:t xml:space="preserve">Howarth, D. &amp; Quaglia, L., 2013. Banking on Stability: The Political Economy of New Capital Requirements in the European Union. </w:t>
              </w:r>
              <w:r>
                <w:rPr>
                  <w:i/>
                  <w:iCs/>
                  <w:noProof/>
                </w:rPr>
                <w:t xml:space="preserve">Journal of European Integration, </w:t>
              </w:r>
              <w:r>
                <w:rPr>
                  <w:noProof/>
                </w:rPr>
                <w:t>35(3).</w:t>
              </w:r>
            </w:p>
            <w:p w14:paraId="57E79FB5" w14:textId="77777777" w:rsidR="00A925CB" w:rsidRDefault="00A925CB" w:rsidP="00A925CB">
              <w:pPr>
                <w:pStyle w:val="Bibliography"/>
                <w:rPr>
                  <w:noProof/>
                </w:rPr>
              </w:pPr>
              <w:r>
                <w:rPr>
                  <w:noProof/>
                </w:rPr>
                <w:t xml:space="preserve">Lui, A., 2015. Greed, recklessness and/or dishonesty? An investigation into the micro-regulation and culture of five UK banks between 2004-2009. </w:t>
              </w:r>
              <w:r>
                <w:rPr>
                  <w:i/>
                  <w:iCs/>
                  <w:noProof/>
                </w:rPr>
                <w:t xml:space="preserve">Journal of Banking Regulation , </w:t>
              </w:r>
              <w:r>
                <w:rPr>
                  <w:noProof/>
                </w:rPr>
                <w:t>16(2), p. 106.</w:t>
              </w:r>
            </w:p>
            <w:p w14:paraId="6BE6D205" w14:textId="77777777" w:rsidR="00A925CB" w:rsidRDefault="00A925CB" w:rsidP="00A925CB">
              <w:pPr>
                <w:pStyle w:val="Bibliography"/>
                <w:rPr>
                  <w:noProof/>
                </w:rPr>
              </w:pPr>
              <w:r>
                <w:rPr>
                  <w:noProof/>
                </w:rPr>
                <w:lastRenderedPageBreak/>
                <w:t xml:space="preserve">McConnell, P., 2013. Systemic operational risk: the LIBOR manipulation scandal. </w:t>
              </w:r>
              <w:r>
                <w:rPr>
                  <w:i/>
                  <w:iCs/>
                  <w:noProof/>
                </w:rPr>
                <w:t xml:space="preserve">The Journal of Operational Risk, </w:t>
              </w:r>
              <w:r>
                <w:rPr>
                  <w:noProof/>
                </w:rPr>
                <w:t>8(3), p. 59.</w:t>
              </w:r>
            </w:p>
            <w:p w14:paraId="1113FFE8" w14:textId="77777777" w:rsidR="00A925CB" w:rsidRDefault="00A925CB" w:rsidP="00A925CB">
              <w:pPr>
                <w:pStyle w:val="Bibliography"/>
                <w:rPr>
                  <w:noProof/>
                </w:rPr>
              </w:pPr>
              <w:r>
                <w:rPr>
                  <w:noProof/>
                </w:rPr>
                <w:t xml:space="preserve">Merino, B., Mayper, A. &amp; Tolleson, T., 2010. Neoliberalism, deregulation and Sarbanes-Oxley: the legitimation of a failed corporate governance model. </w:t>
              </w:r>
              <w:r>
                <w:rPr>
                  <w:i/>
                  <w:iCs/>
                  <w:noProof/>
                </w:rPr>
                <w:t xml:space="preserve">Accounting, Auditing and Accountability Journal , </w:t>
              </w:r>
              <w:r>
                <w:rPr>
                  <w:noProof/>
                </w:rPr>
                <w:t>23(6).</w:t>
              </w:r>
            </w:p>
            <w:p w14:paraId="474D24F2" w14:textId="77777777" w:rsidR="00A925CB" w:rsidRDefault="00A925CB" w:rsidP="00A925CB">
              <w:pPr>
                <w:pStyle w:val="Bibliography"/>
                <w:rPr>
                  <w:noProof/>
                </w:rPr>
              </w:pPr>
              <w:r>
                <w:rPr>
                  <w:noProof/>
                </w:rPr>
                <w:t xml:space="preserve">Myners, P., 2016. </w:t>
              </w:r>
              <w:r>
                <w:rPr>
                  <w:i/>
                  <w:iCs/>
                  <w:noProof/>
                </w:rPr>
                <w:t xml:space="preserve">‘The future of the investment industry – by Paul Myners. </w:t>
              </w:r>
              <w:r>
                <w:rPr>
                  <w:noProof/>
                </w:rPr>
                <w:t xml:space="preserve">[Online] </w:t>
              </w:r>
              <w:r>
                <w:rPr>
                  <w:noProof/>
                </w:rPr>
                <w:br/>
                <w:t xml:space="preserve">Available at: </w:t>
              </w:r>
              <w:r>
                <w:rPr>
                  <w:noProof/>
                  <w:u w:val="single"/>
                </w:rPr>
                <w:t>https://www.fnlondon.com/articles/fn-future-of-finance-investment-industry-paul-myners-20160926</w:t>
              </w:r>
              <w:r>
                <w:rPr>
                  <w:noProof/>
                </w:rPr>
                <w:br/>
                <w:t>[Accessed 29 April 2021].</w:t>
              </w:r>
            </w:p>
            <w:p w14:paraId="758F448F" w14:textId="77777777" w:rsidR="00A925CB" w:rsidRDefault="00A925CB" w:rsidP="00A925CB">
              <w:pPr>
                <w:pStyle w:val="Bibliography"/>
                <w:rPr>
                  <w:noProof/>
                </w:rPr>
              </w:pPr>
              <w:r>
                <w:rPr>
                  <w:noProof/>
                </w:rPr>
                <w:t xml:space="preserve">O'Connell, D., 2017. </w:t>
              </w:r>
              <w:r>
                <w:rPr>
                  <w:i/>
                  <w:iCs/>
                  <w:noProof/>
                </w:rPr>
                <w:t xml:space="preserve">The collapse of Northern Rock: Ten years on. </w:t>
              </w:r>
              <w:r>
                <w:rPr>
                  <w:noProof/>
                </w:rPr>
                <w:t xml:space="preserve">[Online] </w:t>
              </w:r>
              <w:r>
                <w:rPr>
                  <w:noProof/>
                </w:rPr>
                <w:br/>
                <w:t xml:space="preserve">Available at: </w:t>
              </w:r>
              <w:r>
                <w:rPr>
                  <w:noProof/>
                  <w:u w:val="single"/>
                </w:rPr>
                <w:t>https://www.bbc.com/news/business-41229513</w:t>
              </w:r>
              <w:r>
                <w:rPr>
                  <w:noProof/>
                </w:rPr>
                <w:br/>
                <w:t>[Accessed 30 April 2021].</w:t>
              </w:r>
            </w:p>
            <w:p w14:paraId="14460A54" w14:textId="77777777" w:rsidR="00A925CB" w:rsidRDefault="00A925CB" w:rsidP="00A925CB">
              <w:pPr>
                <w:pStyle w:val="Bibliography"/>
                <w:rPr>
                  <w:noProof/>
                </w:rPr>
              </w:pPr>
              <w:r>
                <w:rPr>
                  <w:noProof/>
                </w:rPr>
                <w:t xml:space="preserve">Persaud, A., 2010. Basel III: a welcome start, but much more to be done. </w:t>
              </w:r>
              <w:r>
                <w:rPr>
                  <w:i/>
                  <w:iCs/>
                  <w:noProof/>
                </w:rPr>
                <w:t xml:space="preserve">Journal of International Banking &amp; Financial Law, </w:t>
              </w:r>
              <w:r>
                <w:rPr>
                  <w:noProof/>
                </w:rPr>
                <w:t>25(11).</w:t>
              </w:r>
            </w:p>
            <w:p w14:paraId="5E06ED0A" w14:textId="77777777" w:rsidR="00A925CB" w:rsidRDefault="00A925CB" w:rsidP="00A925CB">
              <w:pPr>
                <w:pStyle w:val="Bibliography"/>
                <w:rPr>
                  <w:noProof/>
                </w:rPr>
              </w:pPr>
              <w:r>
                <w:rPr>
                  <w:noProof/>
                </w:rPr>
                <w:t xml:space="preserve">Spezzati, S., 2020. </w:t>
              </w:r>
              <w:r>
                <w:rPr>
                  <w:i/>
                  <w:iCs/>
                  <w:noProof/>
                </w:rPr>
                <w:t xml:space="preserve">Royal Bank of Scotland to Rebrand Bank as NatWest. </w:t>
              </w:r>
              <w:r>
                <w:rPr>
                  <w:noProof/>
                </w:rPr>
                <w:t xml:space="preserve">[Online] </w:t>
              </w:r>
              <w:r>
                <w:rPr>
                  <w:noProof/>
                </w:rPr>
                <w:br/>
                <w:t xml:space="preserve">Available at: </w:t>
              </w:r>
              <w:r>
                <w:rPr>
                  <w:noProof/>
                  <w:u w:val="single"/>
                </w:rPr>
                <w:t>https://www.bloombergquint.com/business/royal-bank-of-scotland-breaks-away-with-name-change-to-natwest</w:t>
              </w:r>
              <w:r>
                <w:rPr>
                  <w:noProof/>
                </w:rPr>
                <w:br/>
                <w:t>[Accessed 29 April 2021].</w:t>
              </w:r>
            </w:p>
            <w:p w14:paraId="4AC07F22" w14:textId="77777777" w:rsidR="00A925CB" w:rsidRDefault="00A925CB" w:rsidP="00A925CB">
              <w:pPr>
                <w:pStyle w:val="Bibliography"/>
                <w:rPr>
                  <w:noProof/>
                </w:rPr>
              </w:pPr>
              <w:r>
                <w:rPr>
                  <w:noProof/>
                </w:rPr>
                <w:t xml:space="preserve">The-Warwick-Commission, 2009. </w:t>
              </w:r>
              <w:r>
                <w:rPr>
                  <w:i/>
                  <w:iCs/>
                  <w:noProof/>
                </w:rPr>
                <w:t xml:space="preserve">The Warwick Commission On International Financial Reform: In Praise Of Unlevel Playing Fields, </w:t>
              </w:r>
              <w:r>
                <w:rPr>
                  <w:noProof/>
                </w:rPr>
                <w:t>London: The University of Warwick .</w:t>
              </w:r>
            </w:p>
            <w:p w14:paraId="55DA27C6" w14:textId="77777777" w:rsidR="00A925CB" w:rsidRDefault="00A925CB" w:rsidP="00A925CB">
              <w:pPr>
                <w:pStyle w:val="Bibliography"/>
                <w:rPr>
                  <w:noProof/>
                </w:rPr>
              </w:pPr>
              <w:r>
                <w:rPr>
                  <w:noProof/>
                </w:rPr>
                <w:t xml:space="preserve">Walker, D., 2009. </w:t>
              </w:r>
              <w:r>
                <w:rPr>
                  <w:i/>
                  <w:iCs/>
                  <w:noProof/>
                </w:rPr>
                <w:t xml:space="preserve">A review of corporate governance in UK banks and other financial industry entities. </w:t>
              </w:r>
              <w:r>
                <w:rPr>
                  <w:noProof/>
                </w:rPr>
                <w:t xml:space="preserve">[Online] </w:t>
              </w:r>
              <w:r>
                <w:rPr>
                  <w:noProof/>
                </w:rPr>
                <w:br/>
                <w:t xml:space="preserve">Available at: </w:t>
              </w:r>
              <w:r>
                <w:rPr>
                  <w:noProof/>
                  <w:u w:val="single"/>
                </w:rPr>
                <w:t>https://corpgov.law.harvard.edu/2009/12/26/a-review-of-corporate-governance-in-uk-banks-and-other-financial-industry-entities/</w:t>
              </w:r>
              <w:r>
                <w:rPr>
                  <w:noProof/>
                </w:rPr>
                <w:br/>
                <w:t>[Accessed 29 April 2021].</w:t>
              </w:r>
            </w:p>
            <w:p w14:paraId="2D34AA67" w14:textId="77777777" w:rsidR="00A925CB" w:rsidRDefault="00A925CB" w:rsidP="00A925CB">
              <w:pPr>
                <w:pStyle w:val="Bibliography"/>
                <w:rPr>
                  <w:noProof/>
                </w:rPr>
              </w:pPr>
              <w:r>
                <w:rPr>
                  <w:noProof/>
                </w:rPr>
                <w:t xml:space="preserve">Wilson, G. &amp; Wilson, S., 2013. ‘The FSA, “credible deterrence”, and criminal enforcement – a “haphazard pursuit. </w:t>
              </w:r>
              <w:r>
                <w:rPr>
                  <w:i/>
                  <w:iCs/>
                  <w:noProof/>
                </w:rPr>
                <w:t xml:space="preserve">Journal of Financial Crime, </w:t>
              </w:r>
              <w:r>
                <w:rPr>
                  <w:noProof/>
                </w:rPr>
                <w:t>21(1), p. 4.</w:t>
              </w:r>
            </w:p>
            <w:p w14:paraId="5879F23B" w14:textId="77777777" w:rsidR="00A925CB" w:rsidRDefault="00A925CB" w:rsidP="00A925CB">
              <w:pPr>
                <w:pStyle w:val="Bibliography"/>
                <w:rPr>
                  <w:noProof/>
                </w:rPr>
              </w:pPr>
              <w:r>
                <w:rPr>
                  <w:noProof/>
                </w:rPr>
                <w:t xml:space="preserve">Yeoh, P., 2009. Causes of the global ﬁnancial crisis: Learning from the competing insights. </w:t>
              </w:r>
              <w:r>
                <w:rPr>
                  <w:i/>
                  <w:iCs/>
                  <w:noProof/>
                </w:rPr>
                <w:t xml:space="preserve">International Journal of Disclosure and Governance, </w:t>
              </w:r>
              <w:r>
                <w:rPr>
                  <w:noProof/>
                </w:rPr>
                <w:t>7(1), pp. 42-56.</w:t>
              </w:r>
            </w:p>
            <w:p w14:paraId="41920BCB" w14:textId="3856F637" w:rsidR="00A925CB" w:rsidRDefault="00A925CB" w:rsidP="00A925CB">
              <w:r>
                <w:rPr>
                  <w:b/>
                  <w:bCs/>
                  <w:noProof/>
                </w:rPr>
                <w:fldChar w:fldCharType="end"/>
              </w:r>
            </w:p>
          </w:sdtContent>
        </w:sdt>
      </w:sdtContent>
    </w:sdt>
    <w:p w14:paraId="058B6889" w14:textId="77777777" w:rsidR="00A925CB" w:rsidRDefault="00A925CB" w:rsidP="00D640FA">
      <w:pPr>
        <w:jc w:val="both"/>
      </w:pPr>
    </w:p>
    <w:sectPr w:rsidR="00A925CB" w:rsidSect="00524E51">
      <w:footerReference w:type="default" r:id="rId1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5F65ED" w14:textId="77777777" w:rsidR="00E41411" w:rsidRDefault="00E41411" w:rsidP="00E438BD">
      <w:pPr>
        <w:spacing w:after="0" w:line="240" w:lineRule="auto"/>
      </w:pPr>
      <w:r>
        <w:separator/>
      </w:r>
    </w:p>
  </w:endnote>
  <w:endnote w:type="continuationSeparator" w:id="0">
    <w:p w14:paraId="5712595B" w14:textId="77777777" w:rsidR="00E41411" w:rsidRDefault="00E41411" w:rsidP="00E43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2269891"/>
      <w:docPartObj>
        <w:docPartGallery w:val="Page Numbers (Bottom of Page)"/>
        <w:docPartUnique/>
      </w:docPartObj>
    </w:sdtPr>
    <w:sdtEndPr>
      <w:rPr>
        <w:color w:val="7F7F7F" w:themeColor="background1" w:themeShade="7F"/>
        <w:spacing w:val="60"/>
      </w:rPr>
    </w:sdtEndPr>
    <w:sdtContent>
      <w:p w14:paraId="7E0BF04D" w14:textId="6EEF4355" w:rsidR="001D6340" w:rsidRDefault="001D634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14558" w:rsidRPr="00514558">
          <w:rPr>
            <w:b/>
            <w:bCs/>
            <w:noProof/>
          </w:rPr>
          <w:t>1</w:t>
        </w:r>
        <w:r>
          <w:rPr>
            <w:b/>
            <w:bCs/>
            <w:noProof/>
          </w:rPr>
          <w:fldChar w:fldCharType="end"/>
        </w:r>
        <w:r>
          <w:rPr>
            <w:b/>
            <w:bCs/>
          </w:rPr>
          <w:t xml:space="preserve"> | </w:t>
        </w:r>
        <w:r>
          <w:rPr>
            <w:color w:val="7F7F7F" w:themeColor="background1" w:themeShade="7F"/>
            <w:spacing w:val="60"/>
          </w:rPr>
          <w:t>Page</w:t>
        </w:r>
      </w:p>
    </w:sdtContent>
  </w:sdt>
  <w:p w14:paraId="7B0DC9B7" w14:textId="77777777" w:rsidR="001D6340" w:rsidRDefault="001D63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14FB41" w14:textId="77777777" w:rsidR="00E41411" w:rsidRDefault="00E41411" w:rsidP="00E438BD">
      <w:pPr>
        <w:spacing w:after="0" w:line="240" w:lineRule="auto"/>
      </w:pPr>
      <w:r>
        <w:separator/>
      </w:r>
    </w:p>
  </w:footnote>
  <w:footnote w:type="continuationSeparator" w:id="0">
    <w:p w14:paraId="1B888437" w14:textId="77777777" w:rsidR="00E41411" w:rsidRDefault="00E41411" w:rsidP="00E438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411F6"/>
    <w:multiLevelType w:val="hybridMultilevel"/>
    <w:tmpl w:val="7B387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8C3C28"/>
    <w:multiLevelType w:val="hybridMultilevel"/>
    <w:tmpl w:val="0D3AB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05C"/>
    <w:rsid w:val="00004DD6"/>
    <w:rsid w:val="000137E2"/>
    <w:rsid w:val="0001444E"/>
    <w:rsid w:val="00015CAC"/>
    <w:rsid w:val="00016576"/>
    <w:rsid w:val="000259BB"/>
    <w:rsid w:val="00025BEE"/>
    <w:rsid w:val="000300F0"/>
    <w:rsid w:val="00031D53"/>
    <w:rsid w:val="0003234C"/>
    <w:rsid w:val="00034963"/>
    <w:rsid w:val="00043EEA"/>
    <w:rsid w:val="00045736"/>
    <w:rsid w:val="00054770"/>
    <w:rsid w:val="0007049A"/>
    <w:rsid w:val="00070705"/>
    <w:rsid w:val="00070FEE"/>
    <w:rsid w:val="00080629"/>
    <w:rsid w:val="00082C19"/>
    <w:rsid w:val="0008382A"/>
    <w:rsid w:val="00084C5E"/>
    <w:rsid w:val="000907C2"/>
    <w:rsid w:val="00091A35"/>
    <w:rsid w:val="0009547A"/>
    <w:rsid w:val="000A06AA"/>
    <w:rsid w:val="000A0BC6"/>
    <w:rsid w:val="000A3806"/>
    <w:rsid w:val="000B0DD6"/>
    <w:rsid w:val="000B3537"/>
    <w:rsid w:val="000B4BF9"/>
    <w:rsid w:val="000B695D"/>
    <w:rsid w:val="000C03D0"/>
    <w:rsid w:val="000C2326"/>
    <w:rsid w:val="000C55AA"/>
    <w:rsid w:val="000C7656"/>
    <w:rsid w:val="000D5285"/>
    <w:rsid w:val="000D6C5B"/>
    <w:rsid w:val="000E0CA7"/>
    <w:rsid w:val="000E3CA5"/>
    <w:rsid w:val="000F2005"/>
    <w:rsid w:val="000F59E8"/>
    <w:rsid w:val="0010004C"/>
    <w:rsid w:val="00101A0F"/>
    <w:rsid w:val="00102264"/>
    <w:rsid w:val="00102AC2"/>
    <w:rsid w:val="00102F2F"/>
    <w:rsid w:val="001136E1"/>
    <w:rsid w:val="001150C2"/>
    <w:rsid w:val="00117F69"/>
    <w:rsid w:val="00120A1B"/>
    <w:rsid w:val="00123174"/>
    <w:rsid w:val="00124660"/>
    <w:rsid w:val="001248A2"/>
    <w:rsid w:val="00125512"/>
    <w:rsid w:val="00132329"/>
    <w:rsid w:val="00133FCC"/>
    <w:rsid w:val="0014081B"/>
    <w:rsid w:val="0014130A"/>
    <w:rsid w:val="0014240C"/>
    <w:rsid w:val="001425A2"/>
    <w:rsid w:val="00142766"/>
    <w:rsid w:val="001500BF"/>
    <w:rsid w:val="00152A74"/>
    <w:rsid w:val="001530F4"/>
    <w:rsid w:val="00155D18"/>
    <w:rsid w:val="00156116"/>
    <w:rsid w:val="00163594"/>
    <w:rsid w:val="0016723D"/>
    <w:rsid w:val="001816E4"/>
    <w:rsid w:val="00185B48"/>
    <w:rsid w:val="00194A62"/>
    <w:rsid w:val="001964E1"/>
    <w:rsid w:val="00197465"/>
    <w:rsid w:val="001976CE"/>
    <w:rsid w:val="001A2646"/>
    <w:rsid w:val="001A5B68"/>
    <w:rsid w:val="001C24B9"/>
    <w:rsid w:val="001D0BA3"/>
    <w:rsid w:val="001D16E0"/>
    <w:rsid w:val="001D442A"/>
    <w:rsid w:val="001D4D38"/>
    <w:rsid w:val="001D6340"/>
    <w:rsid w:val="001D720A"/>
    <w:rsid w:val="001E51E6"/>
    <w:rsid w:val="001F3091"/>
    <w:rsid w:val="002041CA"/>
    <w:rsid w:val="002104E3"/>
    <w:rsid w:val="00210CAC"/>
    <w:rsid w:val="002114DA"/>
    <w:rsid w:val="00213491"/>
    <w:rsid w:val="0022435B"/>
    <w:rsid w:val="00243813"/>
    <w:rsid w:val="00245238"/>
    <w:rsid w:val="00245912"/>
    <w:rsid w:val="00246FA9"/>
    <w:rsid w:val="002524E5"/>
    <w:rsid w:val="0025487D"/>
    <w:rsid w:val="00256C8D"/>
    <w:rsid w:val="00260546"/>
    <w:rsid w:val="00261E8C"/>
    <w:rsid w:val="00262BD1"/>
    <w:rsid w:val="002710B3"/>
    <w:rsid w:val="00271E31"/>
    <w:rsid w:val="00292E36"/>
    <w:rsid w:val="002A52EA"/>
    <w:rsid w:val="002B1C13"/>
    <w:rsid w:val="002B55A1"/>
    <w:rsid w:val="002C347E"/>
    <w:rsid w:val="002C34CE"/>
    <w:rsid w:val="002C411B"/>
    <w:rsid w:val="002D0AA0"/>
    <w:rsid w:val="002D216B"/>
    <w:rsid w:val="002D5D3B"/>
    <w:rsid w:val="002D6895"/>
    <w:rsid w:val="002D71C4"/>
    <w:rsid w:val="002E0C51"/>
    <w:rsid w:val="002E27BB"/>
    <w:rsid w:val="002F0214"/>
    <w:rsid w:val="002F191D"/>
    <w:rsid w:val="002F25BE"/>
    <w:rsid w:val="002F3657"/>
    <w:rsid w:val="00306754"/>
    <w:rsid w:val="00307E76"/>
    <w:rsid w:val="00315A86"/>
    <w:rsid w:val="00316877"/>
    <w:rsid w:val="0032667A"/>
    <w:rsid w:val="00336B96"/>
    <w:rsid w:val="00343761"/>
    <w:rsid w:val="003438EA"/>
    <w:rsid w:val="003447F7"/>
    <w:rsid w:val="003451C2"/>
    <w:rsid w:val="003506A4"/>
    <w:rsid w:val="00350E06"/>
    <w:rsid w:val="00351EAE"/>
    <w:rsid w:val="00352BFD"/>
    <w:rsid w:val="0035745F"/>
    <w:rsid w:val="00357846"/>
    <w:rsid w:val="00386B2D"/>
    <w:rsid w:val="00387AB8"/>
    <w:rsid w:val="003900C9"/>
    <w:rsid w:val="00391E95"/>
    <w:rsid w:val="00397765"/>
    <w:rsid w:val="003A06F8"/>
    <w:rsid w:val="003A1CB3"/>
    <w:rsid w:val="003A4932"/>
    <w:rsid w:val="003A52EF"/>
    <w:rsid w:val="003B046A"/>
    <w:rsid w:val="003B07E3"/>
    <w:rsid w:val="003B2E15"/>
    <w:rsid w:val="003B3D78"/>
    <w:rsid w:val="003B4328"/>
    <w:rsid w:val="003B6823"/>
    <w:rsid w:val="003C0222"/>
    <w:rsid w:val="003C0CD0"/>
    <w:rsid w:val="003C3C1F"/>
    <w:rsid w:val="003D39B5"/>
    <w:rsid w:val="003D6051"/>
    <w:rsid w:val="003E0E34"/>
    <w:rsid w:val="003F0EBE"/>
    <w:rsid w:val="003F3627"/>
    <w:rsid w:val="003F4C7B"/>
    <w:rsid w:val="00403D20"/>
    <w:rsid w:val="00405FAA"/>
    <w:rsid w:val="0040792A"/>
    <w:rsid w:val="004131AC"/>
    <w:rsid w:val="00413202"/>
    <w:rsid w:val="00413220"/>
    <w:rsid w:val="004155E1"/>
    <w:rsid w:val="00416292"/>
    <w:rsid w:val="00417531"/>
    <w:rsid w:val="00422913"/>
    <w:rsid w:val="004460B6"/>
    <w:rsid w:val="004463A4"/>
    <w:rsid w:val="004501EC"/>
    <w:rsid w:val="0045109A"/>
    <w:rsid w:val="00457FAC"/>
    <w:rsid w:val="00463E14"/>
    <w:rsid w:val="00470124"/>
    <w:rsid w:val="00472868"/>
    <w:rsid w:val="00477133"/>
    <w:rsid w:val="004827A6"/>
    <w:rsid w:val="00490792"/>
    <w:rsid w:val="004916FB"/>
    <w:rsid w:val="00492E96"/>
    <w:rsid w:val="0049438E"/>
    <w:rsid w:val="004A08BC"/>
    <w:rsid w:val="004A140B"/>
    <w:rsid w:val="004A29FF"/>
    <w:rsid w:val="004A3550"/>
    <w:rsid w:val="004B1070"/>
    <w:rsid w:val="004B1DC3"/>
    <w:rsid w:val="004B4E90"/>
    <w:rsid w:val="004B57A6"/>
    <w:rsid w:val="004B63E4"/>
    <w:rsid w:val="004B72D3"/>
    <w:rsid w:val="004B77AF"/>
    <w:rsid w:val="004C010A"/>
    <w:rsid w:val="004C4E6B"/>
    <w:rsid w:val="004C5131"/>
    <w:rsid w:val="004E0287"/>
    <w:rsid w:val="004E3BBA"/>
    <w:rsid w:val="004E5E30"/>
    <w:rsid w:val="004E7A48"/>
    <w:rsid w:val="004F1540"/>
    <w:rsid w:val="004F2164"/>
    <w:rsid w:val="004F6FD1"/>
    <w:rsid w:val="0050489E"/>
    <w:rsid w:val="005065BF"/>
    <w:rsid w:val="00513B5F"/>
    <w:rsid w:val="00514558"/>
    <w:rsid w:val="0052187C"/>
    <w:rsid w:val="005234F4"/>
    <w:rsid w:val="0052362A"/>
    <w:rsid w:val="00524E51"/>
    <w:rsid w:val="00540EBD"/>
    <w:rsid w:val="00542D59"/>
    <w:rsid w:val="00542FA5"/>
    <w:rsid w:val="00543E56"/>
    <w:rsid w:val="00547FC0"/>
    <w:rsid w:val="00550522"/>
    <w:rsid w:val="005515A7"/>
    <w:rsid w:val="005534DF"/>
    <w:rsid w:val="00556B45"/>
    <w:rsid w:val="00560539"/>
    <w:rsid w:val="00562032"/>
    <w:rsid w:val="00571D94"/>
    <w:rsid w:val="00573F16"/>
    <w:rsid w:val="00575BA9"/>
    <w:rsid w:val="005824AD"/>
    <w:rsid w:val="00582F14"/>
    <w:rsid w:val="005843D7"/>
    <w:rsid w:val="00592B8F"/>
    <w:rsid w:val="005940BB"/>
    <w:rsid w:val="005A0C06"/>
    <w:rsid w:val="005B0FDF"/>
    <w:rsid w:val="005B2346"/>
    <w:rsid w:val="005B55DE"/>
    <w:rsid w:val="005C0089"/>
    <w:rsid w:val="005C0546"/>
    <w:rsid w:val="005C58E0"/>
    <w:rsid w:val="005C7A28"/>
    <w:rsid w:val="005D4F9B"/>
    <w:rsid w:val="005E679F"/>
    <w:rsid w:val="005F4A78"/>
    <w:rsid w:val="005F53D7"/>
    <w:rsid w:val="006120B3"/>
    <w:rsid w:val="006145BE"/>
    <w:rsid w:val="00615977"/>
    <w:rsid w:val="00616A49"/>
    <w:rsid w:val="00624AC9"/>
    <w:rsid w:val="0062703A"/>
    <w:rsid w:val="00633A15"/>
    <w:rsid w:val="006340E2"/>
    <w:rsid w:val="00634C01"/>
    <w:rsid w:val="006414A1"/>
    <w:rsid w:val="006442CE"/>
    <w:rsid w:val="006500AF"/>
    <w:rsid w:val="0065121D"/>
    <w:rsid w:val="00652633"/>
    <w:rsid w:val="006528EC"/>
    <w:rsid w:val="00652EE6"/>
    <w:rsid w:val="00663030"/>
    <w:rsid w:val="00672491"/>
    <w:rsid w:val="0067308F"/>
    <w:rsid w:val="00674EC1"/>
    <w:rsid w:val="00682308"/>
    <w:rsid w:val="00682D1F"/>
    <w:rsid w:val="0069057C"/>
    <w:rsid w:val="00691B38"/>
    <w:rsid w:val="006965A7"/>
    <w:rsid w:val="006A0C64"/>
    <w:rsid w:val="006A14E1"/>
    <w:rsid w:val="006A4D06"/>
    <w:rsid w:val="006B2060"/>
    <w:rsid w:val="006B5678"/>
    <w:rsid w:val="006C1505"/>
    <w:rsid w:val="006C7F3E"/>
    <w:rsid w:val="006D0C27"/>
    <w:rsid w:val="006D3520"/>
    <w:rsid w:val="006D4672"/>
    <w:rsid w:val="006D551C"/>
    <w:rsid w:val="006E0622"/>
    <w:rsid w:val="006E0C63"/>
    <w:rsid w:val="006E1E10"/>
    <w:rsid w:val="006E2C5A"/>
    <w:rsid w:val="006E7336"/>
    <w:rsid w:val="006F0769"/>
    <w:rsid w:val="006F7CB3"/>
    <w:rsid w:val="00700250"/>
    <w:rsid w:val="00705319"/>
    <w:rsid w:val="007109FA"/>
    <w:rsid w:val="00714A6F"/>
    <w:rsid w:val="00714D6C"/>
    <w:rsid w:val="0072235F"/>
    <w:rsid w:val="00722F1C"/>
    <w:rsid w:val="007267D7"/>
    <w:rsid w:val="0072695D"/>
    <w:rsid w:val="007308AE"/>
    <w:rsid w:val="0073197B"/>
    <w:rsid w:val="007332E4"/>
    <w:rsid w:val="00736AC5"/>
    <w:rsid w:val="0073704F"/>
    <w:rsid w:val="00737778"/>
    <w:rsid w:val="00740E0A"/>
    <w:rsid w:val="00750562"/>
    <w:rsid w:val="007507C3"/>
    <w:rsid w:val="007538CA"/>
    <w:rsid w:val="00755643"/>
    <w:rsid w:val="00756D67"/>
    <w:rsid w:val="007575CD"/>
    <w:rsid w:val="00764BE7"/>
    <w:rsid w:val="007719AB"/>
    <w:rsid w:val="00771ADA"/>
    <w:rsid w:val="00774148"/>
    <w:rsid w:val="00780EF0"/>
    <w:rsid w:val="007929B8"/>
    <w:rsid w:val="0079403E"/>
    <w:rsid w:val="00794500"/>
    <w:rsid w:val="007A695B"/>
    <w:rsid w:val="007B0D4E"/>
    <w:rsid w:val="007B2E59"/>
    <w:rsid w:val="007C33B2"/>
    <w:rsid w:val="007C3F1E"/>
    <w:rsid w:val="007C7EF2"/>
    <w:rsid w:val="007C7FA9"/>
    <w:rsid w:val="007D2817"/>
    <w:rsid w:val="007D2B90"/>
    <w:rsid w:val="007E1CC0"/>
    <w:rsid w:val="007F2548"/>
    <w:rsid w:val="007F31D3"/>
    <w:rsid w:val="007F3A57"/>
    <w:rsid w:val="007F4203"/>
    <w:rsid w:val="007F496D"/>
    <w:rsid w:val="007F5DBE"/>
    <w:rsid w:val="007F7A5A"/>
    <w:rsid w:val="00803A0B"/>
    <w:rsid w:val="00815028"/>
    <w:rsid w:val="008241BE"/>
    <w:rsid w:val="0082678D"/>
    <w:rsid w:val="00833C39"/>
    <w:rsid w:val="008376D9"/>
    <w:rsid w:val="00843C96"/>
    <w:rsid w:val="008516B4"/>
    <w:rsid w:val="0085553B"/>
    <w:rsid w:val="008576A9"/>
    <w:rsid w:val="00860830"/>
    <w:rsid w:val="00860CC8"/>
    <w:rsid w:val="0086175C"/>
    <w:rsid w:val="008648D4"/>
    <w:rsid w:val="00865163"/>
    <w:rsid w:val="0086610A"/>
    <w:rsid w:val="00882BF8"/>
    <w:rsid w:val="0088552D"/>
    <w:rsid w:val="008939EA"/>
    <w:rsid w:val="0089608C"/>
    <w:rsid w:val="008A66D8"/>
    <w:rsid w:val="008A7EB1"/>
    <w:rsid w:val="008B129B"/>
    <w:rsid w:val="008B2368"/>
    <w:rsid w:val="008D4BE2"/>
    <w:rsid w:val="008D766B"/>
    <w:rsid w:val="008E02D6"/>
    <w:rsid w:val="008E1368"/>
    <w:rsid w:val="008E3D9F"/>
    <w:rsid w:val="008E66E7"/>
    <w:rsid w:val="008F1B4D"/>
    <w:rsid w:val="008F51AE"/>
    <w:rsid w:val="008F76AE"/>
    <w:rsid w:val="009012D0"/>
    <w:rsid w:val="009040C1"/>
    <w:rsid w:val="00905F53"/>
    <w:rsid w:val="00910FDB"/>
    <w:rsid w:val="009119EA"/>
    <w:rsid w:val="00917B71"/>
    <w:rsid w:val="00925C14"/>
    <w:rsid w:val="00926FCD"/>
    <w:rsid w:val="00930E8C"/>
    <w:rsid w:val="009311D3"/>
    <w:rsid w:val="00933D9E"/>
    <w:rsid w:val="009352A2"/>
    <w:rsid w:val="00935660"/>
    <w:rsid w:val="00940FB3"/>
    <w:rsid w:val="0094381A"/>
    <w:rsid w:val="00955C83"/>
    <w:rsid w:val="00957B5C"/>
    <w:rsid w:val="009633A0"/>
    <w:rsid w:val="009666F6"/>
    <w:rsid w:val="009803BB"/>
    <w:rsid w:val="009827C5"/>
    <w:rsid w:val="00983FCB"/>
    <w:rsid w:val="00987B2A"/>
    <w:rsid w:val="00991FFC"/>
    <w:rsid w:val="009A410B"/>
    <w:rsid w:val="009B15E0"/>
    <w:rsid w:val="009B2803"/>
    <w:rsid w:val="009C0958"/>
    <w:rsid w:val="009C11BA"/>
    <w:rsid w:val="009C685E"/>
    <w:rsid w:val="009D0443"/>
    <w:rsid w:val="009D23C4"/>
    <w:rsid w:val="009E066A"/>
    <w:rsid w:val="009E0990"/>
    <w:rsid w:val="009E0D36"/>
    <w:rsid w:val="009E5FC5"/>
    <w:rsid w:val="009F2098"/>
    <w:rsid w:val="009F2D30"/>
    <w:rsid w:val="00A00040"/>
    <w:rsid w:val="00A03283"/>
    <w:rsid w:val="00A05A17"/>
    <w:rsid w:val="00A07B23"/>
    <w:rsid w:val="00A108FA"/>
    <w:rsid w:val="00A12022"/>
    <w:rsid w:val="00A1664B"/>
    <w:rsid w:val="00A2697C"/>
    <w:rsid w:val="00A27F61"/>
    <w:rsid w:val="00A31DB2"/>
    <w:rsid w:val="00A3221F"/>
    <w:rsid w:val="00A33535"/>
    <w:rsid w:val="00A337D2"/>
    <w:rsid w:val="00A37FEE"/>
    <w:rsid w:val="00A4191C"/>
    <w:rsid w:val="00A53D12"/>
    <w:rsid w:val="00A559C8"/>
    <w:rsid w:val="00A57784"/>
    <w:rsid w:val="00A63C90"/>
    <w:rsid w:val="00A65336"/>
    <w:rsid w:val="00A66197"/>
    <w:rsid w:val="00A66647"/>
    <w:rsid w:val="00A70070"/>
    <w:rsid w:val="00A7117F"/>
    <w:rsid w:val="00A7372B"/>
    <w:rsid w:val="00A925CB"/>
    <w:rsid w:val="00A92817"/>
    <w:rsid w:val="00A94AA9"/>
    <w:rsid w:val="00AA2EB6"/>
    <w:rsid w:val="00AA47CD"/>
    <w:rsid w:val="00AA4B66"/>
    <w:rsid w:val="00AA55CA"/>
    <w:rsid w:val="00AA5F8F"/>
    <w:rsid w:val="00AA74ED"/>
    <w:rsid w:val="00AB0F00"/>
    <w:rsid w:val="00AB33D9"/>
    <w:rsid w:val="00AB3D91"/>
    <w:rsid w:val="00AB4E19"/>
    <w:rsid w:val="00AC1350"/>
    <w:rsid w:val="00AD1693"/>
    <w:rsid w:val="00AD4C1D"/>
    <w:rsid w:val="00AE2AD4"/>
    <w:rsid w:val="00AF27F8"/>
    <w:rsid w:val="00B20305"/>
    <w:rsid w:val="00B222CF"/>
    <w:rsid w:val="00B25491"/>
    <w:rsid w:val="00B33E0F"/>
    <w:rsid w:val="00B35010"/>
    <w:rsid w:val="00B425D1"/>
    <w:rsid w:val="00B44DAA"/>
    <w:rsid w:val="00B45029"/>
    <w:rsid w:val="00B4703C"/>
    <w:rsid w:val="00B474A5"/>
    <w:rsid w:val="00B52B6C"/>
    <w:rsid w:val="00B546C5"/>
    <w:rsid w:val="00B573D5"/>
    <w:rsid w:val="00B6729C"/>
    <w:rsid w:val="00B75B1A"/>
    <w:rsid w:val="00B76B2D"/>
    <w:rsid w:val="00B76F99"/>
    <w:rsid w:val="00B830D4"/>
    <w:rsid w:val="00B83A82"/>
    <w:rsid w:val="00B87C6F"/>
    <w:rsid w:val="00B91FFD"/>
    <w:rsid w:val="00BA3824"/>
    <w:rsid w:val="00BA431D"/>
    <w:rsid w:val="00BA47DF"/>
    <w:rsid w:val="00BB0544"/>
    <w:rsid w:val="00BC0B15"/>
    <w:rsid w:val="00BC1EF5"/>
    <w:rsid w:val="00BC3FD6"/>
    <w:rsid w:val="00BC7C3D"/>
    <w:rsid w:val="00BD3E4E"/>
    <w:rsid w:val="00BD4624"/>
    <w:rsid w:val="00BD7E45"/>
    <w:rsid w:val="00BE5553"/>
    <w:rsid w:val="00BF6721"/>
    <w:rsid w:val="00BF743D"/>
    <w:rsid w:val="00BF75AC"/>
    <w:rsid w:val="00C01B3D"/>
    <w:rsid w:val="00C031ED"/>
    <w:rsid w:val="00C03E72"/>
    <w:rsid w:val="00C058AD"/>
    <w:rsid w:val="00C06759"/>
    <w:rsid w:val="00C10DD6"/>
    <w:rsid w:val="00C11022"/>
    <w:rsid w:val="00C158B9"/>
    <w:rsid w:val="00C20B6D"/>
    <w:rsid w:val="00C2516B"/>
    <w:rsid w:val="00C3020D"/>
    <w:rsid w:val="00C37CF8"/>
    <w:rsid w:val="00C47C72"/>
    <w:rsid w:val="00C546AA"/>
    <w:rsid w:val="00C65462"/>
    <w:rsid w:val="00C75C1A"/>
    <w:rsid w:val="00C84A60"/>
    <w:rsid w:val="00C91CBD"/>
    <w:rsid w:val="00C971DB"/>
    <w:rsid w:val="00CA465A"/>
    <w:rsid w:val="00CA4760"/>
    <w:rsid w:val="00CA5B47"/>
    <w:rsid w:val="00CB57AA"/>
    <w:rsid w:val="00CC15E3"/>
    <w:rsid w:val="00CC392D"/>
    <w:rsid w:val="00CC414F"/>
    <w:rsid w:val="00CD1AB5"/>
    <w:rsid w:val="00CD6FF7"/>
    <w:rsid w:val="00CE151F"/>
    <w:rsid w:val="00CE1916"/>
    <w:rsid w:val="00CE7A04"/>
    <w:rsid w:val="00CF2DE7"/>
    <w:rsid w:val="00CF43FB"/>
    <w:rsid w:val="00D01223"/>
    <w:rsid w:val="00D01B07"/>
    <w:rsid w:val="00D01E46"/>
    <w:rsid w:val="00D05F2C"/>
    <w:rsid w:val="00D07429"/>
    <w:rsid w:val="00D07C76"/>
    <w:rsid w:val="00D100E3"/>
    <w:rsid w:val="00D10310"/>
    <w:rsid w:val="00D1456F"/>
    <w:rsid w:val="00D20AC0"/>
    <w:rsid w:val="00D221AE"/>
    <w:rsid w:val="00D2737C"/>
    <w:rsid w:val="00D27F82"/>
    <w:rsid w:val="00D335C4"/>
    <w:rsid w:val="00D40092"/>
    <w:rsid w:val="00D42453"/>
    <w:rsid w:val="00D508D3"/>
    <w:rsid w:val="00D55E2F"/>
    <w:rsid w:val="00D60F87"/>
    <w:rsid w:val="00D640FA"/>
    <w:rsid w:val="00D6435D"/>
    <w:rsid w:val="00D64E66"/>
    <w:rsid w:val="00D655CC"/>
    <w:rsid w:val="00D663DB"/>
    <w:rsid w:val="00D73FC0"/>
    <w:rsid w:val="00D90566"/>
    <w:rsid w:val="00D91613"/>
    <w:rsid w:val="00DC1FDC"/>
    <w:rsid w:val="00DC5000"/>
    <w:rsid w:val="00DD15AE"/>
    <w:rsid w:val="00DE3674"/>
    <w:rsid w:val="00E07642"/>
    <w:rsid w:val="00E105DA"/>
    <w:rsid w:val="00E166FC"/>
    <w:rsid w:val="00E16FAB"/>
    <w:rsid w:val="00E176F1"/>
    <w:rsid w:val="00E20903"/>
    <w:rsid w:val="00E214C3"/>
    <w:rsid w:val="00E2212C"/>
    <w:rsid w:val="00E273AC"/>
    <w:rsid w:val="00E30579"/>
    <w:rsid w:val="00E31202"/>
    <w:rsid w:val="00E31E47"/>
    <w:rsid w:val="00E41411"/>
    <w:rsid w:val="00E43811"/>
    <w:rsid w:val="00E438BD"/>
    <w:rsid w:val="00E45095"/>
    <w:rsid w:val="00E530C2"/>
    <w:rsid w:val="00E54229"/>
    <w:rsid w:val="00E54FDA"/>
    <w:rsid w:val="00E550F9"/>
    <w:rsid w:val="00E56114"/>
    <w:rsid w:val="00E62C00"/>
    <w:rsid w:val="00E66375"/>
    <w:rsid w:val="00E67FA4"/>
    <w:rsid w:val="00E7305C"/>
    <w:rsid w:val="00E7542A"/>
    <w:rsid w:val="00E7769C"/>
    <w:rsid w:val="00E85AEA"/>
    <w:rsid w:val="00E930BD"/>
    <w:rsid w:val="00E96263"/>
    <w:rsid w:val="00E97545"/>
    <w:rsid w:val="00EA08C1"/>
    <w:rsid w:val="00EA2FC0"/>
    <w:rsid w:val="00EA4259"/>
    <w:rsid w:val="00EA4D5C"/>
    <w:rsid w:val="00EA7922"/>
    <w:rsid w:val="00EB363C"/>
    <w:rsid w:val="00EB379E"/>
    <w:rsid w:val="00EB4C02"/>
    <w:rsid w:val="00EB57E6"/>
    <w:rsid w:val="00EB72D4"/>
    <w:rsid w:val="00EC1E24"/>
    <w:rsid w:val="00EC2A11"/>
    <w:rsid w:val="00EC3F27"/>
    <w:rsid w:val="00EC6014"/>
    <w:rsid w:val="00EC70B6"/>
    <w:rsid w:val="00ED1D2B"/>
    <w:rsid w:val="00ED3801"/>
    <w:rsid w:val="00EE2333"/>
    <w:rsid w:val="00EE41EC"/>
    <w:rsid w:val="00EE67A5"/>
    <w:rsid w:val="00EE6CE0"/>
    <w:rsid w:val="00EF0DCE"/>
    <w:rsid w:val="00EF33D5"/>
    <w:rsid w:val="00EF3B11"/>
    <w:rsid w:val="00EF3D1C"/>
    <w:rsid w:val="00EF4196"/>
    <w:rsid w:val="00F009C7"/>
    <w:rsid w:val="00F14238"/>
    <w:rsid w:val="00F16C36"/>
    <w:rsid w:val="00F244E0"/>
    <w:rsid w:val="00F26E1F"/>
    <w:rsid w:val="00F333E5"/>
    <w:rsid w:val="00F34C16"/>
    <w:rsid w:val="00F34D9F"/>
    <w:rsid w:val="00F35E17"/>
    <w:rsid w:val="00F41062"/>
    <w:rsid w:val="00F4541C"/>
    <w:rsid w:val="00F46B7B"/>
    <w:rsid w:val="00F71F24"/>
    <w:rsid w:val="00F81259"/>
    <w:rsid w:val="00F81808"/>
    <w:rsid w:val="00F835AB"/>
    <w:rsid w:val="00FA461E"/>
    <w:rsid w:val="00FA5278"/>
    <w:rsid w:val="00FA6C4C"/>
    <w:rsid w:val="00FB01F8"/>
    <w:rsid w:val="00FB2E04"/>
    <w:rsid w:val="00FB3416"/>
    <w:rsid w:val="00FC0AA1"/>
    <w:rsid w:val="00FC13B0"/>
    <w:rsid w:val="00FC1466"/>
    <w:rsid w:val="00FC7C13"/>
    <w:rsid w:val="00FD2CDE"/>
    <w:rsid w:val="00FD44E1"/>
    <w:rsid w:val="00FE03DB"/>
    <w:rsid w:val="00FE0761"/>
    <w:rsid w:val="00FE1760"/>
    <w:rsid w:val="00FE4E41"/>
    <w:rsid w:val="00FF049F"/>
    <w:rsid w:val="00FF410A"/>
    <w:rsid w:val="00FF5BBD"/>
    <w:rsid w:val="00FF618A"/>
    <w:rsid w:val="00FF6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D3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91A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0D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61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4E51"/>
    <w:pPr>
      <w:spacing w:after="0" w:line="240" w:lineRule="auto"/>
    </w:pPr>
    <w:rPr>
      <w:rFonts w:eastAsiaTheme="minorEastAsia"/>
    </w:rPr>
  </w:style>
  <w:style w:type="character" w:customStyle="1" w:styleId="NoSpacingChar">
    <w:name w:val="No Spacing Char"/>
    <w:basedOn w:val="DefaultParagraphFont"/>
    <w:link w:val="NoSpacing"/>
    <w:uiPriority w:val="1"/>
    <w:rsid w:val="00524E51"/>
    <w:rPr>
      <w:rFonts w:eastAsiaTheme="minorEastAsia"/>
    </w:rPr>
  </w:style>
  <w:style w:type="character" w:customStyle="1" w:styleId="Heading1Char">
    <w:name w:val="Heading 1 Char"/>
    <w:basedOn w:val="DefaultParagraphFont"/>
    <w:link w:val="Heading1"/>
    <w:uiPriority w:val="9"/>
    <w:rsid w:val="00091A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0D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6610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976CE"/>
    <w:pPr>
      <w:ind w:left="720"/>
      <w:contextualSpacing/>
    </w:pPr>
  </w:style>
  <w:style w:type="paragraph" w:styleId="BalloonText">
    <w:name w:val="Balloon Text"/>
    <w:basedOn w:val="Normal"/>
    <w:link w:val="BalloonTextChar"/>
    <w:uiPriority w:val="99"/>
    <w:semiHidden/>
    <w:unhideWhenUsed/>
    <w:rsid w:val="00C031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1ED"/>
    <w:rPr>
      <w:rFonts w:ascii="Segoe UI" w:hAnsi="Segoe UI" w:cs="Segoe UI"/>
      <w:sz w:val="18"/>
      <w:szCs w:val="18"/>
    </w:rPr>
  </w:style>
  <w:style w:type="paragraph" w:styleId="Header">
    <w:name w:val="header"/>
    <w:basedOn w:val="Normal"/>
    <w:link w:val="HeaderChar"/>
    <w:uiPriority w:val="99"/>
    <w:unhideWhenUsed/>
    <w:rsid w:val="00E438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38BD"/>
  </w:style>
  <w:style w:type="paragraph" w:styleId="Footer">
    <w:name w:val="footer"/>
    <w:basedOn w:val="Normal"/>
    <w:link w:val="FooterChar"/>
    <w:uiPriority w:val="99"/>
    <w:unhideWhenUsed/>
    <w:rsid w:val="00E438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38BD"/>
  </w:style>
  <w:style w:type="paragraph" w:styleId="Caption">
    <w:name w:val="caption"/>
    <w:basedOn w:val="Normal"/>
    <w:next w:val="Normal"/>
    <w:uiPriority w:val="35"/>
    <w:unhideWhenUsed/>
    <w:qFormat/>
    <w:rsid w:val="004A140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925CB"/>
  </w:style>
  <w:style w:type="paragraph" w:styleId="TOCHeading">
    <w:name w:val="TOC Heading"/>
    <w:basedOn w:val="Heading1"/>
    <w:next w:val="Normal"/>
    <w:uiPriority w:val="39"/>
    <w:unhideWhenUsed/>
    <w:qFormat/>
    <w:rsid w:val="001D6340"/>
    <w:pPr>
      <w:outlineLvl w:val="9"/>
    </w:pPr>
  </w:style>
  <w:style w:type="paragraph" w:styleId="TOC1">
    <w:name w:val="toc 1"/>
    <w:basedOn w:val="Normal"/>
    <w:next w:val="Normal"/>
    <w:autoRedefine/>
    <w:uiPriority w:val="39"/>
    <w:unhideWhenUsed/>
    <w:rsid w:val="001D6340"/>
    <w:pPr>
      <w:spacing w:after="100"/>
    </w:pPr>
  </w:style>
  <w:style w:type="paragraph" w:styleId="TOC2">
    <w:name w:val="toc 2"/>
    <w:basedOn w:val="Normal"/>
    <w:next w:val="Normal"/>
    <w:autoRedefine/>
    <w:uiPriority w:val="39"/>
    <w:unhideWhenUsed/>
    <w:rsid w:val="001D6340"/>
    <w:pPr>
      <w:spacing w:after="100"/>
      <w:ind w:left="220"/>
    </w:pPr>
  </w:style>
  <w:style w:type="paragraph" w:styleId="TOC3">
    <w:name w:val="toc 3"/>
    <w:basedOn w:val="Normal"/>
    <w:next w:val="Normal"/>
    <w:autoRedefine/>
    <w:uiPriority w:val="39"/>
    <w:unhideWhenUsed/>
    <w:rsid w:val="001D6340"/>
    <w:pPr>
      <w:spacing w:after="100"/>
      <w:ind w:left="440"/>
    </w:pPr>
  </w:style>
  <w:style w:type="character" w:styleId="Hyperlink">
    <w:name w:val="Hyperlink"/>
    <w:basedOn w:val="DefaultParagraphFont"/>
    <w:uiPriority w:val="99"/>
    <w:unhideWhenUsed/>
    <w:rsid w:val="001D634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91A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0D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61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4E51"/>
    <w:pPr>
      <w:spacing w:after="0" w:line="240" w:lineRule="auto"/>
    </w:pPr>
    <w:rPr>
      <w:rFonts w:eastAsiaTheme="minorEastAsia"/>
    </w:rPr>
  </w:style>
  <w:style w:type="character" w:customStyle="1" w:styleId="NoSpacingChar">
    <w:name w:val="No Spacing Char"/>
    <w:basedOn w:val="DefaultParagraphFont"/>
    <w:link w:val="NoSpacing"/>
    <w:uiPriority w:val="1"/>
    <w:rsid w:val="00524E51"/>
    <w:rPr>
      <w:rFonts w:eastAsiaTheme="minorEastAsia"/>
    </w:rPr>
  </w:style>
  <w:style w:type="character" w:customStyle="1" w:styleId="Heading1Char">
    <w:name w:val="Heading 1 Char"/>
    <w:basedOn w:val="DefaultParagraphFont"/>
    <w:link w:val="Heading1"/>
    <w:uiPriority w:val="9"/>
    <w:rsid w:val="00091A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0D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6610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976CE"/>
    <w:pPr>
      <w:ind w:left="720"/>
      <w:contextualSpacing/>
    </w:pPr>
  </w:style>
  <w:style w:type="paragraph" w:styleId="BalloonText">
    <w:name w:val="Balloon Text"/>
    <w:basedOn w:val="Normal"/>
    <w:link w:val="BalloonTextChar"/>
    <w:uiPriority w:val="99"/>
    <w:semiHidden/>
    <w:unhideWhenUsed/>
    <w:rsid w:val="00C031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1ED"/>
    <w:rPr>
      <w:rFonts w:ascii="Segoe UI" w:hAnsi="Segoe UI" w:cs="Segoe UI"/>
      <w:sz w:val="18"/>
      <w:szCs w:val="18"/>
    </w:rPr>
  </w:style>
  <w:style w:type="paragraph" w:styleId="Header">
    <w:name w:val="header"/>
    <w:basedOn w:val="Normal"/>
    <w:link w:val="HeaderChar"/>
    <w:uiPriority w:val="99"/>
    <w:unhideWhenUsed/>
    <w:rsid w:val="00E438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38BD"/>
  </w:style>
  <w:style w:type="paragraph" w:styleId="Footer">
    <w:name w:val="footer"/>
    <w:basedOn w:val="Normal"/>
    <w:link w:val="FooterChar"/>
    <w:uiPriority w:val="99"/>
    <w:unhideWhenUsed/>
    <w:rsid w:val="00E438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38BD"/>
  </w:style>
  <w:style w:type="paragraph" w:styleId="Caption">
    <w:name w:val="caption"/>
    <w:basedOn w:val="Normal"/>
    <w:next w:val="Normal"/>
    <w:uiPriority w:val="35"/>
    <w:unhideWhenUsed/>
    <w:qFormat/>
    <w:rsid w:val="004A140B"/>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925CB"/>
  </w:style>
  <w:style w:type="paragraph" w:styleId="TOCHeading">
    <w:name w:val="TOC Heading"/>
    <w:basedOn w:val="Heading1"/>
    <w:next w:val="Normal"/>
    <w:uiPriority w:val="39"/>
    <w:unhideWhenUsed/>
    <w:qFormat/>
    <w:rsid w:val="001D6340"/>
    <w:pPr>
      <w:outlineLvl w:val="9"/>
    </w:pPr>
  </w:style>
  <w:style w:type="paragraph" w:styleId="TOC1">
    <w:name w:val="toc 1"/>
    <w:basedOn w:val="Normal"/>
    <w:next w:val="Normal"/>
    <w:autoRedefine/>
    <w:uiPriority w:val="39"/>
    <w:unhideWhenUsed/>
    <w:rsid w:val="001D6340"/>
    <w:pPr>
      <w:spacing w:after="100"/>
    </w:pPr>
  </w:style>
  <w:style w:type="paragraph" w:styleId="TOC2">
    <w:name w:val="toc 2"/>
    <w:basedOn w:val="Normal"/>
    <w:next w:val="Normal"/>
    <w:autoRedefine/>
    <w:uiPriority w:val="39"/>
    <w:unhideWhenUsed/>
    <w:rsid w:val="001D6340"/>
    <w:pPr>
      <w:spacing w:after="100"/>
      <w:ind w:left="220"/>
    </w:pPr>
  </w:style>
  <w:style w:type="paragraph" w:styleId="TOC3">
    <w:name w:val="toc 3"/>
    <w:basedOn w:val="Normal"/>
    <w:next w:val="Normal"/>
    <w:autoRedefine/>
    <w:uiPriority w:val="39"/>
    <w:unhideWhenUsed/>
    <w:rsid w:val="001D6340"/>
    <w:pPr>
      <w:spacing w:after="100"/>
      <w:ind w:left="440"/>
    </w:pPr>
  </w:style>
  <w:style w:type="character" w:styleId="Hyperlink">
    <w:name w:val="Hyperlink"/>
    <w:basedOn w:val="DefaultParagraphFont"/>
    <w:uiPriority w:val="99"/>
    <w:unhideWhenUsed/>
    <w:rsid w:val="001D63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77211">
      <w:bodyDiv w:val="1"/>
      <w:marLeft w:val="0"/>
      <w:marRight w:val="0"/>
      <w:marTop w:val="0"/>
      <w:marBottom w:val="0"/>
      <w:divBdr>
        <w:top w:val="none" w:sz="0" w:space="0" w:color="auto"/>
        <w:left w:val="none" w:sz="0" w:space="0" w:color="auto"/>
        <w:bottom w:val="none" w:sz="0" w:space="0" w:color="auto"/>
        <w:right w:val="none" w:sz="0" w:space="0" w:color="auto"/>
      </w:divBdr>
    </w:div>
    <w:div w:id="96292938">
      <w:bodyDiv w:val="1"/>
      <w:marLeft w:val="0"/>
      <w:marRight w:val="0"/>
      <w:marTop w:val="0"/>
      <w:marBottom w:val="0"/>
      <w:divBdr>
        <w:top w:val="none" w:sz="0" w:space="0" w:color="auto"/>
        <w:left w:val="none" w:sz="0" w:space="0" w:color="auto"/>
        <w:bottom w:val="none" w:sz="0" w:space="0" w:color="auto"/>
        <w:right w:val="none" w:sz="0" w:space="0" w:color="auto"/>
      </w:divBdr>
    </w:div>
    <w:div w:id="244610966">
      <w:bodyDiv w:val="1"/>
      <w:marLeft w:val="0"/>
      <w:marRight w:val="0"/>
      <w:marTop w:val="0"/>
      <w:marBottom w:val="0"/>
      <w:divBdr>
        <w:top w:val="none" w:sz="0" w:space="0" w:color="auto"/>
        <w:left w:val="none" w:sz="0" w:space="0" w:color="auto"/>
        <w:bottom w:val="none" w:sz="0" w:space="0" w:color="auto"/>
        <w:right w:val="none" w:sz="0" w:space="0" w:color="auto"/>
      </w:divBdr>
    </w:div>
    <w:div w:id="256602028">
      <w:bodyDiv w:val="1"/>
      <w:marLeft w:val="0"/>
      <w:marRight w:val="0"/>
      <w:marTop w:val="0"/>
      <w:marBottom w:val="0"/>
      <w:divBdr>
        <w:top w:val="none" w:sz="0" w:space="0" w:color="auto"/>
        <w:left w:val="none" w:sz="0" w:space="0" w:color="auto"/>
        <w:bottom w:val="none" w:sz="0" w:space="0" w:color="auto"/>
        <w:right w:val="none" w:sz="0" w:space="0" w:color="auto"/>
      </w:divBdr>
    </w:div>
    <w:div w:id="450587049">
      <w:bodyDiv w:val="1"/>
      <w:marLeft w:val="0"/>
      <w:marRight w:val="0"/>
      <w:marTop w:val="0"/>
      <w:marBottom w:val="0"/>
      <w:divBdr>
        <w:top w:val="none" w:sz="0" w:space="0" w:color="auto"/>
        <w:left w:val="none" w:sz="0" w:space="0" w:color="auto"/>
        <w:bottom w:val="none" w:sz="0" w:space="0" w:color="auto"/>
        <w:right w:val="none" w:sz="0" w:space="0" w:color="auto"/>
      </w:divBdr>
    </w:div>
    <w:div w:id="474418267">
      <w:bodyDiv w:val="1"/>
      <w:marLeft w:val="0"/>
      <w:marRight w:val="0"/>
      <w:marTop w:val="0"/>
      <w:marBottom w:val="0"/>
      <w:divBdr>
        <w:top w:val="none" w:sz="0" w:space="0" w:color="auto"/>
        <w:left w:val="none" w:sz="0" w:space="0" w:color="auto"/>
        <w:bottom w:val="none" w:sz="0" w:space="0" w:color="auto"/>
        <w:right w:val="none" w:sz="0" w:space="0" w:color="auto"/>
      </w:divBdr>
    </w:div>
    <w:div w:id="475296357">
      <w:bodyDiv w:val="1"/>
      <w:marLeft w:val="0"/>
      <w:marRight w:val="0"/>
      <w:marTop w:val="0"/>
      <w:marBottom w:val="0"/>
      <w:divBdr>
        <w:top w:val="none" w:sz="0" w:space="0" w:color="auto"/>
        <w:left w:val="none" w:sz="0" w:space="0" w:color="auto"/>
        <w:bottom w:val="none" w:sz="0" w:space="0" w:color="auto"/>
        <w:right w:val="none" w:sz="0" w:space="0" w:color="auto"/>
      </w:divBdr>
    </w:div>
    <w:div w:id="550113813">
      <w:bodyDiv w:val="1"/>
      <w:marLeft w:val="0"/>
      <w:marRight w:val="0"/>
      <w:marTop w:val="0"/>
      <w:marBottom w:val="0"/>
      <w:divBdr>
        <w:top w:val="none" w:sz="0" w:space="0" w:color="auto"/>
        <w:left w:val="none" w:sz="0" w:space="0" w:color="auto"/>
        <w:bottom w:val="none" w:sz="0" w:space="0" w:color="auto"/>
        <w:right w:val="none" w:sz="0" w:space="0" w:color="auto"/>
      </w:divBdr>
    </w:div>
    <w:div w:id="584804343">
      <w:bodyDiv w:val="1"/>
      <w:marLeft w:val="0"/>
      <w:marRight w:val="0"/>
      <w:marTop w:val="0"/>
      <w:marBottom w:val="0"/>
      <w:divBdr>
        <w:top w:val="none" w:sz="0" w:space="0" w:color="auto"/>
        <w:left w:val="none" w:sz="0" w:space="0" w:color="auto"/>
        <w:bottom w:val="none" w:sz="0" w:space="0" w:color="auto"/>
        <w:right w:val="none" w:sz="0" w:space="0" w:color="auto"/>
      </w:divBdr>
    </w:div>
    <w:div w:id="630942768">
      <w:bodyDiv w:val="1"/>
      <w:marLeft w:val="0"/>
      <w:marRight w:val="0"/>
      <w:marTop w:val="0"/>
      <w:marBottom w:val="0"/>
      <w:divBdr>
        <w:top w:val="none" w:sz="0" w:space="0" w:color="auto"/>
        <w:left w:val="none" w:sz="0" w:space="0" w:color="auto"/>
        <w:bottom w:val="none" w:sz="0" w:space="0" w:color="auto"/>
        <w:right w:val="none" w:sz="0" w:space="0" w:color="auto"/>
      </w:divBdr>
    </w:div>
    <w:div w:id="782306081">
      <w:bodyDiv w:val="1"/>
      <w:marLeft w:val="0"/>
      <w:marRight w:val="0"/>
      <w:marTop w:val="0"/>
      <w:marBottom w:val="0"/>
      <w:divBdr>
        <w:top w:val="none" w:sz="0" w:space="0" w:color="auto"/>
        <w:left w:val="none" w:sz="0" w:space="0" w:color="auto"/>
        <w:bottom w:val="none" w:sz="0" w:space="0" w:color="auto"/>
        <w:right w:val="none" w:sz="0" w:space="0" w:color="auto"/>
      </w:divBdr>
    </w:div>
    <w:div w:id="839975872">
      <w:bodyDiv w:val="1"/>
      <w:marLeft w:val="0"/>
      <w:marRight w:val="0"/>
      <w:marTop w:val="0"/>
      <w:marBottom w:val="0"/>
      <w:divBdr>
        <w:top w:val="none" w:sz="0" w:space="0" w:color="auto"/>
        <w:left w:val="none" w:sz="0" w:space="0" w:color="auto"/>
        <w:bottom w:val="none" w:sz="0" w:space="0" w:color="auto"/>
        <w:right w:val="none" w:sz="0" w:space="0" w:color="auto"/>
      </w:divBdr>
    </w:div>
    <w:div w:id="928733889">
      <w:bodyDiv w:val="1"/>
      <w:marLeft w:val="0"/>
      <w:marRight w:val="0"/>
      <w:marTop w:val="0"/>
      <w:marBottom w:val="0"/>
      <w:divBdr>
        <w:top w:val="none" w:sz="0" w:space="0" w:color="auto"/>
        <w:left w:val="none" w:sz="0" w:space="0" w:color="auto"/>
        <w:bottom w:val="none" w:sz="0" w:space="0" w:color="auto"/>
        <w:right w:val="none" w:sz="0" w:space="0" w:color="auto"/>
      </w:divBdr>
    </w:div>
    <w:div w:id="933439978">
      <w:bodyDiv w:val="1"/>
      <w:marLeft w:val="0"/>
      <w:marRight w:val="0"/>
      <w:marTop w:val="0"/>
      <w:marBottom w:val="0"/>
      <w:divBdr>
        <w:top w:val="none" w:sz="0" w:space="0" w:color="auto"/>
        <w:left w:val="none" w:sz="0" w:space="0" w:color="auto"/>
        <w:bottom w:val="none" w:sz="0" w:space="0" w:color="auto"/>
        <w:right w:val="none" w:sz="0" w:space="0" w:color="auto"/>
      </w:divBdr>
    </w:div>
    <w:div w:id="943154451">
      <w:bodyDiv w:val="1"/>
      <w:marLeft w:val="0"/>
      <w:marRight w:val="0"/>
      <w:marTop w:val="0"/>
      <w:marBottom w:val="0"/>
      <w:divBdr>
        <w:top w:val="none" w:sz="0" w:space="0" w:color="auto"/>
        <w:left w:val="none" w:sz="0" w:space="0" w:color="auto"/>
        <w:bottom w:val="none" w:sz="0" w:space="0" w:color="auto"/>
        <w:right w:val="none" w:sz="0" w:space="0" w:color="auto"/>
      </w:divBdr>
    </w:div>
    <w:div w:id="1013797933">
      <w:bodyDiv w:val="1"/>
      <w:marLeft w:val="0"/>
      <w:marRight w:val="0"/>
      <w:marTop w:val="0"/>
      <w:marBottom w:val="0"/>
      <w:divBdr>
        <w:top w:val="none" w:sz="0" w:space="0" w:color="auto"/>
        <w:left w:val="none" w:sz="0" w:space="0" w:color="auto"/>
        <w:bottom w:val="none" w:sz="0" w:space="0" w:color="auto"/>
        <w:right w:val="none" w:sz="0" w:space="0" w:color="auto"/>
      </w:divBdr>
    </w:div>
    <w:div w:id="1028264583">
      <w:bodyDiv w:val="1"/>
      <w:marLeft w:val="0"/>
      <w:marRight w:val="0"/>
      <w:marTop w:val="0"/>
      <w:marBottom w:val="0"/>
      <w:divBdr>
        <w:top w:val="none" w:sz="0" w:space="0" w:color="auto"/>
        <w:left w:val="none" w:sz="0" w:space="0" w:color="auto"/>
        <w:bottom w:val="none" w:sz="0" w:space="0" w:color="auto"/>
        <w:right w:val="none" w:sz="0" w:space="0" w:color="auto"/>
      </w:divBdr>
    </w:div>
    <w:div w:id="1292246256">
      <w:bodyDiv w:val="1"/>
      <w:marLeft w:val="0"/>
      <w:marRight w:val="0"/>
      <w:marTop w:val="0"/>
      <w:marBottom w:val="0"/>
      <w:divBdr>
        <w:top w:val="none" w:sz="0" w:space="0" w:color="auto"/>
        <w:left w:val="none" w:sz="0" w:space="0" w:color="auto"/>
        <w:bottom w:val="none" w:sz="0" w:space="0" w:color="auto"/>
        <w:right w:val="none" w:sz="0" w:space="0" w:color="auto"/>
      </w:divBdr>
    </w:div>
    <w:div w:id="1300190649">
      <w:bodyDiv w:val="1"/>
      <w:marLeft w:val="0"/>
      <w:marRight w:val="0"/>
      <w:marTop w:val="0"/>
      <w:marBottom w:val="0"/>
      <w:divBdr>
        <w:top w:val="none" w:sz="0" w:space="0" w:color="auto"/>
        <w:left w:val="none" w:sz="0" w:space="0" w:color="auto"/>
        <w:bottom w:val="none" w:sz="0" w:space="0" w:color="auto"/>
        <w:right w:val="none" w:sz="0" w:space="0" w:color="auto"/>
      </w:divBdr>
    </w:div>
    <w:div w:id="1313411060">
      <w:bodyDiv w:val="1"/>
      <w:marLeft w:val="0"/>
      <w:marRight w:val="0"/>
      <w:marTop w:val="0"/>
      <w:marBottom w:val="0"/>
      <w:divBdr>
        <w:top w:val="none" w:sz="0" w:space="0" w:color="auto"/>
        <w:left w:val="none" w:sz="0" w:space="0" w:color="auto"/>
        <w:bottom w:val="none" w:sz="0" w:space="0" w:color="auto"/>
        <w:right w:val="none" w:sz="0" w:space="0" w:color="auto"/>
      </w:divBdr>
    </w:div>
    <w:div w:id="1466001108">
      <w:bodyDiv w:val="1"/>
      <w:marLeft w:val="0"/>
      <w:marRight w:val="0"/>
      <w:marTop w:val="0"/>
      <w:marBottom w:val="0"/>
      <w:divBdr>
        <w:top w:val="none" w:sz="0" w:space="0" w:color="auto"/>
        <w:left w:val="none" w:sz="0" w:space="0" w:color="auto"/>
        <w:bottom w:val="none" w:sz="0" w:space="0" w:color="auto"/>
        <w:right w:val="none" w:sz="0" w:space="0" w:color="auto"/>
      </w:divBdr>
    </w:div>
    <w:div w:id="1528909131">
      <w:bodyDiv w:val="1"/>
      <w:marLeft w:val="0"/>
      <w:marRight w:val="0"/>
      <w:marTop w:val="0"/>
      <w:marBottom w:val="0"/>
      <w:divBdr>
        <w:top w:val="none" w:sz="0" w:space="0" w:color="auto"/>
        <w:left w:val="none" w:sz="0" w:space="0" w:color="auto"/>
        <w:bottom w:val="none" w:sz="0" w:space="0" w:color="auto"/>
        <w:right w:val="none" w:sz="0" w:space="0" w:color="auto"/>
      </w:divBdr>
    </w:div>
    <w:div w:id="1577783804">
      <w:bodyDiv w:val="1"/>
      <w:marLeft w:val="0"/>
      <w:marRight w:val="0"/>
      <w:marTop w:val="0"/>
      <w:marBottom w:val="0"/>
      <w:divBdr>
        <w:top w:val="none" w:sz="0" w:space="0" w:color="auto"/>
        <w:left w:val="none" w:sz="0" w:space="0" w:color="auto"/>
        <w:bottom w:val="none" w:sz="0" w:space="0" w:color="auto"/>
        <w:right w:val="none" w:sz="0" w:space="0" w:color="auto"/>
      </w:divBdr>
    </w:div>
    <w:div w:id="1651984218">
      <w:bodyDiv w:val="1"/>
      <w:marLeft w:val="0"/>
      <w:marRight w:val="0"/>
      <w:marTop w:val="0"/>
      <w:marBottom w:val="0"/>
      <w:divBdr>
        <w:top w:val="none" w:sz="0" w:space="0" w:color="auto"/>
        <w:left w:val="none" w:sz="0" w:space="0" w:color="auto"/>
        <w:bottom w:val="none" w:sz="0" w:space="0" w:color="auto"/>
        <w:right w:val="none" w:sz="0" w:space="0" w:color="auto"/>
      </w:divBdr>
    </w:div>
    <w:div w:id="1723627384">
      <w:bodyDiv w:val="1"/>
      <w:marLeft w:val="0"/>
      <w:marRight w:val="0"/>
      <w:marTop w:val="0"/>
      <w:marBottom w:val="0"/>
      <w:divBdr>
        <w:top w:val="none" w:sz="0" w:space="0" w:color="auto"/>
        <w:left w:val="none" w:sz="0" w:space="0" w:color="auto"/>
        <w:bottom w:val="none" w:sz="0" w:space="0" w:color="auto"/>
        <w:right w:val="none" w:sz="0" w:space="0" w:color="auto"/>
      </w:divBdr>
    </w:div>
    <w:div w:id="1826120114">
      <w:bodyDiv w:val="1"/>
      <w:marLeft w:val="0"/>
      <w:marRight w:val="0"/>
      <w:marTop w:val="0"/>
      <w:marBottom w:val="0"/>
      <w:divBdr>
        <w:top w:val="none" w:sz="0" w:space="0" w:color="auto"/>
        <w:left w:val="none" w:sz="0" w:space="0" w:color="auto"/>
        <w:bottom w:val="none" w:sz="0" w:space="0" w:color="auto"/>
        <w:right w:val="none" w:sz="0" w:space="0" w:color="auto"/>
      </w:divBdr>
    </w:div>
    <w:div w:id="1832914450">
      <w:bodyDiv w:val="1"/>
      <w:marLeft w:val="0"/>
      <w:marRight w:val="0"/>
      <w:marTop w:val="0"/>
      <w:marBottom w:val="0"/>
      <w:divBdr>
        <w:top w:val="none" w:sz="0" w:space="0" w:color="auto"/>
        <w:left w:val="none" w:sz="0" w:space="0" w:color="auto"/>
        <w:bottom w:val="none" w:sz="0" w:space="0" w:color="auto"/>
        <w:right w:val="none" w:sz="0" w:space="0" w:color="auto"/>
      </w:divBdr>
    </w:div>
    <w:div w:id="1934362198">
      <w:bodyDiv w:val="1"/>
      <w:marLeft w:val="0"/>
      <w:marRight w:val="0"/>
      <w:marTop w:val="0"/>
      <w:marBottom w:val="0"/>
      <w:divBdr>
        <w:top w:val="none" w:sz="0" w:space="0" w:color="auto"/>
        <w:left w:val="none" w:sz="0" w:space="0" w:color="auto"/>
        <w:bottom w:val="none" w:sz="0" w:space="0" w:color="auto"/>
        <w:right w:val="none" w:sz="0" w:space="0" w:color="auto"/>
      </w:divBdr>
    </w:div>
    <w:div w:id="1941793963">
      <w:bodyDiv w:val="1"/>
      <w:marLeft w:val="0"/>
      <w:marRight w:val="0"/>
      <w:marTop w:val="0"/>
      <w:marBottom w:val="0"/>
      <w:divBdr>
        <w:top w:val="none" w:sz="0" w:space="0" w:color="auto"/>
        <w:left w:val="none" w:sz="0" w:space="0" w:color="auto"/>
        <w:bottom w:val="none" w:sz="0" w:space="0" w:color="auto"/>
        <w:right w:val="none" w:sz="0" w:space="0" w:color="auto"/>
      </w:divBdr>
    </w:div>
    <w:div w:id="1946381810">
      <w:bodyDiv w:val="1"/>
      <w:marLeft w:val="0"/>
      <w:marRight w:val="0"/>
      <w:marTop w:val="0"/>
      <w:marBottom w:val="0"/>
      <w:divBdr>
        <w:top w:val="none" w:sz="0" w:space="0" w:color="auto"/>
        <w:left w:val="none" w:sz="0" w:space="0" w:color="auto"/>
        <w:bottom w:val="none" w:sz="0" w:space="0" w:color="auto"/>
        <w:right w:val="none" w:sz="0" w:space="0" w:color="auto"/>
      </w:divBdr>
    </w:div>
    <w:div w:id="1991666880">
      <w:bodyDiv w:val="1"/>
      <w:marLeft w:val="0"/>
      <w:marRight w:val="0"/>
      <w:marTop w:val="0"/>
      <w:marBottom w:val="0"/>
      <w:divBdr>
        <w:top w:val="none" w:sz="0" w:space="0" w:color="auto"/>
        <w:left w:val="none" w:sz="0" w:space="0" w:color="auto"/>
        <w:bottom w:val="none" w:sz="0" w:space="0" w:color="auto"/>
        <w:right w:val="none" w:sz="0" w:space="0" w:color="auto"/>
      </w:divBdr>
    </w:div>
    <w:div w:id="2040626003">
      <w:bodyDiv w:val="1"/>
      <w:marLeft w:val="0"/>
      <w:marRight w:val="0"/>
      <w:marTop w:val="0"/>
      <w:marBottom w:val="0"/>
      <w:divBdr>
        <w:top w:val="none" w:sz="0" w:space="0" w:color="auto"/>
        <w:left w:val="none" w:sz="0" w:space="0" w:color="auto"/>
        <w:bottom w:val="none" w:sz="0" w:space="0" w:color="auto"/>
        <w:right w:val="none" w:sz="0" w:space="0" w:color="auto"/>
      </w:divBdr>
    </w:div>
    <w:div w:id="205870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FRE21</b:Tag>
    <b:SourceType>InternetSite</b:SourceType>
    <b:Guid>{54352300-D7BF-4D05-B04E-E982ED1CDA90}</b:Guid>
    <b:Title>Homeownership Rate for the United States</b:Title>
    <b:Year>2021</b:Year>
    <b:Author>
      <b:Author>
        <b:NameList>
          <b:Person>
            <b:Last>FRED</b:Last>
          </b:Person>
        </b:NameList>
      </b:Author>
    </b:Author>
    <b:YearAccessed>April</b:YearAccessed>
    <b:MonthAccessed>26</b:MonthAccessed>
    <b:DayAccessed>27</b:DayAccessed>
    <b:URL>https://fred.stlouisfed.org/series/RHORUSQ156N</b:URL>
    <b:RefOrder>2</b:RefOrder>
  </b:Source>
  <b:Source>
    <b:Tag>Mar08</b:Tag>
    <b:SourceType>Book</b:SourceType>
    <b:Guid>{C030E84B-6479-4BD5-8D18-E1EABDFD76E1}</b:Guid>
    <b:Title>The origins of the Financial Crisis</b:Title>
    <b:Year>2008</b:Year>
    <b:Author>
      <b:Author>
        <b:NameList>
          <b:Person>
            <b:Last>Baily</b:Last>
            <b:First>Martin</b:First>
            <b:Middle>Neil</b:Middle>
          </b:Person>
          <b:Person>
            <b:Last>Litan</b:Last>
            <b:First>Robert</b:First>
            <b:Middle>E.</b:Middle>
          </b:Person>
          <b:Person>
            <b:Last>Johnson</b:Last>
            <b:First>Matthew</b:First>
            <b:Middle>S.</b:Middle>
          </b:Person>
        </b:NameList>
      </b:Author>
    </b:Author>
    <b:City>Washington</b:City>
    <b:Publisher>The Brooklin Institutions</b:Publisher>
    <b:Edition>1</b:Edition>
    <b:RefOrder>1</b:RefOrder>
  </b:Source>
  <b:Source>
    <b:Tag>Hay21</b:Tag>
    <b:SourceType>InternetSite</b:SourceType>
    <b:Guid>{7A370298-72D6-4AFA-80B9-F6F99A722B3E}</b:Guid>
    <b:Author>
      <b:Author>
        <b:NameList>
          <b:Person>
            <b:Last>Hayes</b:Last>
            <b:First>Adam</b:First>
          </b:Person>
        </b:NameList>
      </b:Author>
    </b:Author>
    <b:Title>Dodd-Frank Wall Street Reform and Consumer Protection Act</b:Title>
    <b:Year>2021</b:Year>
    <b:YearAccessed>2021</b:YearAccessed>
    <b:MonthAccessed>April</b:MonthAccessed>
    <b:DayAccessed>28</b:DayAccessed>
    <b:URL>https://www.investopedia.com/terms/d/dodd-frank-financial-regulatory-reform-bill.asp</b:URL>
    <b:RefOrder>4</b:RefOrder>
  </b:Source>
  <b:Source>
    <b:Tag>Per10</b:Tag>
    <b:SourceType>JournalArticle</b:SourceType>
    <b:Guid>{33B3D931-CDB0-4C36-87A9-F031787030F8}</b:Guid>
    <b:Author>
      <b:Author>
        <b:NameList>
          <b:Person>
            <b:Last>Persaud</b:Last>
            <b:First>A.</b:First>
          </b:Person>
        </b:NameList>
      </b:Author>
    </b:Author>
    <b:Title>Basel III: a welcome start, but much more to be done</b:Title>
    <b:Year>2010</b:Year>
    <b:JournalName>Journal of International Banking &amp; Financial Law</b:JournalName>
    <b:Volume>25</b:Volume>
    <b:Issue>11</b:Issue>
    <b:RefOrder>6</b:RefOrder>
  </b:Source>
  <b:Source>
    <b:Tag>DHo13</b:Tag>
    <b:SourceType>JournalArticle</b:SourceType>
    <b:Guid>{DB3AFDB2-027F-4E40-AD73-D356121D68A4}</b:Guid>
    <b:Author>
      <b:Author>
        <b:NameList>
          <b:Person>
            <b:Last>Howarth</b:Last>
            <b:First>D.</b:First>
          </b:Person>
          <b:Person>
            <b:Last>Quaglia</b:Last>
            <b:First>L.</b:First>
          </b:Person>
        </b:NameList>
      </b:Author>
    </b:Author>
    <b:Title>Banking on Stability: The Political Economy of New Capital Requirements in the European Union</b:Title>
    <b:JournalName> Journal of European Integration</b:JournalName>
    <b:Year>2013</b:Year>
    <b:Volume>35</b:Volume>
    <b:Issue>3</b:Issue>
    <b:RefOrder>7</b:RefOrder>
  </b:Source>
  <b:Source>
    <b:Tag>Eur21</b:Tag>
    <b:SourceType>InternetSite</b:SourceType>
    <b:Guid>{6670353E-868B-41AF-9BB6-940659AE3ACA}</b:Guid>
    <b:Title>European System of Financial Supervision (ESFS)</b:Title>
    <b:Year>2021</b:Year>
    <b:Author>
      <b:Author>
        <b:NameList>
          <b:Person>
            <b:Last>European-Parliament</b:Last>
          </b:Person>
        </b:NameList>
      </b:Author>
    </b:Author>
    <b:YearAccessed>2021</b:YearAccessed>
    <b:MonthAccessed>April</b:MonthAccessed>
    <b:DayAccessed>29</b:DayAccessed>
    <b:URL>https://www.europarl.europa.eu/factsheets/en/sheet/84/european-system-of-financial-supervision-esfs-</b:URL>
    <b:RefOrder>5</b:RefOrder>
  </b:Source>
  <b:Source>
    <b:Tag>Mer10</b:Tag>
    <b:SourceType>JournalArticle</b:SourceType>
    <b:Guid>{45D7D0B9-3270-4225-9568-9398DE0A5A0C}</b:Guid>
    <b:Author>
      <b:Author>
        <b:NameList>
          <b:Person>
            <b:Last>Merino</b:Last>
            <b:First>B.</b:First>
          </b:Person>
          <b:Person>
            <b:Last>Mayper</b:Last>
            <b:First>A.</b:First>
          </b:Person>
          <b:Person>
            <b:Last>Tolleson</b:Last>
            <b:First>T.</b:First>
          </b:Person>
        </b:NameList>
      </b:Author>
    </b:Author>
    <b:Title>Neoliberalism, deregulation and Sarbanes-Oxley: the legitimation of a failed corporate governance model</b:Title>
    <b:Year>2010</b:Year>
    <b:JournalName>Accounting, Auditing and Accountability Journal </b:JournalName>
    <b:Volume>23</b:Volume>
    <b:Issue>6</b:Issue>
    <b:RefOrder>8</b:RefOrder>
  </b:Source>
  <b:Source>
    <b:Tag>Pat13</b:Tag>
    <b:SourceType>JournalArticle</b:SourceType>
    <b:Guid>{CD9A03F2-7452-4899-BE5F-CFCFC0058015}</b:Guid>
    <b:Author>
      <b:Author>
        <b:NameList>
          <b:Person>
            <b:Last>McConnell</b:Last>
            <b:First>Patrick</b:First>
          </b:Person>
        </b:NameList>
      </b:Author>
    </b:Author>
    <b:Title>Systemic operational risk: the LIBOR manipulation scandal</b:Title>
    <b:JournalName>The Journal of Operational Risk</b:JournalName>
    <b:Year>2013</b:Year>
    <b:Pages>59</b:Pages>
    <b:Volume>8</b:Volume>
    <b:Issue>3</b:Issue>
    <b:RefOrder>9</b:RefOrder>
  </b:Source>
  <b:Source>
    <b:Tag>Gar13</b:Tag>
    <b:SourceType>JournalArticle</b:SourceType>
    <b:Guid>{104A8B9C-FE66-42AD-8942-44AD5D708ECB}</b:Guid>
    <b:Author>
      <b:Author>
        <b:NameList>
          <b:Person>
            <b:Last>Wilson</b:Last>
            <b:First>Gary</b:First>
          </b:Person>
          <b:Person>
            <b:Last>Wilson</b:Last>
            <b:First>Sarah.</b:First>
          </b:Person>
        </b:NameList>
      </b:Author>
    </b:Author>
    <b:Title>‘The FSA, “credible deterrence”, and criminal enforcement – a “haphazard pursuit</b:Title>
    <b:JournalName>Journal of Financial Crime</b:JournalName>
    <b:Year>2013</b:Year>
    <b:Pages>4</b:Pages>
    <b:Volume>21</b:Volume>
    <b:Issue>1</b:Issue>
    <b:RefOrder>10</b:RefOrder>
  </b:Source>
  <b:Source>
    <b:Tag>Ali15</b:Tag>
    <b:SourceType>JournalArticle</b:SourceType>
    <b:Guid>{75D6E46D-0299-4ACB-9C74-F39662019466}</b:Guid>
    <b:Author>
      <b:Author>
        <b:NameList>
          <b:Person>
            <b:Last>Lui</b:Last>
            <b:First>Alison</b:First>
          </b:Person>
        </b:NameList>
      </b:Author>
    </b:Author>
    <b:Title>Greed, recklessness and/or dishonesty? An investigation into the micro-regulation and culture of five UK banks between 2004-2009</b:Title>
    <b:JournalName>Journal of Banking Regulation </b:JournalName>
    <b:Year>2015</b:Year>
    <b:Pages>106</b:Pages>
    <b:Volume>16</b:Volume>
    <b:Issue>2</b:Issue>
    <b:RefOrder>11</b:RefOrder>
  </b:Source>
  <b:Source>
    <b:Tag>Jam00</b:Tag>
    <b:SourceType>JournalArticle</b:SourceType>
    <b:Guid>{4474B67A-D329-4ABC-84DF-F3C60FBD9250}</b:Guid>
    <b:Author>
      <b:Author>
        <b:NameList>
          <b:Person>
            <b:Last>Bagge</b:Last>
            <b:First>James</b:First>
          </b:Person>
        </b:NameList>
      </b:Author>
    </b:Author>
    <b:Title>Senior management responsibilities under the new regulatory regime</b:Title>
    <b:JournalName>Journal of Financial Regulation and Compliance </b:JournalName>
    <b:Year>2000</b:Year>
    <b:Pages>201</b:Pages>
    <b:Volume>8</b:Volume>
    <b:Issue>3</b:Issue>
    <b:RefOrder>12</b:RefOrder>
  </b:Source>
  <b:Source>
    <b:Tag>Gra13</b:Tag>
    <b:SourceType>JournalArticle</b:SourceType>
    <b:Guid>{346F8498-8284-4557-91C9-687B23392A97}</b:Guid>
    <b:Author>
      <b:Author>
        <b:NameList>
          <b:Person>
            <b:Last>Baber</b:Last>
            <b:First>Graeme</b:First>
          </b:Person>
        </b:NameList>
      </b:Author>
    </b:Author>
    <b:Title>A critical examination of the legislative response in banking and financial regulation to issues related to misconduct in the context of the crisis of 2007‐2009</b:Title>
    <b:JournalName>Journal of Financial Crime</b:JournalName>
    <b:Year>2013</b:Year>
    <b:Pages>237</b:Pages>
    <b:Volume>20</b:Volume>
    <b:Issue>2</b:Issue>
    <b:RefOrder>13</b:RefOrder>
  </b:Source>
  <b:Source>
    <b:Tag>Myn16</b:Tag>
    <b:SourceType>InternetSite</b:SourceType>
    <b:Guid>{F796B406-D446-4246-8C9D-68DA27C08ABA}</b:Guid>
    <b:Author>
      <b:Author>
        <b:NameList>
          <b:Person>
            <b:Last>Myners</b:Last>
            <b:First>Paul</b:First>
          </b:Person>
        </b:NameList>
      </b:Author>
    </b:Author>
    <b:Title>‘The future of the investment industry – by Paul Myners</b:Title>
    <b:JournalName>Financial News London</b:JournalName>
    <b:Year>2016</b:Year>
    <b:YearAccessed>2021</b:YearAccessed>
    <b:MonthAccessed>April</b:MonthAccessed>
    <b:DayAccessed>29</b:DayAccessed>
    <b:URL>https://www.fnlondon.com/articles/fn-future-of-finance-investment-industry-paul-myners-20160926</b:URL>
    <b:RefOrder>14</b:RefOrder>
  </b:Source>
  <b:Source>
    <b:Tag>Dav09</b:Tag>
    <b:SourceType>InternetSite</b:SourceType>
    <b:Guid>{B9E53202-E41C-4274-AE07-6E5BBBB8CF52}</b:Guid>
    <b:Author>
      <b:Author>
        <b:NameList>
          <b:Person>
            <b:Last>Walker</b:Last>
            <b:First>David.</b:First>
          </b:Person>
        </b:NameList>
      </b:Author>
    </b:Author>
    <b:Title>A review of corporate governance in UK banks and other financial industry entities</b:Title>
    <b:Year>2009</b:Year>
    <b:YearAccessed>2021</b:YearAccessed>
    <b:MonthAccessed>April</b:MonthAccessed>
    <b:DayAccessed>29</b:DayAccessed>
    <b:URL>https://corpgov.law.harvard.edu/2009/12/26/a-review-of-corporate-governance-in-uk-banks-and-other-financial-industry-entities/</b:URL>
    <b:RefOrder>15</b:RefOrder>
  </b:Source>
  <b:Source>
    <b:Tag>Che10</b:Tag>
    <b:SourceType>JournalArticle</b:SourceType>
    <b:Guid>{DA9439BF-6602-46D3-9B13-954D6C414F13}</b:Guid>
    <b:Author>
      <b:Author>
        <b:NameList>
          <b:Person>
            <b:Last>Cheffins</b:Last>
            <b:First>Brian</b:First>
            <b:Middle>R.</b:Middle>
          </b:Person>
        </b:NameList>
      </b:Author>
    </b:Author>
    <b:Title>The Stewardship Code’s Achilles’ Heel’</b:Title>
    <b:Year>2010</b:Year>
    <b:JournalName>The Modern Law Review</b:JournalName>
    <b:Pages>1004-1010</b:Pages>
    <b:Volume>73</b:Volume>
    <b:Issue>6</b:Issue>
    <b:RefOrder>16</b:RefOrder>
  </b:Source>
  <b:Source>
    <b:Tag>Dud18</b:Tag>
    <b:SourceType>Report</b:SourceType>
    <b:Guid>{8F59B430-C2A4-45C9-8221-44AADAE63A82}</b:Guid>
    <b:Author>
      <b:Author>
        <b:NameList>
          <b:Person>
            <b:Last>Dudley</b:Last>
            <b:First>William</b:First>
            <b:Middle>C.</b:Middle>
          </b:Person>
        </b:NameList>
      </b:Author>
    </b:Author>
    <b:Title>Structural changes in banking after the crisis</b:Title>
    <b:JournalName>Bank for International Settlements</b:JournalName>
    <b:Year>2018</b:Year>
    <b:Pages>1-119</b:Pages>
    <b:Publisher>Federal Reserve Bank</b:Publisher>
    <b:City>New York</b:City>
    <b:RefOrder>20</b:RefOrder>
  </b:Source>
  <b:Source>
    <b:Tag>Ste20</b:Tag>
    <b:SourceType>InternetSite</b:SourceType>
    <b:Guid>{62C5B8DA-FC0C-414E-BA5F-68A46B12EED1}</b:Guid>
    <b:Title>Royal Bank of Scotland to Rebrand Bank as NatWest</b:Title>
    <b:Year>2020</b:Year>
    <b:Author>
      <b:Author>
        <b:NameList>
          <b:Person>
            <b:Last>Spezzati</b:Last>
            <b:First>Stefania</b:First>
          </b:Person>
        </b:NameList>
      </b:Author>
    </b:Author>
    <b:YearAccessed>2021</b:YearAccessed>
    <b:MonthAccessed>April</b:MonthAccessed>
    <b:DayAccessed>29</b:DayAccessed>
    <b:URL>https://www.bloombergquint.com/business/royal-bank-of-scotland-breaks-away-with-name-change-to-natwest</b:URL>
    <b:RefOrder>21</b:RefOrder>
  </b:Source>
  <b:Source>
    <b:Tag>And17</b:Tag>
    <b:SourceType>JournalArticle</b:SourceType>
    <b:Guid>{49BA2398-064F-4B6A-B146-D9052CA26623}</b:Guid>
    <b:Title>Structural Power and the Politics of Bank Capital Regulation in the UK</b:Title>
    <b:Year>2017</b:Year>
    <b:Author>
      <b:Author>
        <b:NameList>
          <b:Person>
            <b:Last>Hindmoor</b:Last>
            <b:First>Andrew</b:First>
          </b:Person>
          <b:Person>
            <b:Last>Bell</b:Last>
            <b:First>Stephen</b:First>
          </b:Person>
        </b:NameList>
      </b:Author>
    </b:Author>
    <b:JournalName>Political Studies</b:JournalName>
    <b:Pages>103-110</b:Pages>
    <b:Volume>65</b:Volume>
    <b:Issue>1</b:Issue>
    <b:RefOrder>17</b:RefOrder>
  </b:Source>
  <b:Source>
    <b:Tag>Pet09</b:Tag>
    <b:SourceType>JournalArticle</b:SourceType>
    <b:Guid>{F19FA374-5873-4215-B662-1DD9595744B1}</b:Guid>
    <b:Author>
      <b:Author>
        <b:NameList>
          <b:Person>
            <b:Last>Yeoh</b:Last>
            <b:First>Peter</b:First>
          </b:Person>
        </b:NameList>
      </b:Author>
    </b:Author>
    <b:Title>Causes of the global ﬁnancial crisis: Learning from the competing insights</b:Title>
    <b:JournalName>International Journal of Disclosure and Governance</b:JournalName>
    <b:Year>2009</b:Year>
    <b:Pages>42-56</b:Pages>
    <b:Volume>7</b:Volume>
    <b:Issue>1</b:Issue>
    <b:RefOrder>18</b:RefOrder>
  </b:Source>
  <b:Source>
    <b:Tag>The09</b:Tag>
    <b:SourceType>Report</b:SourceType>
    <b:Guid>{6ACE049A-DE57-45A9-A87D-3953CF91E082}</b:Guid>
    <b:Title>The Warwick Commission On International Financial Reform: In Praise Of Unlevel Playing Fields</b:Title>
    <b:Year>2009</b:Year>
    <b:Publisher>The University of Warwick </b:Publisher>
    <b:City>London</b:City>
    <b:Author>
      <b:Author>
        <b:NameList>
          <b:Person>
            <b:Last>The-Warwick-Commission</b:Last>
          </b:Person>
        </b:NameList>
      </b:Author>
    </b:Author>
    <b:RefOrder>19</b:RefOrder>
  </b:Source>
  <b:Source>
    <b:Tag>Dom17</b:Tag>
    <b:SourceType>InternetSite</b:SourceType>
    <b:Guid>{585D6407-72FC-4AC9-A82C-5F1D83DB4BD2}</b:Guid>
    <b:Title>The collapse of Northern Rock: Ten years on</b:Title>
    <b:Year>2017</b:Year>
    <b:Author>
      <b:Author>
        <b:NameList>
          <b:Person>
            <b:Last>O'Connell</b:Last>
            <b:First>Dominic</b:First>
          </b:Person>
        </b:NameList>
      </b:Author>
    </b:Author>
    <b:YearAccessed>2021</b:YearAccessed>
    <b:MonthAccessed>April</b:MonthAccessed>
    <b:DayAccessed>30</b:DayAccessed>
    <b:URL>https://www.bbc.com/news/business-41229513</b:URL>
    <b:RefOrder>3</b:RefOrder>
  </b:Source>
</b:Sources>
</file>

<file path=customXml/itemProps1.xml><?xml version="1.0" encoding="utf-8"?>
<ds:datastoreItem xmlns:ds="http://schemas.openxmlformats.org/officeDocument/2006/customXml" ds:itemID="{4F4CB667-AF1E-418E-948B-8B7A9F2B4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3061</TotalTime>
  <Pages>13</Pages>
  <Words>5256</Words>
  <Characters>29964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Financial reforms post subprime crisis</vt:lpstr>
    </vt:vector>
  </TitlesOfParts>
  <Company/>
  <LinksUpToDate>false</LinksUpToDate>
  <CharactersWithSpaces>35150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cp:keywords/>
  <dc:description/>
  <cp:lastModifiedBy>GAS2</cp:lastModifiedBy>
  <cp:revision>2</cp:revision>
  <dcterms:created xsi:type="dcterms:W3CDTF">2021-04-26T04:42:00Z</dcterms:created>
  <dcterms:modified xsi:type="dcterms:W3CDTF">2021-05-10T21:59:00Z</dcterms:modified>
</cp:coreProperties>
</file>