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2A79EF" w14:textId="000B5D72" w:rsidR="00CC1722" w:rsidRDefault="00CC1722" w:rsidP="003923BA">
      <w:pPr>
        <w:spacing w:line="360" w:lineRule="auto"/>
        <w:rPr>
          <w:rFonts w:ascii="Arial" w:hAnsi="Arial" w:cs="Arial"/>
          <w:sz w:val="22"/>
          <w:szCs w:val="22"/>
          <w:lang w:eastAsia="en-GB"/>
        </w:rPr>
      </w:pPr>
    </w:p>
    <w:p w14:paraId="0ED39285" w14:textId="77777777" w:rsidR="00854AAA" w:rsidRDefault="00854AAA" w:rsidP="003923BA">
      <w:pPr>
        <w:spacing w:line="360" w:lineRule="auto"/>
        <w:rPr>
          <w:rFonts w:ascii="Arial" w:hAnsi="Arial" w:cs="Arial"/>
          <w:sz w:val="22"/>
          <w:szCs w:val="22"/>
          <w:lang w:eastAsia="en-GB"/>
        </w:rPr>
      </w:pPr>
    </w:p>
    <w:p w14:paraId="133AD7C4" w14:textId="77777777" w:rsidR="00854AAA" w:rsidRPr="00520CD6" w:rsidRDefault="00854AAA" w:rsidP="003923BA">
      <w:pPr>
        <w:spacing w:line="360" w:lineRule="auto"/>
        <w:rPr>
          <w:rFonts w:ascii="Arial" w:hAnsi="Arial" w:cs="Arial"/>
          <w:sz w:val="22"/>
          <w:szCs w:val="22"/>
          <w:lang w:eastAsia="en-GB"/>
        </w:rPr>
      </w:pPr>
    </w:p>
    <w:p w14:paraId="25E67822" w14:textId="77777777" w:rsidR="00CC1722" w:rsidRPr="00520CD6" w:rsidRDefault="00CC1722" w:rsidP="003923BA">
      <w:pPr>
        <w:spacing w:line="360" w:lineRule="auto"/>
        <w:rPr>
          <w:rFonts w:ascii="Arial" w:hAnsi="Arial" w:cs="Arial"/>
          <w:sz w:val="22"/>
          <w:szCs w:val="22"/>
          <w:lang w:eastAsia="en-GB"/>
        </w:rPr>
      </w:pPr>
    </w:p>
    <w:p w14:paraId="05968A96" w14:textId="77777777" w:rsidR="00CC1722" w:rsidRPr="00520CD6" w:rsidRDefault="00CC1722" w:rsidP="003923BA">
      <w:pPr>
        <w:spacing w:line="360" w:lineRule="auto"/>
        <w:rPr>
          <w:rFonts w:ascii="Arial" w:hAnsi="Arial" w:cs="Arial"/>
          <w:sz w:val="22"/>
          <w:szCs w:val="22"/>
          <w:lang w:eastAsia="en-GB"/>
        </w:rPr>
      </w:pPr>
    </w:p>
    <w:p w14:paraId="2F17539C" w14:textId="77777777" w:rsidR="00CC1722" w:rsidRPr="00520CD6" w:rsidRDefault="00CC1722" w:rsidP="003923BA">
      <w:pPr>
        <w:spacing w:line="360" w:lineRule="auto"/>
        <w:rPr>
          <w:rFonts w:ascii="Arial" w:hAnsi="Arial" w:cs="Arial"/>
          <w:sz w:val="22"/>
          <w:szCs w:val="22"/>
          <w:lang w:eastAsia="en-GB"/>
        </w:rPr>
      </w:pPr>
    </w:p>
    <w:p w14:paraId="2641887E" w14:textId="77777777" w:rsidR="00CC1722" w:rsidRPr="00520CD6" w:rsidRDefault="00CC1722" w:rsidP="003923BA">
      <w:pPr>
        <w:spacing w:line="360" w:lineRule="auto"/>
        <w:rPr>
          <w:rFonts w:ascii="Arial" w:hAnsi="Arial" w:cs="Arial"/>
          <w:sz w:val="22"/>
          <w:szCs w:val="22"/>
          <w:lang w:eastAsia="en-GB"/>
        </w:rPr>
      </w:pPr>
    </w:p>
    <w:p w14:paraId="0DEA33FA" w14:textId="77777777" w:rsidR="00CC1722" w:rsidRPr="00520CD6" w:rsidRDefault="00CC1722" w:rsidP="003923BA">
      <w:pPr>
        <w:spacing w:line="360" w:lineRule="auto"/>
        <w:rPr>
          <w:rFonts w:ascii="Arial" w:hAnsi="Arial" w:cs="Arial"/>
          <w:sz w:val="22"/>
          <w:szCs w:val="22"/>
          <w:lang w:eastAsia="en-GB"/>
        </w:rPr>
      </w:pPr>
    </w:p>
    <w:p w14:paraId="73355606" w14:textId="77777777" w:rsidR="00CC1722" w:rsidRPr="00520CD6" w:rsidRDefault="00CC1722" w:rsidP="003923BA">
      <w:pPr>
        <w:spacing w:line="360" w:lineRule="auto"/>
        <w:rPr>
          <w:rFonts w:ascii="Arial" w:hAnsi="Arial" w:cs="Arial"/>
          <w:sz w:val="22"/>
          <w:szCs w:val="22"/>
          <w:lang w:eastAsia="en-GB"/>
        </w:rPr>
      </w:pPr>
    </w:p>
    <w:p w14:paraId="07A94D41" w14:textId="2CEF4BA2" w:rsidR="00CC1722" w:rsidRPr="00520CD6" w:rsidRDefault="00CC1722" w:rsidP="003923BA">
      <w:pPr>
        <w:spacing w:line="360" w:lineRule="auto"/>
        <w:jc w:val="center"/>
        <w:rPr>
          <w:rFonts w:ascii="Arial" w:hAnsi="Arial" w:cs="Arial"/>
          <w:b/>
          <w:bCs/>
          <w:sz w:val="22"/>
          <w:szCs w:val="22"/>
          <w:lang w:eastAsia="en-GB"/>
        </w:rPr>
      </w:pPr>
      <w:r w:rsidRPr="00520CD6">
        <w:rPr>
          <w:rFonts w:ascii="Arial" w:hAnsi="Arial" w:cs="Arial"/>
          <w:b/>
          <w:bCs/>
          <w:sz w:val="22"/>
          <w:szCs w:val="22"/>
          <w:lang w:eastAsia="en-GB"/>
        </w:rPr>
        <w:t xml:space="preserve">Case Study Report: </w:t>
      </w:r>
      <w:r w:rsidRPr="00520CD6">
        <w:rPr>
          <w:rFonts w:ascii="Arial" w:hAnsi="Arial" w:cs="Arial"/>
          <w:sz w:val="22"/>
          <w:szCs w:val="22"/>
          <w:lang w:eastAsia="en-GB"/>
        </w:rPr>
        <w:t>Managing Type 2 Diabetes in Primary Care (Case Study 1)</w:t>
      </w:r>
    </w:p>
    <w:p w14:paraId="05056599" w14:textId="27B426C5" w:rsidR="00CC1722" w:rsidRPr="00520CD6" w:rsidRDefault="00CC1722" w:rsidP="003923BA">
      <w:pPr>
        <w:spacing w:line="360" w:lineRule="auto"/>
        <w:jc w:val="center"/>
        <w:rPr>
          <w:rFonts w:ascii="Arial" w:hAnsi="Arial" w:cs="Arial"/>
          <w:kern w:val="0"/>
          <w:sz w:val="22"/>
          <w:szCs w:val="22"/>
          <w:lang w:eastAsia="en-GB"/>
        </w:rPr>
      </w:pPr>
      <w:r w:rsidRPr="00520CD6">
        <w:rPr>
          <w:rFonts w:ascii="Arial" w:hAnsi="Arial" w:cs="Arial"/>
          <w:b/>
          <w:bCs/>
          <w:kern w:val="0"/>
          <w:sz w:val="22"/>
          <w:szCs w:val="22"/>
          <w:bdr w:val="none" w:sz="0" w:space="0" w:color="auto" w:frame="1"/>
          <w:lang w:eastAsia="en-GB"/>
        </w:rPr>
        <w:t>Student Name:</w:t>
      </w:r>
      <w:r w:rsidRPr="00520CD6">
        <w:rPr>
          <w:rFonts w:ascii="Arial" w:hAnsi="Arial" w:cs="Arial"/>
          <w:kern w:val="0"/>
          <w:sz w:val="22"/>
          <w:szCs w:val="22"/>
          <w:lang w:eastAsia="en-GB"/>
        </w:rPr>
        <w:t xml:space="preserve"> [</w:t>
      </w:r>
      <w:r w:rsidR="00C812B4">
        <w:rPr>
          <w:rFonts w:ascii="Arial" w:hAnsi="Arial" w:cs="Arial"/>
          <w:kern w:val="0"/>
          <w:sz w:val="22"/>
          <w:szCs w:val="22"/>
          <w:lang w:eastAsia="en-GB"/>
        </w:rPr>
        <w:t>Salma Karim</w:t>
      </w:r>
      <w:r w:rsidRPr="00520CD6">
        <w:rPr>
          <w:rFonts w:ascii="Arial" w:hAnsi="Arial" w:cs="Arial"/>
          <w:kern w:val="0"/>
          <w:sz w:val="22"/>
          <w:szCs w:val="22"/>
          <w:lang w:eastAsia="en-GB"/>
        </w:rPr>
        <w:t>]</w:t>
      </w:r>
    </w:p>
    <w:p w14:paraId="7F4A7AB6" w14:textId="77777777" w:rsidR="00CC1722" w:rsidRPr="00520CD6" w:rsidRDefault="00CC1722" w:rsidP="003923BA">
      <w:pPr>
        <w:spacing w:line="360" w:lineRule="auto"/>
        <w:rPr>
          <w:rFonts w:ascii="Arial" w:hAnsi="Arial" w:cs="Arial"/>
          <w:kern w:val="0"/>
          <w:sz w:val="22"/>
          <w:szCs w:val="22"/>
          <w:lang w:eastAsia="en-GB"/>
        </w:rPr>
      </w:pPr>
      <w:r w:rsidRPr="00520CD6">
        <w:rPr>
          <w:rFonts w:ascii="Arial" w:hAnsi="Arial" w:cs="Arial"/>
          <w:kern w:val="0"/>
          <w:sz w:val="22"/>
          <w:szCs w:val="22"/>
          <w:lang w:eastAsia="en-GB"/>
        </w:rPr>
        <w:br w:type="page"/>
      </w:r>
    </w:p>
    <w:sdt>
      <w:sdtPr>
        <w:rPr>
          <w:rFonts w:ascii="Arial" w:eastAsiaTheme="minorHAnsi" w:hAnsi="Arial" w:cs="Arial"/>
          <w:color w:val="auto"/>
          <w:kern w:val="2"/>
          <w:sz w:val="22"/>
          <w:szCs w:val="22"/>
          <w:lang w:val="en-GB"/>
          <w14:ligatures w14:val="standardContextual"/>
        </w:rPr>
        <w:id w:val="-709339562"/>
        <w:docPartObj>
          <w:docPartGallery w:val="Table of Contents"/>
          <w:docPartUnique/>
        </w:docPartObj>
      </w:sdtPr>
      <w:sdtEndPr>
        <w:rPr>
          <w:b/>
          <w:bCs/>
          <w:noProof/>
        </w:rPr>
      </w:sdtEndPr>
      <w:sdtContent>
        <w:p w14:paraId="405942D0" w14:textId="54736AFF" w:rsidR="00CC1722" w:rsidRPr="003923BA" w:rsidRDefault="00CC1722" w:rsidP="003923BA">
          <w:pPr>
            <w:pStyle w:val="TOCHeading"/>
            <w:spacing w:line="360" w:lineRule="auto"/>
            <w:jc w:val="center"/>
            <w:rPr>
              <w:rFonts w:ascii="Arial" w:hAnsi="Arial" w:cs="Arial"/>
              <w:b/>
              <w:bCs/>
              <w:color w:val="auto"/>
              <w:sz w:val="22"/>
              <w:szCs w:val="22"/>
            </w:rPr>
          </w:pPr>
          <w:r w:rsidRPr="003923BA">
            <w:rPr>
              <w:rFonts w:ascii="Arial" w:hAnsi="Arial" w:cs="Arial"/>
              <w:b/>
              <w:bCs/>
              <w:color w:val="auto"/>
              <w:sz w:val="22"/>
              <w:szCs w:val="22"/>
            </w:rPr>
            <w:t>Table of Contents</w:t>
          </w:r>
        </w:p>
        <w:p w14:paraId="68422F6A" w14:textId="6227E178" w:rsidR="003923BA" w:rsidRPr="003923BA" w:rsidRDefault="00CC1722" w:rsidP="003923BA">
          <w:pPr>
            <w:pStyle w:val="TOC3"/>
            <w:tabs>
              <w:tab w:val="right" w:leader="dot" w:pos="9016"/>
            </w:tabs>
            <w:spacing w:line="360" w:lineRule="auto"/>
            <w:rPr>
              <w:rFonts w:eastAsiaTheme="minorEastAsia"/>
              <w:noProof/>
              <w:lang w:eastAsia="en-GB"/>
            </w:rPr>
          </w:pPr>
          <w:r w:rsidRPr="003923BA">
            <w:rPr>
              <w:rFonts w:ascii="Arial" w:hAnsi="Arial" w:cs="Arial"/>
              <w:sz w:val="22"/>
              <w:szCs w:val="22"/>
            </w:rPr>
            <w:fldChar w:fldCharType="begin"/>
          </w:r>
          <w:r w:rsidRPr="003923BA">
            <w:rPr>
              <w:rFonts w:ascii="Arial" w:hAnsi="Arial" w:cs="Arial"/>
              <w:sz w:val="22"/>
              <w:szCs w:val="22"/>
            </w:rPr>
            <w:instrText xml:space="preserve"> TOC \o "1-3" \h \z \u </w:instrText>
          </w:r>
          <w:r w:rsidRPr="003923BA">
            <w:rPr>
              <w:rFonts w:ascii="Arial" w:hAnsi="Arial" w:cs="Arial"/>
              <w:sz w:val="22"/>
              <w:szCs w:val="22"/>
            </w:rPr>
            <w:fldChar w:fldCharType="separate"/>
          </w:r>
          <w:hyperlink w:anchor="_Toc220721648" w:history="1">
            <w:r w:rsidR="003923BA" w:rsidRPr="003923BA">
              <w:rPr>
                <w:rStyle w:val="Hyperlink"/>
                <w:rFonts w:ascii="Arial" w:eastAsia="Times New Roman" w:hAnsi="Arial" w:cs="Arial"/>
                <w:noProof/>
                <w:kern w:val="0"/>
                <w:lang w:eastAsia="en-GB"/>
                <w14:ligatures w14:val="none"/>
              </w:rPr>
              <w:t>a. Introduction: Understanding Diabetes Mellitus and Risk Factors</w:t>
            </w:r>
            <w:r w:rsidR="003923BA" w:rsidRPr="003923BA">
              <w:rPr>
                <w:noProof/>
                <w:webHidden/>
              </w:rPr>
              <w:tab/>
            </w:r>
            <w:r w:rsidR="003923BA" w:rsidRPr="003923BA">
              <w:rPr>
                <w:noProof/>
                <w:webHidden/>
              </w:rPr>
              <w:fldChar w:fldCharType="begin"/>
            </w:r>
            <w:r w:rsidR="003923BA" w:rsidRPr="003923BA">
              <w:rPr>
                <w:noProof/>
                <w:webHidden/>
              </w:rPr>
              <w:instrText xml:space="preserve"> PAGEREF _Toc220721648 \h </w:instrText>
            </w:r>
            <w:r w:rsidR="003923BA" w:rsidRPr="003923BA">
              <w:rPr>
                <w:noProof/>
                <w:webHidden/>
              </w:rPr>
            </w:r>
            <w:r w:rsidR="003923BA" w:rsidRPr="003923BA">
              <w:rPr>
                <w:noProof/>
                <w:webHidden/>
              </w:rPr>
              <w:fldChar w:fldCharType="separate"/>
            </w:r>
            <w:r w:rsidR="003923BA" w:rsidRPr="003923BA">
              <w:rPr>
                <w:noProof/>
                <w:webHidden/>
              </w:rPr>
              <w:t>3</w:t>
            </w:r>
            <w:r w:rsidR="003923BA" w:rsidRPr="003923BA">
              <w:rPr>
                <w:noProof/>
                <w:webHidden/>
              </w:rPr>
              <w:fldChar w:fldCharType="end"/>
            </w:r>
          </w:hyperlink>
        </w:p>
        <w:p w14:paraId="4E21E753" w14:textId="6AB1BA1D" w:rsidR="003923BA" w:rsidRPr="003923BA" w:rsidRDefault="003923BA" w:rsidP="003923BA">
          <w:pPr>
            <w:pStyle w:val="TOC3"/>
            <w:tabs>
              <w:tab w:val="right" w:leader="dot" w:pos="9016"/>
            </w:tabs>
            <w:spacing w:line="360" w:lineRule="auto"/>
            <w:rPr>
              <w:rFonts w:eastAsiaTheme="minorEastAsia"/>
              <w:noProof/>
              <w:lang w:eastAsia="en-GB"/>
            </w:rPr>
          </w:pPr>
          <w:hyperlink w:anchor="_Toc220721649" w:history="1">
            <w:r w:rsidRPr="003923BA">
              <w:rPr>
                <w:rStyle w:val="Hyperlink"/>
                <w:rFonts w:ascii="Arial" w:eastAsia="Times New Roman" w:hAnsi="Arial" w:cs="Arial"/>
                <w:noProof/>
                <w:kern w:val="0"/>
                <w:lang w:eastAsia="en-GB"/>
                <w14:ligatures w14:val="none"/>
              </w:rPr>
              <w:t>b. Cell Metabolism: The Role of Oxygen and Glucose in Energy Production</w:t>
            </w:r>
            <w:r w:rsidRPr="003923BA">
              <w:rPr>
                <w:noProof/>
                <w:webHidden/>
              </w:rPr>
              <w:tab/>
            </w:r>
            <w:r w:rsidRPr="003923BA">
              <w:rPr>
                <w:noProof/>
                <w:webHidden/>
              </w:rPr>
              <w:fldChar w:fldCharType="begin"/>
            </w:r>
            <w:r w:rsidRPr="003923BA">
              <w:rPr>
                <w:noProof/>
                <w:webHidden/>
              </w:rPr>
              <w:instrText xml:space="preserve"> PAGEREF _Toc220721649 \h </w:instrText>
            </w:r>
            <w:r w:rsidRPr="003923BA">
              <w:rPr>
                <w:noProof/>
                <w:webHidden/>
              </w:rPr>
            </w:r>
            <w:r w:rsidRPr="003923BA">
              <w:rPr>
                <w:noProof/>
                <w:webHidden/>
              </w:rPr>
              <w:fldChar w:fldCharType="separate"/>
            </w:r>
            <w:r w:rsidRPr="003923BA">
              <w:rPr>
                <w:noProof/>
                <w:webHidden/>
              </w:rPr>
              <w:t>4</w:t>
            </w:r>
            <w:r w:rsidRPr="003923BA">
              <w:rPr>
                <w:noProof/>
                <w:webHidden/>
              </w:rPr>
              <w:fldChar w:fldCharType="end"/>
            </w:r>
          </w:hyperlink>
        </w:p>
        <w:p w14:paraId="05B431A0" w14:textId="440A35DA" w:rsidR="003923BA" w:rsidRPr="003923BA" w:rsidRDefault="003923BA" w:rsidP="003923BA">
          <w:pPr>
            <w:pStyle w:val="TOC3"/>
            <w:tabs>
              <w:tab w:val="right" w:leader="dot" w:pos="9016"/>
            </w:tabs>
            <w:spacing w:line="360" w:lineRule="auto"/>
            <w:rPr>
              <w:rFonts w:eastAsiaTheme="minorEastAsia"/>
              <w:noProof/>
              <w:lang w:eastAsia="en-GB"/>
            </w:rPr>
          </w:pPr>
          <w:hyperlink w:anchor="_Toc220721650" w:history="1">
            <w:r w:rsidRPr="003923BA">
              <w:rPr>
                <w:rStyle w:val="Hyperlink"/>
                <w:rFonts w:ascii="Arial" w:eastAsia="Times New Roman" w:hAnsi="Arial" w:cs="Arial"/>
                <w:noProof/>
                <w:kern w:val="0"/>
                <w:lang w:eastAsia="en-GB"/>
                <w14:ligatures w14:val="none"/>
              </w:rPr>
              <w:t>c. Blood Sugar Homeostasis: Maintenance and Effective Levels</w:t>
            </w:r>
            <w:r w:rsidRPr="003923BA">
              <w:rPr>
                <w:noProof/>
                <w:webHidden/>
              </w:rPr>
              <w:tab/>
            </w:r>
            <w:r w:rsidRPr="003923BA">
              <w:rPr>
                <w:noProof/>
                <w:webHidden/>
              </w:rPr>
              <w:fldChar w:fldCharType="begin"/>
            </w:r>
            <w:r w:rsidRPr="003923BA">
              <w:rPr>
                <w:noProof/>
                <w:webHidden/>
              </w:rPr>
              <w:instrText xml:space="preserve"> PAGEREF _Toc220721650 \h </w:instrText>
            </w:r>
            <w:r w:rsidRPr="003923BA">
              <w:rPr>
                <w:noProof/>
                <w:webHidden/>
              </w:rPr>
            </w:r>
            <w:r w:rsidRPr="003923BA">
              <w:rPr>
                <w:noProof/>
                <w:webHidden/>
              </w:rPr>
              <w:fldChar w:fldCharType="separate"/>
            </w:r>
            <w:r w:rsidRPr="003923BA">
              <w:rPr>
                <w:noProof/>
                <w:webHidden/>
              </w:rPr>
              <w:t>6</w:t>
            </w:r>
            <w:r w:rsidRPr="003923BA">
              <w:rPr>
                <w:noProof/>
                <w:webHidden/>
              </w:rPr>
              <w:fldChar w:fldCharType="end"/>
            </w:r>
          </w:hyperlink>
        </w:p>
        <w:p w14:paraId="6CE06BC3" w14:textId="3BC7E0F6" w:rsidR="003923BA" w:rsidRPr="003923BA" w:rsidRDefault="003923BA" w:rsidP="003923BA">
          <w:pPr>
            <w:pStyle w:val="TOC3"/>
            <w:tabs>
              <w:tab w:val="right" w:leader="dot" w:pos="9016"/>
            </w:tabs>
            <w:spacing w:line="360" w:lineRule="auto"/>
            <w:rPr>
              <w:rFonts w:eastAsiaTheme="minorEastAsia"/>
              <w:noProof/>
              <w:lang w:eastAsia="en-GB"/>
            </w:rPr>
          </w:pPr>
          <w:hyperlink w:anchor="_Toc220721651" w:history="1">
            <w:r w:rsidRPr="003923BA">
              <w:rPr>
                <w:rStyle w:val="Hyperlink"/>
                <w:rFonts w:ascii="Arial" w:eastAsia="Times New Roman" w:hAnsi="Arial" w:cs="Arial"/>
                <w:noProof/>
                <w:kern w:val="0"/>
                <w:lang w:eastAsia="en-GB"/>
                <w14:ligatures w14:val="none"/>
              </w:rPr>
              <w:t>d. The Importance of Recording and Tracking Blood Sugar Levels</w:t>
            </w:r>
            <w:r w:rsidRPr="003923BA">
              <w:rPr>
                <w:noProof/>
                <w:webHidden/>
              </w:rPr>
              <w:tab/>
            </w:r>
            <w:r w:rsidRPr="003923BA">
              <w:rPr>
                <w:noProof/>
                <w:webHidden/>
              </w:rPr>
              <w:fldChar w:fldCharType="begin"/>
            </w:r>
            <w:r w:rsidRPr="003923BA">
              <w:rPr>
                <w:noProof/>
                <w:webHidden/>
              </w:rPr>
              <w:instrText xml:space="preserve"> PAGEREF _Toc220721651 \h </w:instrText>
            </w:r>
            <w:r w:rsidRPr="003923BA">
              <w:rPr>
                <w:noProof/>
                <w:webHidden/>
              </w:rPr>
            </w:r>
            <w:r w:rsidRPr="003923BA">
              <w:rPr>
                <w:noProof/>
                <w:webHidden/>
              </w:rPr>
              <w:fldChar w:fldCharType="separate"/>
            </w:r>
            <w:r w:rsidRPr="003923BA">
              <w:rPr>
                <w:noProof/>
                <w:webHidden/>
              </w:rPr>
              <w:t>7</w:t>
            </w:r>
            <w:r w:rsidRPr="003923BA">
              <w:rPr>
                <w:noProof/>
                <w:webHidden/>
              </w:rPr>
              <w:fldChar w:fldCharType="end"/>
            </w:r>
          </w:hyperlink>
        </w:p>
        <w:p w14:paraId="78931138" w14:textId="7B97B533" w:rsidR="003923BA" w:rsidRPr="003923BA" w:rsidRDefault="003923BA" w:rsidP="003923BA">
          <w:pPr>
            <w:pStyle w:val="TOC3"/>
            <w:tabs>
              <w:tab w:val="right" w:leader="dot" w:pos="9016"/>
            </w:tabs>
            <w:spacing w:line="360" w:lineRule="auto"/>
            <w:rPr>
              <w:rFonts w:eastAsiaTheme="minorEastAsia"/>
              <w:noProof/>
              <w:lang w:eastAsia="en-GB"/>
            </w:rPr>
          </w:pPr>
          <w:hyperlink w:anchor="_Toc220721652" w:history="1">
            <w:r w:rsidRPr="003923BA">
              <w:rPr>
                <w:rStyle w:val="Hyperlink"/>
                <w:rFonts w:ascii="Arial" w:eastAsia="Times New Roman" w:hAnsi="Arial" w:cs="Arial"/>
                <w:noProof/>
                <w:kern w:val="0"/>
                <w:lang w:eastAsia="en-GB"/>
                <w14:ligatures w14:val="none"/>
              </w:rPr>
              <w:t>e. Evidence-Based Lifestyle Recommendations</w:t>
            </w:r>
            <w:r w:rsidRPr="003923BA">
              <w:rPr>
                <w:noProof/>
                <w:webHidden/>
              </w:rPr>
              <w:tab/>
            </w:r>
            <w:r w:rsidRPr="003923BA">
              <w:rPr>
                <w:noProof/>
                <w:webHidden/>
              </w:rPr>
              <w:fldChar w:fldCharType="begin"/>
            </w:r>
            <w:r w:rsidRPr="003923BA">
              <w:rPr>
                <w:noProof/>
                <w:webHidden/>
              </w:rPr>
              <w:instrText xml:space="preserve"> PAGEREF _Toc220721652 \h </w:instrText>
            </w:r>
            <w:r w:rsidRPr="003923BA">
              <w:rPr>
                <w:noProof/>
                <w:webHidden/>
              </w:rPr>
            </w:r>
            <w:r w:rsidRPr="003923BA">
              <w:rPr>
                <w:noProof/>
                <w:webHidden/>
              </w:rPr>
              <w:fldChar w:fldCharType="separate"/>
            </w:r>
            <w:r w:rsidRPr="003923BA">
              <w:rPr>
                <w:noProof/>
                <w:webHidden/>
              </w:rPr>
              <w:t>8</w:t>
            </w:r>
            <w:r w:rsidRPr="003923BA">
              <w:rPr>
                <w:noProof/>
                <w:webHidden/>
              </w:rPr>
              <w:fldChar w:fldCharType="end"/>
            </w:r>
          </w:hyperlink>
        </w:p>
        <w:p w14:paraId="3D089B70" w14:textId="19A172F5" w:rsidR="003923BA" w:rsidRPr="003923BA" w:rsidRDefault="003923BA" w:rsidP="003923BA">
          <w:pPr>
            <w:pStyle w:val="TOC3"/>
            <w:tabs>
              <w:tab w:val="right" w:leader="dot" w:pos="9016"/>
            </w:tabs>
            <w:spacing w:line="360" w:lineRule="auto"/>
            <w:rPr>
              <w:rFonts w:eastAsiaTheme="minorEastAsia"/>
              <w:noProof/>
              <w:lang w:eastAsia="en-GB"/>
            </w:rPr>
          </w:pPr>
          <w:hyperlink w:anchor="_Toc220721653" w:history="1">
            <w:r w:rsidRPr="003923BA">
              <w:rPr>
                <w:rStyle w:val="Hyperlink"/>
                <w:rFonts w:ascii="Arial" w:eastAsia="Times New Roman" w:hAnsi="Arial" w:cs="Arial"/>
                <w:noProof/>
                <w:kern w:val="0"/>
                <w:lang w:eastAsia="en-GB"/>
                <w14:ligatures w14:val="none"/>
              </w:rPr>
              <w:t>f. Conclusion</w:t>
            </w:r>
            <w:r w:rsidRPr="003923BA">
              <w:rPr>
                <w:noProof/>
                <w:webHidden/>
              </w:rPr>
              <w:tab/>
            </w:r>
            <w:r w:rsidRPr="003923BA">
              <w:rPr>
                <w:noProof/>
                <w:webHidden/>
              </w:rPr>
              <w:fldChar w:fldCharType="begin"/>
            </w:r>
            <w:r w:rsidRPr="003923BA">
              <w:rPr>
                <w:noProof/>
                <w:webHidden/>
              </w:rPr>
              <w:instrText xml:space="preserve"> PAGEREF _Toc220721653 \h </w:instrText>
            </w:r>
            <w:r w:rsidRPr="003923BA">
              <w:rPr>
                <w:noProof/>
                <w:webHidden/>
              </w:rPr>
            </w:r>
            <w:r w:rsidRPr="003923BA">
              <w:rPr>
                <w:noProof/>
                <w:webHidden/>
              </w:rPr>
              <w:fldChar w:fldCharType="separate"/>
            </w:r>
            <w:r w:rsidRPr="003923BA">
              <w:rPr>
                <w:noProof/>
                <w:webHidden/>
              </w:rPr>
              <w:t>10</w:t>
            </w:r>
            <w:r w:rsidRPr="003923BA">
              <w:rPr>
                <w:noProof/>
                <w:webHidden/>
              </w:rPr>
              <w:fldChar w:fldCharType="end"/>
            </w:r>
          </w:hyperlink>
        </w:p>
        <w:p w14:paraId="0E3FE88A" w14:textId="31705C36" w:rsidR="003923BA" w:rsidRPr="003923BA" w:rsidRDefault="003923BA" w:rsidP="003923BA">
          <w:pPr>
            <w:pStyle w:val="TOC3"/>
            <w:tabs>
              <w:tab w:val="right" w:leader="dot" w:pos="9016"/>
            </w:tabs>
            <w:spacing w:line="360" w:lineRule="auto"/>
            <w:rPr>
              <w:rFonts w:eastAsiaTheme="minorEastAsia"/>
              <w:noProof/>
              <w:lang w:eastAsia="en-GB"/>
            </w:rPr>
          </w:pPr>
          <w:hyperlink w:anchor="_Toc220721654" w:history="1">
            <w:r w:rsidRPr="003923BA">
              <w:rPr>
                <w:rStyle w:val="Hyperlink"/>
                <w:rFonts w:ascii="Arial" w:eastAsia="Times New Roman" w:hAnsi="Arial" w:cs="Arial"/>
                <w:noProof/>
                <w:kern w:val="0"/>
                <w:lang w:eastAsia="en-GB"/>
                <w14:ligatures w14:val="none"/>
              </w:rPr>
              <w:t>g. Reference List</w:t>
            </w:r>
            <w:r w:rsidRPr="003923BA">
              <w:rPr>
                <w:noProof/>
                <w:webHidden/>
              </w:rPr>
              <w:tab/>
            </w:r>
            <w:r w:rsidRPr="003923BA">
              <w:rPr>
                <w:noProof/>
                <w:webHidden/>
              </w:rPr>
              <w:fldChar w:fldCharType="begin"/>
            </w:r>
            <w:r w:rsidRPr="003923BA">
              <w:rPr>
                <w:noProof/>
                <w:webHidden/>
              </w:rPr>
              <w:instrText xml:space="preserve"> PAGEREF _Toc220721654 \h </w:instrText>
            </w:r>
            <w:r w:rsidRPr="003923BA">
              <w:rPr>
                <w:noProof/>
                <w:webHidden/>
              </w:rPr>
            </w:r>
            <w:r w:rsidRPr="003923BA">
              <w:rPr>
                <w:noProof/>
                <w:webHidden/>
              </w:rPr>
              <w:fldChar w:fldCharType="separate"/>
            </w:r>
            <w:r w:rsidRPr="003923BA">
              <w:rPr>
                <w:noProof/>
                <w:webHidden/>
              </w:rPr>
              <w:t>11</w:t>
            </w:r>
            <w:r w:rsidRPr="003923BA">
              <w:rPr>
                <w:noProof/>
                <w:webHidden/>
              </w:rPr>
              <w:fldChar w:fldCharType="end"/>
            </w:r>
          </w:hyperlink>
        </w:p>
        <w:p w14:paraId="3B64F2E4" w14:textId="44C8A93C" w:rsidR="00CC1722" w:rsidRPr="00520CD6" w:rsidRDefault="00CC1722" w:rsidP="003923BA">
          <w:pPr>
            <w:spacing w:line="360" w:lineRule="auto"/>
            <w:rPr>
              <w:rFonts w:ascii="Arial" w:hAnsi="Arial" w:cs="Arial"/>
              <w:sz w:val="22"/>
              <w:szCs w:val="22"/>
            </w:rPr>
          </w:pPr>
          <w:r w:rsidRPr="003923BA">
            <w:rPr>
              <w:rFonts w:ascii="Arial" w:hAnsi="Arial" w:cs="Arial"/>
              <w:noProof/>
              <w:sz w:val="22"/>
              <w:szCs w:val="22"/>
            </w:rPr>
            <w:fldChar w:fldCharType="end"/>
          </w:r>
        </w:p>
      </w:sdtContent>
    </w:sdt>
    <w:p w14:paraId="31E396E1" w14:textId="77777777" w:rsidR="00CC1722" w:rsidRPr="00520CD6" w:rsidRDefault="00CC1722" w:rsidP="003923BA">
      <w:pPr>
        <w:spacing w:line="360" w:lineRule="auto"/>
        <w:rPr>
          <w:rFonts w:ascii="Arial" w:hAnsi="Arial" w:cs="Arial"/>
          <w:kern w:val="0"/>
          <w:sz w:val="22"/>
          <w:szCs w:val="22"/>
          <w:lang w:eastAsia="en-GB"/>
        </w:rPr>
      </w:pPr>
    </w:p>
    <w:p w14:paraId="07F01F39" w14:textId="77777777" w:rsidR="00CC1722" w:rsidRPr="00520CD6" w:rsidRDefault="00CC1722" w:rsidP="003923BA">
      <w:pPr>
        <w:spacing w:line="360" w:lineRule="auto"/>
        <w:rPr>
          <w:rFonts w:ascii="Arial" w:eastAsia="Times New Roman" w:hAnsi="Arial" w:cs="Arial"/>
          <w:b/>
          <w:bCs/>
          <w:kern w:val="0"/>
          <w:sz w:val="22"/>
          <w:szCs w:val="22"/>
          <w:lang w:eastAsia="en-GB"/>
          <w14:ligatures w14:val="none"/>
        </w:rPr>
      </w:pPr>
      <w:r w:rsidRPr="00520CD6">
        <w:rPr>
          <w:rFonts w:ascii="Arial" w:eastAsia="Times New Roman" w:hAnsi="Arial" w:cs="Arial"/>
          <w:b/>
          <w:bCs/>
          <w:kern w:val="0"/>
          <w:sz w:val="22"/>
          <w:szCs w:val="22"/>
          <w:lang w:eastAsia="en-GB"/>
          <w14:ligatures w14:val="none"/>
        </w:rPr>
        <w:br w:type="page"/>
      </w:r>
    </w:p>
    <w:p w14:paraId="501CB256" w14:textId="38008B63" w:rsidR="00CC1722" w:rsidRPr="00520CD6" w:rsidRDefault="00CC1722" w:rsidP="003923BA">
      <w:pPr>
        <w:spacing w:after="120" w:line="360" w:lineRule="auto"/>
        <w:jc w:val="both"/>
        <w:outlineLvl w:val="2"/>
        <w:rPr>
          <w:rFonts w:ascii="Arial" w:eastAsia="Times New Roman" w:hAnsi="Arial" w:cs="Arial"/>
          <w:b/>
          <w:bCs/>
          <w:kern w:val="0"/>
          <w:sz w:val="22"/>
          <w:szCs w:val="22"/>
          <w:lang w:eastAsia="en-GB"/>
          <w14:ligatures w14:val="none"/>
        </w:rPr>
      </w:pPr>
      <w:bookmarkStart w:id="0" w:name="_Toc220721648"/>
      <w:r w:rsidRPr="00520CD6">
        <w:rPr>
          <w:rFonts w:ascii="Arial" w:eastAsia="Times New Roman" w:hAnsi="Arial" w:cs="Arial"/>
          <w:b/>
          <w:bCs/>
          <w:kern w:val="0"/>
          <w:sz w:val="22"/>
          <w:szCs w:val="22"/>
          <w:lang w:eastAsia="en-GB"/>
          <w14:ligatures w14:val="none"/>
        </w:rPr>
        <w:lastRenderedPageBreak/>
        <w:t>a. Introduction: Understanding Diabetes Mellitus and Risk Factors</w:t>
      </w:r>
      <w:bookmarkEnd w:id="0"/>
    </w:p>
    <w:p w14:paraId="11EB8E35" w14:textId="2E7A7D68" w:rsidR="00B94D3D" w:rsidRPr="00520CD6" w:rsidRDefault="00B94D3D" w:rsidP="003923BA">
      <w:pPr>
        <w:spacing w:after="240" w:line="360" w:lineRule="auto"/>
        <w:ind w:firstLine="720"/>
        <w:jc w:val="both"/>
        <w:rPr>
          <w:rFonts w:ascii="Arial" w:eastAsia="Times New Roman" w:hAnsi="Arial" w:cs="Arial"/>
          <w:kern w:val="0"/>
          <w:sz w:val="22"/>
          <w:szCs w:val="22"/>
          <w:lang w:eastAsia="en-GB"/>
          <w14:ligatures w14:val="none"/>
        </w:rPr>
      </w:pPr>
      <w:r w:rsidRPr="00520CD6">
        <w:rPr>
          <w:rFonts w:ascii="Arial" w:eastAsia="Times New Roman" w:hAnsi="Arial" w:cs="Arial"/>
          <w:kern w:val="0"/>
          <w:sz w:val="22"/>
          <w:szCs w:val="22"/>
          <w:lang w:eastAsia="en-GB"/>
          <w14:ligatures w14:val="none"/>
        </w:rPr>
        <w:t xml:space="preserve">Diabetes Mellitus (DM) is a long-term compound metabolic condition that leads to unremitting </w:t>
      </w:r>
      <w:proofErr w:type="spellStart"/>
      <w:r w:rsidRPr="00520CD6">
        <w:rPr>
          <w:rFonts w:ascii="Arial" w:eastAsia="Times New Roman" w:hAnsi="Arial" w:cs="Arial"/>
          <w:kern w:val="0"/>
          <w:sz w:val="22"/>
          <w:szCs w:val="22"/>
          <w:lang w:eastAsia="en-GB"/>
          <w14:ligatures w14:val="none"/>
        </w:rPr>
        <w:t>hyperglycemia</w:t>
      </w:r>
      <w:proofErr w:type="spellEnd"/>
      <w:r w:rsidRPr="00520CD6">
        <w:rPr>
          <w:rFonts w:ascii="Arial" w:eastAsia="Times New Roman" w:hAnsi="Arial" w:cs="Arial"/>
          <w:kern w:val="0"/>
          <w:sz w:val="22"/>
          <w:szCs w:val="22"/>
          <w:lang w:eastAsia="en-GB"/>
          <w14:ligatures w14:val="none"/>
        </w:rPr>
        <w:t xml:space="preserve"> caused by a fundamental loss of glucose homeostasis. The cause of such breakdown is usually the problem with either of the two or the combination of both insulin secretion and insulin action (Care, 2023). In the local GP surgery primary care environment, the rapidly increasing incidence of Type 2 Diabetes Mellitus (T2DM) has become a primary health issue of concern to the population. In the world, T2DM contributes to the world burden of all diabetes cases (about 90%), with obesogenic environment and sedentary living becoming leading causes of this condition (World Health Organi</w:t>
      </w:r>
      <w:r w:rsidR="00E31070" w:rsidRPr="00520CD6">
        <w:rPr>
          <w:rFonts w:ascii="Arial" w:eastAsia="Times New Roman" w:hAnsi="Arial" w:cs="Arial"/>
          <w:kern w:val="0"/>
          <w:sz w:val="22"/>
          <w:szCs w:val="22"/>
          <w:lang w:eastAsia="en-GB"/>
          <w14:ligatures w14:val="none"/>
        </w:rPr>
        <w:t>s</w:t>
      </w:r>
      <w:r w:rsidRPr="00520CD6">
        <w:rPr>
          <w:rFonts w:ascii="Arial" w:eastAsia="Times New Roman" w:hAnsi="Arial" w:cs="Arial"/>
          <w:kern w:val="0"/>
          <w:sz w:val="22"/>
          <w:szCs w:val="22"/>
          <w:lang w:eastAsia="en-GB"/>
          <w14:ligatures w14:val="none"/>
        </w:rPr>
        <w:t>ation, 202</w:t>
      </w:r>
      <w:r w:rsidR="00E31070" w:rsidRPr="00520CD6">
        <w:rPr>
          <w:rFonts w:ascii="Arial" w:eastAsia="Times New Roman" w:hAnsi="Arial" w:cs="Arial"/>
          <w:kern w:val="0"/>
          <w:sz w:val="22"/>
          <w:szCs w:val="22"/>
          <w:lang w:eastAsia="en-GB"/>
          <w14:ligatures w14:val="none"/>
        </w:rPr>
        <w:t>2</w:t>
      </w:r>
      <w:r w:rsidRPr="00520CD6">
        <w:rPr>
          <w:rFonts w:ascii="Arial" w:eastAsia="Times New Roman" w:hAnsi="Arial" w:cs="Arial"/>
          <w:kern w:val="0"/>
          <w:sz w:val="22"/>
          <w:szCs w:val="22"/>
          <w:lang w:eastAsia="en-GB"/>
          <w14:ligatures w14:val="none"/>
        </w:rPr>
        <w:t>).</w:t>
      </w:r>
    </w:p>
    <w:p w14:paraId="14BB3A95" w14:textId="5B2ECB87" w:rsidR="00B94D3D" w:rsidRPr="00520CD6" w:rsidRDefault="00B94D3D" w:rsidP="003923BA">
      <w:pPr>
        <w:spacing w:after="240" w:line="360" w:lineRule="auto"/>
        <w:ind w:firstLine="720"/>
        <w:jc w:val="both"/>
        <w:rPr>
          <w:rFonts w:ascii="Arial" w:eastAsia="Times New Roman" w:hAnsi="Arial" w:cs="Arial"/>
          <w:kern w:val="0"/>
          <w:sz w:val="22"/>
          <w:szCs w:val="22"/>
          <w:lang w:eastAsia="en-GB"/>
          <w14:ligatures w14:val="none"/>
        </w:rPr>
      </w:pPr>
      <w:r w:rsidRPr="00520CD6">
        <w:rPr>
          <w:rFonts w:ascii="Arial" w:eastAsia="Times New Roman" w:hAnsi="Arial" w:cs="Arial"/>
          <w:kern w:val="0"/>
          <w:sz w:val="22"/>
          <w:szCs w:val="22"/>
          <w:lang w:eastAsia="en-GB"/>
          <w14:ligatures w14:val="none"/>
        </w:rPr>
        <w:t>The T2DM process is a gradual process that is characteri</w:t>
      </w:r>
      <w:r w:rsidR="00E31070" w:rsidRPr="00520CD6">
        <w:rPr>
          <w:rFonts w:ascii="Arial" w:eastAsia="Times New Roman" w:hAnsi="Arial" w:cs="Arial"/>
          <w:kern w:val="0"/>
          <w:sz w:val="22"/>
          <w:szCs w:val="22"/>
          <w:lang w:eastAsia="en-GB"/>
          <w14:ligatures w14:val="none"/>
        </w:rPr>
        <w:t>s</w:t>
      </w:r>
      <w:r w:rsidRPr="00520CD6">
        <w:rPr>
          <w:rFonts w:ascii="Arial" w:eastAsia="Times New Roman" w:hAnsi="Arial" w:cs="Arial"/>
          <w:kern w:val="0"/>
          <w:sz w:val="22"/>
          <w:szCs w:val="22"/>
          <w:lang w:eastAsia="en-GB"/>
          <w14:ligatures w14:val="none"/>
        </w:rPr>
        <w:t>ed by an intricate combination of genetic predisposition and environmental factors. The various risk factors are usually divided into non-modifiable and modifiable. The factors that cannot be changed are age (over 45), family genetics, and certain ethnic origin, people of South Asian origin, African-Caribbean origin, and Black African origin are at a statistically higher risk with a lower Body Mass Index (BMI) than Caucasian populations (Diabetes UK, 2023).</w:t>
      </w:r>
    </w:p>
    <w:p w14:paraId="11F272FC" w14:textId="5FD0D2EB" w:rsidR="00CC1722" w:rsidRPr="00520CD6" w:rsidRDefault="00B94D3D" w:rsidP="003923BA">
      <w:pPr>
        <w:spacing w:after="240" w:line="360" w:lineRule="auto"/>
        <w:ind w:firstLine="720"/>
        <w:jc w:val="both"/>
        <w:rPr>
          <w:rFonts w:ascii="Arial" w:eastAsia="Times New Roman" w:hAnsi="Arial" w:cs="Arial"/>
          <w:kern w:val="0"/>
          <w:sz w:val="22"/>
          <w:szCs w:val="22"/>
          <w:lang w:eastAsia="en-GB"/>
          <w14:ligatures w14:val="none"/>
        </w:rPr>
      </w:pPr>
      <w:proofErr w:type="gramStart"/>
      <w:r w:rsidRPr="00520CD6">
        <w:rPr>
          <w:rFonts w:ascii="Arial" w:eastAsia="Times New Roman" w:hAnsi="Arial" w:cs="Arial"/>
          <w:kern w:val="0"/>
          <w:sz w:val="22"/>
          <w:szCs w:val="22"/>
          <w:lang w:eastAsia="en-GB"/>
          <w14:ligatures w14:val="none"/>
        </w:rPr>
        <w:t>Yet,</w:t>
      </w:r>
      <w:proofErr w:type="gramEnd"/>
      <w:r w:rsidRPr="00520CD6">
        <w:rPr>
          <w:rFonts w:ascii="Arial" w:eastAsia="Times New Roman" w:hAnsi="Arial" w:cs="Arial"/>
          <w:kern w:val="0"/>
          <w:sz w:val="22"/>
          <w:szCs w:val="22"/>
          <w:lang w:eastAsia="en-GB"/>
          <w14:ligatures w14:val="none"/>
        </w:rPr>
        <w:t xml:space="preserve"> modifiable risk factors are the main cause of the existing epidemic. The strongest predictor of T2DM is obesity, in this case, central or visceral adiposity. Fat tissue acts as an active endocrine organ and releases pro-inflammatory cytokines like </w:t>
      </w:r>
      <w:proofErr w:type="spellStart"/>
      <w:r w:rsidRPr="00520CD6">
        <w:rPr>
          <w:rFonts w:ascii="Arial" w:eastAsia="Times New Roman" w:hAnsi="Arial" w:cs="Arial"/>
          <w:kern w:val="0"/>
          <w:sz w:val="22"/>
          <w:szCs w:val="22"/>
          <w:lang w:eastAsia="en-GB"/>
          <w14:ligatures w14:val="none"/>
        </w:rPr>
        <w:t>Tumor</w:t>
      </w:r>
      <w:proofErr w:type="spellEnd"/>
      <w:r w:rsidRPr="00520CD6">
        <w:rPr>
          <w:rFonts w:ascii="Arial" w:eastAsia="Times New Roman" w:hAnsi="Arial" w:cs="Arial"/>
          <w:kern w:val="0"/>
          <w:sz w:val="22"/>
          <w:szCs w:val="22"/>
          <w:lang w:eastAsia="en-GB"/>
          <w14:ligatures w14:val="none"/>
        </w:rPr>
        <w:t xml:space="preserve"> Necrosis Factor-alpha (TNF- </w:t>
      </w:r>
      <w:proofErr w:type="gramStart"/>
      <w:r w:rsidRPr="00520CD6">
        <w:rPr>
          <w:rFonts w:ascii="Arial" w:eastAsia="Times New Roman" w:hAnsi="Arial" w:cs="Arial"/>
          <w:kern w:val="0"/>
          <w:sz w:val="22"/>
          <w:szCs w:val="22"/>
          <w:lang w:eastAsia="en-GB"/>
          <w14:ligatures w14:val="none"/>
        </w:rPr>
        <w:t>0 )</w:t>
      </w:r>
      <w:proofErr w:type="gramEnd"/>
      <w:r w:rsidRPr="00520CD6">
        <w:rPr>
          <w:rFonts w:ascii="Arial" w:eastAsia="Times New Roman" w:hAnsi="Arial" w:cs="Arial"/>
          <w:kern w:val="0"/>
          <w:sz w:val="22"/>
          <w:szCs w:val="22"/>
          <w:lang w:eastAsia="en-GB"/>
          <w14:ligatures w14:val="none"/>
        </w:rPr>
        <w:t xml:space="preserve"> and Interleukin- 6 (IL- </w:t>
      </w:r>
      <w:proofErr w:type="gramStart"/>
      <w:r w:rsidRPr="00520CD6">
        <w:rPr>
          <w:rFonts w:ascii="Arial" w:eastAsia="Times New Roman" w:hAnsi="Arial" w:cs="Arial"/>
          <w:kern w:val="0"/>
          <w:sz w:val="22"/>
          <w:szCs w:val="22"/>
          <w:lang w:eastAsia="en-GB"/>
          <w14:ligatures w14:val="none"/>
        </w:rPr>
        <w:t>6 )</w:t>
      </w:r>
      <w:proofErr w:type="gramEnd"/>
      <w:r w:rsidRPr="00520CD6">
        <w:rPr>
          <w:rFonts w:ascii="Arial" w:eastAsia="Times New Roman" w:hAnsi="Arial" w:cs="Arial"/>
          <w:kern w:val="0"/>
          <w:sz w:val="22"/>
          <w:szCs w:val="22"/>
          <w:lang w:eastAsia="en-GB"/>
          <w14:ligatures w14:val="none"/>
        </w:rPr>
        <w:t xml:space="preserve">. These chemicals plus high non-esterified fatty acids (NEFAs) disrupt the insulin </w:t>
      </w:r>
      <w:proofErr w:type="spellStart"/>
      <w:r w:rsidRPr="00520CD6">
        <w:rPr>
          <w:rFonts w:ascii="Arial" w:eastAsia="Times New Roman" w:hAnsi="Arial" w:cs="Arial"/>
          <w:kern w:val="0"/>
          <w:sz w:val="22"/>
          <w:szCs w:val="22"/>
          <w:lang w:eastAsia="en-GB"/>
          <w14:ligatures w14:val="none"/>
        </w:rPr>
        <w:t>signaling</w:t>
      </w:r>
      <w:proofErr w:type="spellEnd"/>
      <w:r w:rsidRPr="00520CD6">
        <w:rPr>
          <w:rFonts w:ascii="Arial" w:eastAsia="Times New Roman" w:hAnsi="Arial" w:cs="Arial"/>
          <w:kern w:val="0"/>
          <w:sz w:val="22"/>
          <w:szCs w:val="22"/>
          <w:lang w:eastAsia="en-GB"/>
          <w14:ligatures w14:val="none"/>
        </w:rPr>
        <w:t xml:space="preserve"> pathway, that is, phosphorylation of insulin receptor substrates (IRS-1). This interference on the part of the molecules results in insulin resistance when the liver, muscle, and adipose tissue cells cannot respond to normal insulin concentrations (International Diabetes Federation, 2021). This is aggravated by physical inactivity that decreases the amount of glucose transporter proteins (GLUT4) in skeletal muscle. Moreover, unhealthy dietary patterns that include excessive eating of ultra-processed food and consumption of beverages that contain sugar also promote chronic caloric excess and metabolic strain (</w:t>
      </w:r>
      <w:proofErr w:type="spellStart"/>
      <w:r w:rsidR="00E31070" w:rsidRPr="00520CD6">
        <w:rPr>
          <w:rFonts w:ascii="Arial" w:eastAsia="Times New Roman" w:hAnsi="Arial" w:cs="Arial"/>
          <w:kern w:val="0"/>
          <w:sz w:val="22"/>
          <w:szCs w:val="22"/>
          <w:lang w:eastAsia="en-GB"/>
          <w14:ligatures w14:val="none"/>
        </w:rPr>
        <w:t>Hwalla</w:t>
      </w:r>
      <w:proofErr w:type="spellEnd"/>
      <w:r w:rsidR="00E31070" w:rsidRPr="00520CD6">
        <w:rPr>
          <w:rFonts w:ascii="Arial" w:eastAsia="Times New Roman" w:hAnsi="Arial" w:cs="Arial"/>
          <w:kern w:val="0"/>
          <w:sz w:val="22"/>
          <w:szCs w:val="22"/>
          <w:lang w:eastAsia="en-GB"/>
          <w14:ligatures w14:val="none"/>
        </w:rPr>
        <w:t xml:space="preserve"> </w:t>
      </w:r>
      <w:r w:rsidRPr="00520CD6">
        <w:rPr>
          <w:rFonts w:ascii="Arial" w:eastAsia="Times New Roman" w:hAnsi="Arial" w:cs="Arial"/>
          <w:kern w:val="0"/>
          <w:sz w:val="22"/>
          <w:szCs w:val="22"/>
          <w:lang w:eastAsia="en-GB"/>
          <w14:ligatures w14:val="none"/>
        </w:rPr>
        <w:t>et al., 20</w:t>
      </w:r>
      <w:r w:rsidR="00E31070" w:rsidRPr="00520CD6">
        <w:rPr>
          <w:rFonts w:ascii="Arial" w:eastAsia="Times New Roman" w:hAnsi="Arial" w:cs="Arial"/>
          <w:kern w:val="0"/>
          <w:sz w:val="22"/>
          <w:szCs w:val="22"/>
          <w:lang w:eastAsia="en-GB"/>
          <w14:ligatures w14:val="none"/>
        </w:rPr>
        <w:t>21</w:t>
      </w:r>
      <w:r w:rsidRPr="00520CD6">
        <w:rPr>
          <w:rFonts w:ascii="Arial" w:eastAsia="Times New Roman" w:hAnsi="Arial" w:cs="Arial"/>
          <w:kern w:val="0"/>
          <w:sz w:val="22"/>
          <w:szCs w:val="22"/>
          <w:lang w:eastAsia="en-GB"/>
          <w14:ligatures w14:val="none"/>
        </w:rPr>
        <w:t>). To the patient, it is essential to acknowledge that a significant number of these factors are under the control of the patient and thus efficacious disease control</w:t>
      </w:r>
      <w:r w:rsidR="00CC1722" w:rsidRPr="00520CD6">
        <w:rPr>
          <w:rFonts w:ascii="Arial" w:eastAsia="Times New Roman" w:hAnsi="Arial" w:cs="Arial"/>
          <w:kern w:val="0"/>
          <w:sz w:val="22"/>
          <w:szCs w:val="22"/>
          <w:lang w:eastAsia="en-GB"/>
          <w14:ligatures w14:val="none"/>
        </w:rPr>
        <w:t>.</w:t>
      </w:r>
    </w:p>
    <w:p w14:paraId="5F2B7784" w14:textId="77777777" w:rsidR="00C442E3" w:rsidRPr="00520CD6" w:rsidRDefault="00C442E3" w:rsidP="003923BA">
      <w:pPr>
        <w:keepNext/>
        <w:spacing w:after="240" w:line="360" w:lineRule="auto"/>
        <w:jc w:val="center"/>
        <w:rPr>
          <w:rFonts w:ascii="Arial" w:hAnsi="Arial" w:cs="Arial"/>
          <w:sz w:val="22"/>
          <w:szCs w:val="22"/>
        </w:rPr>
      </w:pPr>
      <w:r w:rsidRPr="00520CD6">
        <w:rPr>
          <w:rFonts w:ascii="Arial" w:eastAsia="Times New Roman" w:hAnsi="Arial" w:cs="Arial"/>
          <w:noProof/>
          <w:kern w:val="0"/>
          <w:sz w:val="22"/>
          <w:szCs w:val="22"/>
          <w:lang w:eastAsia="en-GB"/>
          <w14:ligatures w14:val="none"/>
        </w:rPr>
        <w:lastRenderedPageBreak/>
        <w:drawing>
          <wp:inline distT="0" distB="0" distL="0" distR="0" wp14:anchorId="5AFA4AEE" wp14:editId="38094A8E">
            <wp:extent cx="4514850" cy="4514850"/>
            <wp:effectExtent l="0" t="0" r="0" b="0"/>
            <wp:docPr id="2003996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14850" cy="4514850"/>
                    </a:xfrm>
                    <a:prstGeom prst="rect">
                      <a:avLst/>
                    </a:prstGeom>
                    <a:noFill/>
                  </pic:spPr>
                </pic:pic>
              </a:graphicData>
            </a:graphic>
          </wp:inline>
        </w:drawing>
      </w:r>
    </w:p>
    <w:p w14:paraId="7DCDE07E" w14:textId="40915097" w:rsidR="00C442E3" w:rsidRPr="00520CD6" w:rsidRDefault="00C442E3" w:rsidP="003923BA">
      <w:pPr>
        <w:pStyle w:val="Caption"/>
        <w:spacing w:line="360" w:lineRule="auto"/>
        <w:jc w:val="center"/>
        <w:rPr>
          <w:rFonts w:ascii="Arial" w:eastAsia="Times New Roman" w:hAnsi="Arial" w:cs="Arial"/>
          <w:color w:val="auto"/>
          <w:kern w:val="0"/>
          <w:sz w:val="22"/>
          <w:szCs w:val="22"/>
          <w:lang w:eastAsia="en-GB"/>
          <w14:ligatures w14:val="none"/>
        </w:rPr>
      </w:pPr>
      <w:r w:rsidRPr="00520CD6">
        <w:rPr>
          <w:rFonts w:ascii="Arial" w:hAnsi="Arial" w:cs="Arial"/>
          <w:color w:val="auto"/>
          <w:sz w:val="22"/>
          <w:szCs w:val="22"/>
        </w:rPr>
        <w:t xml:space="preserve">Figure </w:t>
      </w:r>
      <w:r w:rsidRPr="00520CD6">
        <w:rPr>
          <w:rFonts w:ascii="Arial" w:hAnsi="Arial" w:cs="Arial"/>
          <w:color w:val="auto"/>
          <w:sz w:val="22"/>
          <w:szCs w:val="22"/>
        </w:rPr>
        <w:fldChar w:fldCharType="begin"/>
      </w:r>
      <w:r w:rsidRPr="00520CD6">
        <w:rPr>
          <w:rFonts w:ascii="Arial" w:hAnsi="Arial" w:cs="Arial"/>
          <w:color w:val="auto"/>
          <w:sz w:val="22"/>
          <w:szCs w:val="22"/>
        </w:rPr>
        <w:instrText xml:space="preserve"> SEQ Figure \* ARABIC </w:instrText>
      </w:r>
      <w:r w:rsidRPr="00520CD6">
        <w:rPr>
          <w:rFonts w:ascii="Arial" w:hAnsi="Arial" w:cs="Arial"/>
          <w:color w:val="auto"/>
          <w:sz w:val="22"/>
          <w:szCs w:val="22"/>
        </w:rPr>
        <w:fldChar w:fldCharType="separate"/>
      </w:r>
      <w:r w:rsidRPr="00520CD6">
        <w:rPr>
          <w:rFonts w:ascii="Arial" w:hAnsi="Arial" w:cs="Arial"/>
          <w:noProof/>
          <w:color w:val="auto"/>
          <w:sz w:val="22"/>
          <w:szCs w:val="22"/>
        </w:rPr>
        <w:t>1</w:t>
      </w:r>
      <w:r w:rsidRPr="00520CD6">
        <w:rPr>
          <w:rFonts w:ascii="Arial" w:hAnsi="Arial" w:cs="Arial"/>
          <w:color w:val="auto"/>
          <w:sz w:val="22"/>
          <w:szCs w:val="22"/>
        </w:rPr>
        <w:fldChar w:fldCharType="end"/>
      </w:r>
      <w:r w:rsidRPr="00520CD6">
        <w:rPr>
          <w:rFonts w:ascii="Arial" w:hAnsi="Arial" w:cs="Arial"/>
          <w:color w:val="auto"/>
          <w:sz w:val="22"/>
          <w:szCs w:val="22"/>
        </w:rPr>
        <w:t>: Risk Factors</w:t>
      </w:r>
    </w:p>
    <w:p w14:paraId="1171AF94" w14:textId="77777777" w:rsidR="00B94D3D" w:rsidRPr="00520CD6" w:rsidRDefault="00B94D3D" w:rsidP="003923BA">
      <w:pPr>
        <w:spacing w:after="240" w:line="360" w:lineRule="auto"/>
        <w:jc w:val="both"/>
        <w:rPr>
          <w:rFonts w:ascii="Arial" w:eastAsia="Times New Roman" w:hAnsi="Arial" w:cs="Arial"/>
          <w:kern w:val="0"/>
          <w:sz w:val="22"/>
          <w:szCs w:val="22"/>
          <w:lang w:eastAsia="en-GB"/>
          <w14:ligatures w14:val="none"/>
        </w:rPr>
      </w:pPr>
    </w:p>
    <w:p w14:paraId="1D31E8E4" w14:textId="3C73595C" w:rsidR="00CC1722" w:rsidRPr="00520CD6" w:rsidRDefault="00CC1722" w:rsidP="003923BA">
      <w:pPr>
        <w:spacing w:after="120" w:line="360" w:lineRule="auto"/>
        <w:jc w:val="both"/>
        <w:outlineLvl w:val="2"/>
        <w:rPr>
          <w:rFonts w:ascii="Arial" w:eastAsia="Times New Roman" w:hAnsi="Arial" w:cs="Arial"/>
          <w:b/>
          <w:bCs/>
          <w:kern w:val="0"/>
          <w:sz w:val="22"/>
          <w:szCs w:val="22"/>
          <w:lang w:eastAsia="en-GB"/>
          <w14:ligatures w14:val="none"/>
        </w:rPr>
      </w:pPr>
      <w:bookmarkStart w:id="1" w:name="_Toc220721649"/>
      <w:r w:rsidRPr="00520CD6">
        <w:rPr>
          <w:rFonts w:ascii="Arial" w:eastAsia="Times New Roman" w:hAnsi="Arial" w:cs="Arial"/>
          <w:b/>
          <w:bCs/>
          <w:kern w:val="0"/>
          <w:sz w:val="22"/>
          <w:szCs w:val="22"/>
          <w:lang w:eastAsia="en-GB"/>
          <w14:ligatures w14:val="none"/>
        </w:rPr>
        <w:t>b. Cell Metabolism: The Role of Oxygen and Glucose in Energy Production</w:t>
      </w:r>
      <w:bookmarkEnd w:id="1"/>
    </w:p>
    <w:p w14:paraId="2A016D9B" w14:textId="77777777" w:rsidR="00B94D3D" w:rsidRPr="00520CD6" w:rsidRDefault="00B94D3D" w:rsidP="003923BA">
      <w:pPr>
        <w:spacing w:after="0" w:line="360" w:lineRule="auto"/>
        <w:ind w:firstLine="720"/>
        <w:jc w:val="both"/>
        <w:rPr>
          <w:rFonts w:ascii="Arial" w:eastAsia="Times New Roman" w:hAnsi="Arial" w:cs="Arial"/>
          <w:kern w:val="0"/>
          <w:sz w:val="22"/>
          <w:szCs w:val="22"/>
          <w:lang w:eastAsia="en-GB"/>
          <w14:ligatures w14:val="none"/>
        </w:rPr>
      </w:pPr>
      <w:proofErr w:type="gramStart"/>
      <w:r w:rsidRPr="00520CD6">
        <w:rPr>
          <w:rFonts w:ascii="Arial" w:eastAsia="Times New Roman" w:hAnsi="Arial" w:cs="Arial"/>
          <w:kern w:val="0"/>
          <w:sz w:val="22"/>
          <w:szCs w:val="22"/>
          <w:lang w:eastAsia="en-GB"/>
          <w14:ligatures w14:val="none"/>
        </w:rPr>
        <w:t>In order to</w:t>
      </w:r>
      <w:proofErr w:type="gramEnd"/>
      <w:r w:rsidRPr="00520CD6">
        <w:rPr>
          <w:rFonts w:ascii="Arial" w:eastAsia="Times New Roman" w:hAnsi="Arial" w:cs="Arial"/>
          <w:kern w:val="0"/>
          <w:sz w:val="22"/>
          <w:szCs w:val="22"/>
          <w:lang w:eastAsia="en-GB"/>
          <w14:ligatures w14:val="none"/>
        </w:rPr>
        <w:t xml:space="preserve"> appreciate the importance of blood sugar management, the patients need to learn the basic biological factor of cell metabolism. All chemical reactions that keep us alive are called metabolism and are aimed at producing Adenosine Triphosphate (ATP) which is the energy needed to perform work of the cell, such as muscle contraction, active transport (Berg, </w:t>
      </w:r>
      <w:proofErr w:type="spellStart"/>
      <w:r w:rsidRPr="00520CD6">
        <w:rPr>
          <w:rFonts w:ascii="Arial" w:eastAsia="Times New Roman" w:hAnsi="Arial" w:cs="Arial"/>
          <w:kern w:val="0"/>
          <w:sz w:val="22"/>
          <w:szCs w:val="22"/>
          <w:lang w:eastAsia="en-GB"/>
          <w14:ligatures w14:val="none"/>
        </w:rPr>
        <w:t>Tymoczko</w:t>
      </w:r>
      <w:proofErr w:type="spellEnd"/>
      <w:r w:rsidRPr="00520CD6">
        <w:rPr>
          <w:rFonts w:ascii="Arial" w:eastAsia="Times New Roman" w:hAnsi="Arial" w:cs="Arial"/>
          <w:kern w:val="0"/>
          <w:sz w:val="22"/>
          <w:szCs w:val="22"/>
          <w:lang w:eastAsia="en-GB"/>
          <w14:ligatures w14:val="none"/>
        </w:rPr>
        <w:t xml:space="preserve"> and Stryer, 2015).</w:t>
      </w:r>
    </w:p>
    <w:p w14:paraId="13D6ADC0" w14:textId="3AFE61B8" w:rsidR="00B94D3D" w:rsidRPr="00520CD6" w:rsidRDefault="00B94D3D" w:rsidP="003923BA">
      <w:pPr>
        <w:spacing w:after="0" w:line="360" w:lineRule="auto"/>
        <w:ind w:firstLine="720"/>
        <w:jc w:val="both"/>
        <w:rPr>
          <w:rFonts w:ascii="Arial" w:eastAsia="Times New Roman" w:hAnsi="Arial" w:cs="Arial"/>
          <w:kern w:val="0"/>
          <w:sz w:val="22"/>
          <w:szCs w:val="22"/>
          <w:lang w:eastAsia="en-GB"/>
          <w14:ligatures w14:val="none"/>
        </w:rPr>
      </w:pPr>
      <w:r w:rsidRPr="00520CD6">
        <w:rPr>
          <w:rFonts w:ascii="Arial" w:eastAsia="Times New Roman" w:hAnsi="Arial" w:cs="Arial"/>
          <w:kern w:val="0"/>
          <w:sz w:val="22"/>
          <w:szCs w:val="22"/>
          <w:lang w:eastAsia="en-GB"/>
          <w14:ligatures w14:val="none"/>
        </w:rPr>
        <w:t xml:space="preserve">The process of energy production starts with the consumption of carbohydrates which are enzymatically converted into glucose the </w:t>
      </w:r>
      <w:proofErr w:type="spellStart"/>
      <w:r w:rsidRPr="00520CD6">
        <w:rPr>
          <w:rFonts w:ascii="Arial" w:eastAsia="Times New Roman" w:hAnsi="Arial" w:cs="Arial"/>
          <w:kern w:val="0"/>
          <w:sz w:val="22"/>
          <w:szCs w:val="22"/>
          <w:lang w:eastAsia="en-GB"/>
          <w14:ligatures w14:val="none"/>
        </w:rPr>
        <w:t>favorite</w:t>
      </w:r>
      <w:proofErr w:type="spellEnd"/>
      <w:r w:rsidRPr="00520CD6">
        <w:rPr>
          <w:rFonts w:ascii="Arial" w:eastAsia="Times New Roman" w:hAnsi="Arial" w:cs="Arial"/>
          <w:kern w:val="0"/>
          <w:sz w:val="22"/>
          <w:szCs w:val="22"/>
          <w:lang w:eastAsia="en-GB"/>
          <w14:ligatures w14:val="none"/>
        </w:rPr>
        <w:t xml:space="preserve"> source of fuel in the body. After glucose has been taken in the blood, it should be carried across the cell wall. This entry is accomplished by insulin in a healthy state. The initial phase of metabolism takes place in the cytoplasm of the cell: Glycolysis. It is an anaerobic mechanism (is independent of the availability of oxygen) under which a 6-carbon glucose molecule is broken into two 3-carbon </w:t>
      </w:r>
      <w:r w:rsidRPr="00520CD6">
        <w:rPr>
          <w:rFonts w:ascii="Arial" w:eastAsia="Times New Roman" w:hAnsi="Arial" w:cs="Arial"/>
          <w:kern w:val="0"/>
          <w:sz w:val="22"/>
          <w:szCs w:val="22"/>
          <w:lang w:eastAsia="en-GB"/>
          <w14:ligatures w14:val="none"/>
        </w:rPr>
        <w:lastRenderedPageBreak/>
        <w:t xml:space="preserve">molecules of pyruvate. The stage is comparatively inefficient with a net gain of two ATP molecules and two NADH molecules (Tortora and Derrickson, </w:t>
      </w:r>
      <w:r w:rsidR="00E31070" w:rsidRPr="00520CD6">
        <w:rPr>
          <w:rFonts w:ascii="Arial" w:eastAsia="Times New Roman" w:hAnsi="Arial" w:cs="Arial"/>
          <w:kern w:val="0"/>
          <w:sz w:val="22"/>
          <w:szCs w:val="22"/>
          <w:lang w:eastAsia="en-GB"/>
          <w14:ligatures w14:val="none"/>
        </w:rPr>
        <w:t>2018</w:t>
      </w:r>
      <w:r w:rsidRPr="00520CD6">
        <w:rPr>
          <w:rFonts w:ascii="Arial" w:eastAsia="Times New Roman" w:hAnsi="Arial" w:cs="Arial"/>
          <w:kern w:val="0"/>
          <w:sz w:val="22"/>
          <w:szCs w:val="22"/>
          <w:lang w:eastAsia="en-GB"/>
          <w14:ligatures w14:val="none"/>
        </w:rPr>
        <w:t>).</w:t>
      </w:r>
    </w:p>
    <w:p w14:paraId="2DD45B71" w14:textId="77777777" w:rsidR="00B94D3D" w:rsidRPr="00520CD6" w:rsidRDefault="00B94D3D" w:rsidP="003923BA">
      <w:pPr>
        <w:spacing w:after="0" w:line="360" w:lineRule="auto"/>
        <w:ind w:firstLine="720"/>
        <w:jc w:val="both"/>
        <w:rPr>
          <w:rFonts w:ascii="Arial" w:eastAsia="Times New Roman" w:hAnsi="Arial" w:cs="Arial"/>
          <w:kern w:val="0"/>
          <w:sz w:val="22"/>
          <w:szCs w:val="22"/>
          <w:lang w:eastAsia="en-GB"/>
          <w14:ligatures w14:val="none"/>
        </w:rPr>
      </w:pPr>
      <w:r w:rsidRPr="00520CD6">
        <w:rPr>
          <w:rFonts w:ascii="Arial" w:eastAsia="Times New Roman" w:hAnsi="Arial" w:cs="Arial"/>
          <w:kern w:val="0"/>
          <w:sz w:val="22"/>
          <w:szCs w:val="22"/>
          <w:lang w:eastAsia="en-GB"/>
          <w14:ligatures w14:val="none"/>
        </w:rPr>
        <w:t>To help the cell reach the optimal energy output, then it should move to the mitochondria undergo Aerobic Respiration. With the oxygen, pyruvate is carried into the mitochondrial matrix and transformed to Acetyl-CoA with the help of oxygen. This molecule is processed in the Citric Acid Cycle (also referred to as Krebs Cycle). It is a process of redox reactions that take away electrons of high energy in the carbon chains. These electrons are loaded on carrier molecules, NAD+ and FAD that leaves them into NADH and FADH2.</w:t>
      </w:r>
    </w:p>
    <w:p w14:paraId="5AE02805" w14:textId="7BC9889A" w:rsidR="00B94D3D" w:rsidRPr="00520CD6" w:rsidRDefault="00B94D3D" w:rsidP="003923BA">
      <w:pPr>
        <w:spacing w:after="0" w:line="360" w:lineRule="auto"/>
        <w:ind w:firstLine="720"/>
        <w:jc w:val="both"/>
        <w:rPr>
          <w:rFonts w:ascii="Arial" w:eastAsia="Times New Roman" w:hAnsi="Arial" w:cs="Arial"/>
          <w:kern w:val="0"/>
          <w:sz w:val="22"/>
          <w:szCs w:val="22"/>
          <w:lang w:eastAsia="en-GB"/>
          <w14:ligatures w14:val="none"/>
        </w:rPr>
      </w:pPr>
      <w:r w:rsidRPr="00520CD6">
        <w:rPr>
          <w:rFonts w:ascii="Arial" w:eastAsia="Times New Roman" w:hAnsi="Arial" w:cs="Arial"/>
          <w:kern w:val="0"/>
          <w:sz w:val="22"/>
          <w:szCs w:val="22"/>
          <w:lang w:eastAsia="en-GB"/>
          <w14:ligatures w14:val="none"/>
        </w:rPr>
        <w:t>The most important step then comes the Electron Transport Chain (ETC) that is found on the inner mitochondrial membrane. The electrons of NADH and FADH 2 are deposited, which in turn fall through a cascade of protein complexes. The energy emitted by these falling electrons is utili</w:t>
      </w:r>
      <w:r w:rsidR="00E31070" w:rsidRPr="00520CD6">
        <w:rPr>
          <w:rFonts w:ascii="Arial" w:eastAsia="Times New Roman" w:hAnsi="Arial" w:cs="Arial"/>
          <w:kern w:val="0"/>
          <w:sz w:val="22"/>
          <w:szCs w:val="22"/>
          <w:lang w:eastAsia="en-GB"/>
          <w14:ligatures w14:val="none"/>
        </w:rPr>
        <w:t>s</w:t>
      </w:r>
      <w:r w:rsidRPr="00520CD6">
        <w:rPr>
          <w:rFonts w:ascii="Arial" w:eastAsia="Times New Roman" w:hAnsi="Arial" w:cs="Arial"/>
          <w:kern w:val="0"/>
          <w:sz w:val="22"/>
          <w:szCs w:val="22"/>
          <w:lang w:eastAsia="en-GB"/>
          <w14:ligatures w14:val="none"/>
        </w:rPr>
        <w:t>ed to pump protons across the membrane to give an electrochemical gradient. The terminal electron acceptor or the sink at the end of this chain is oxygen. When oxygen takes these electrons and mixes with protons it is changed into water (H</w:t>
      </w:r>
      <w:r w:rsidRPr="00520CD6">
        <w:rPr>
          <w:rFonts w:ascii="Arial" w:eastAsia="Times New Roman" w:hAnsi="Arial" w:cs="Arial"/>
          <w:kern w:val="0"/>
          <w:sz w:val="22"/>
          <w:szCs w:val="22"/>
          <w:vertAlign w:val="subscript"/>
          <w:lang w:eastAsia="en-GB"/>
          <w14:ligatures w14:val="none"/>
        </w:rPr>
        <w:t xml:space="preserve"> 2</w:t>
      </w:r>
      <w:r w:rsidRPr="00520CD6">
        <w:rPr>
          <w:rFonts w:ascii="Arial" w:eastAsia="Times New Roman" w:hAnsi="Arial" w:cs="Arial"/>
          <w:kern w:val="0"/>
          <w:sz w:val="22"/>
          <w:szCs w:val="22"/>
          <w:lang w:eastAsia="en-GB"/>
          <w14:ligatures w14:val="none"/>
        </w:rPr>
        <w:t xml:space="preserve"> </w:t>
      </w:r>
      <w:proofErr w:type="gramStart"/>
      <w:r w:rsidRPr="00520CD6">
        <w:rPr>
          <w:rFonts w:ascii="Arial" w:eastAsia="Times New Roman" w:hAnsi="Arial" w:cs="Arial"/>
          <w:kern w:val="0"/>
          <w:sz w:val="22"/>
          <w:szCs w:val="22"/>
          <w:lang w:eastAsia="en-GB"/>
          <w14:ligatures w14:val="none"/>
        </w:rPr>
        <w:t>O )</w:t>
      </w:r>
      <w:proofErr w:type="gramEnd"/>
      <w:r w:rsidRPr="00520CD6">
        <w:rPr>
          <w:rFonts w:ascii="Arial" w:eastAsia="Times New Roman" w:hAnsi="Arial" w:cs="Arial"/>
          <w:kern w:val="0"/>
          <w:sz w:val="22"/>
          <w:szCs w:val="22"/>
          <w:lang w:eastAsia="en-GB"/>
          <w14:ligatures w14:val="none"/>
        </w:rPr>
        <w:t xml:space="preserve">. </w:t>
      </w:r>
    </w:p>
    <w:p w14:paraId="734EC457" w14:textId="510B27BA" w:rsidR="00CC1722" w:rsidRPr="00520CD6" w:rsidRDefault="00B94D3D" w:rsidP="003923BA">
      <w:pPr>
        <w:spacing w:after="0" w:line="360" w:lineRule="auto"/>
        <w:ind w:firstLine="720"/>
        <w:jc w:val="both"/>
        <w:rPr>
          <w:rFonts w:ascii="Arial" w:eastAsia="Times New Roman" w:hAnsi="Arial" w:cs="Arial"/>
          <w:kern w:val="0"/>
          <w:sz w:val="22"/>
          <w:szCs w:val="22"/>
          <w:lang w:eastAsia="en-GB"/>
          <w14:ligatures w14:val="none"/>
        </w:rPr>
      </w:pPr>
      <w:r w:rsidRPr="00520CD6">
        <w:rPr>
          <w:rFonts w:ascii="Arial" w:eastAsia="Times New Roman" w:hAnsi="Arial" w:cs="Arial"/>
          <w:kern w:val="0"/>
          <w:sz w:val="22"/>
          <w:szCs w:val="22"/>
          <w:lang w:eastAsia="en-GB"/>
          <w14:ligatures w14:val="none"/>
        </w:rPr>
        <w:t xml:space="preserve">This is called oxidative </w:t>
      </w:r>
      <w:proofErr w:type="gramStart"/>
      <w:r w:rsidRPr="00520CD6">
        <w:rPr>
          <w:rFonts w:ascii="Arial" w:eastAsia="Times New Roman" w:hAnsi="Arial" w:cs="Arial"/>
          <w:kern w:val="0"/>
          <w:sz w:val="22"/>
          <w:szCs w:val="22"/>
          <w:lang w:eastAsia="en-GB"/>
          <w14:ligatures w14:val="none"/>
        </w:rPr>
        <w:t>phosphorylation</w:t>
      </w:r>
      <w:proofErr w:type="gramEnd"/>
      <w:r w:rsidRPr="00520CD6">
        <w:rPr>
          <w:rFonts w:ascii="Arial" w:eastAsia="Times New Roman" w:hAnsi="Arial" w:cs="Arial"/>
          <w:kern w:val="0"/>
          <w:sz w:val="22"/>
          <w:szCs w:val="22"/>
          <w:lang w:eastAsia="en-GB"/>
          <w14:ligatures w14:val="none"/>
        </w:rPr>
        <w:t xml:space="preserve"> and it enables the enzyme ATP synthase to produce around 30 to 32 ATP molecules with every glucose molecule (Hall and Hall, 2020). The stalling of the ETC occurs in the absence of a sufficient amount of oxygen, and the cell </w:t>
      </w:r>
      <w:proofErr w:type="gramStart"/>
      <w:r w:rsidRPr="00520CD6">
        <w:rPr>
          <w:rFonts w:ascii="Arial" w:eastAsia="Times New Roman" w:hAnsi="Arial" w:cs="Arial"/>
          <w:kern w:val="0"/>
          <w:sz w:val="22"/>
          <w:szCs w:val="22"/>
          <w:lang w:eastAsia="en-GB"/>
          <w14:ligatures w14:val="none"/>
        </w:rPr>
        <w:t>has to</w:t>
      </w:r>
      <w:proofErr w:type="gramEnd"/>
      <w:r w:rsidRPr="00520CD6">
        <w:rPr>
          <w:rFonts w:ascii="Arial" w:eastAsia="Times New Roman" w:hAnsi="Arial" w:cs="Arial"/>
          <w:kern w:val="0"/>
          <w:sz w:val="22"/>
          <w:szCs w:val="22"/>
          <w:lang w:eastAsia="en-GB"/>
          <w14:ligatures w14:val="none"/>
        </w:rPr>
        <w:t xml:space="preserve"> depend on fermentation, which causes the accumulation of lactic acid. Due to the inability of glucose to enter the cell in diabetic patients due to the insulin resistance, the cell does not have the main substrate in this total process and, therefore, causes fatigue and the destructive breakdown of other sources of energy, such as fats (lipolysis), resulting in ketoacidosis (</w:t>
      </w:r>
      <w:r w:rsidR="00E31070" w:rsidRPr="00520CD6">
        <w:rPr>
          <w:rFonts w:ascii="Arial" w:eastAsia="Times New Roman" w:hAnsi="Arial" w:cs="Arial"/>
          <w:kern w:val="0"/>
          <w:sz w:val="22"/>
          <w:szCs w:val="22"/>
          <w:lang w:eastAsia="en-GB"/>
          <w14:ligatures w14:val="none"/>
        </w:rPr>
        <w:t>Skull, 2022</w:t>
      </w:r>
      <w:r w:rsidR="00CC1722" w:rsidRPr="00520CD6">
        <w:rPr>
          <w:rFonts w:ascii="Arial" w:eastAsia="Times New Roman" w:hAnsi="Arial" w:cs="Arial"/>
          <w:kern w:val="0"/>
          <w:sz w:val="22"/>
          <w:szCs w:val="22"/>
          <w:lang w:eastAsia="en-GB"/>
          <w14:ligatures w14:val="none"/>
        </w:rPr>
        <w:t>).</w:t>
      </w:r>
    </w:p>
    <w:p w14:paraId="77AE799A" w14:textId="77777777" w:rsidR="00C442E3" w:rsidRPr="00520CD6" w:rsidRDefault="00C442E3" w:rsidP="003923BA">
      <w:pPr>
        <w:keepNext/>
        <w:spacing w:after="0" w:line="360" w:lineRule="auto"/>
        <w:jc w:val="center"/>
        <w:rPr>
          <w:rFonts w:ascii="Arial" w:hAnsi="Arial" w:cs="Arial"/>
          <w:sz w:val="22"/>
          <w:szCs w:val="22"/>
        </w:rPr>
      </w:pPr>
      <w:r w:rsidRPr="00520CD6">
        <w:rPr>
          <w:rFonts w:ascii="Arial" w:hAnsi="Arial" w:cs="Arial"/>
          <w:noProof/>
          <w:sz w:val="22"/>
          <w:szCs w:val="22"/>
        </w:rPr>
        <w:lastRenderedPageBreak/>
        <w:drawing>
          <wp:inline distT="0" distB="0" distL="0" distR="0" wp14:anchorId="0179A045" wp14:editId="21E9AE34">
            <wp:extent cx="5731510" cy="3959225"/>
            <wp:effectExtent l="0" t="0" r="2540" b="3175"/>
            <wp:docPr id="542591659" name="Picture 3" descr="Vector illustration of cellular respiration showing glycolysis, Kreb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Vector illustration of cellular respiration showing glycolysis, Krebs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959225"/>
                    </a:xfrm>
                    <a:prstGeom prst="rect">
                      <a:avLst/>
                    </a:prstGeom>
                    <a:noFill/>
                    <a:ln>
                      <a:noFill/>
                    </a:ln>
                  </pic:spPr>
                </pic:pic>
              </a:graphicData>
            </a:graphic>
          </wp:inline>
        </w:drawing>
      </w:r>
    </w:p>
    <w:p w14:paraId="46432949" w14:textId="7AC0BC43" w:rsidR="00C442E3" w:rsidRPr="00520CD6" w:rsidRDefault="00C442E3" w:rsidP="003923BA">
      <w:pPr>
        <w:pStyle w:val="Caption"/>
        <w:spacing w:line="360" w:lineRule="auto"/>
        <w:jc w:val="center"/>
        <w:rPr>
          <w:rFonts w:ascii="Arial" w:eastAsia="Times New Roman" w:hAnsi="Arial" w:cs="Arial"/>
          <w:color w:val="auto"/>
          <w:kern w:val="0"/>
          <w:sz w:val="22"/>
          <w:szCs w:val="22"/>
          <w:lang w:eastAsia="en-GB"/>
          <w14:ligatures w14:val="none"/>
        </w:rPr>
      </w:pPr>
      <w:r w:rsidRPr="00520CD6">
        <w:rPr>
          <w:rFonts w:ascii="Arial" w:hAnsi="Arial" w:cs="Arial"/>
          <w:color w:val="auto"/>
          <w:sz w:val="22"/>
          <w:szCs w:val="22"/>
        </w:rPr>
        <w:t xml:space="preserve">Figure </w:t>
      </w:r>
      <w:r w:rsidRPr="00520CD6">
        <w:rPr>
          <w:rFonts w:ascii="Arial" w:hAnsi="Arial" w:cs="Arial"/>
          <w:color w:val="auto"/>
          <w:sz w:val="22"/>
          <w:szCs w:val="22"/>
        </w:rPr>
        <w:fldChar w:fldCharType="begin"/>
      </w:r>
      <w:r w:rsidRPr="00520CD6">
        <w:rPr>
          <w:rFonts w:ascii="Arial" w:hAnsi="Arial" w:cs="Arial"/>
          <w:color w:val="auto"/>
          <w:sz w:val="22"/>
          <w:szCs w:val="22"/>
        </w:rPr>
        <w:instrText xml:space="preserve"> SEQ Figure \* ARABIC </w:instrText>
      </w:r>
      <w:r w:rsidRPr="00520CD6">
        <w:rPr>
          <w:rFonts w:ascii="Arial" w:hAnsi="Arial" w:cs="Arial"/>
          <w:color w:val="auto"/>
          <w:sz w:val="22"/>
          <w:szCs w:val="22"/>
        </w:rPr>
        <w:fldChar w:fldCharType="separate"/>
      </w:r>
      <w:r w:rsidRPr="00520CD6">
        <w:rPr>
          <w:rFonts w:ascii="Arial" w:hAnsi="Arial" w:cs="Arial"/>
          <w:noProof/>
          <w:color w:val="auto"/>
          <w:sz w:val="22"/>
          <w:szCs w:val="22"/>
        </w:rPr>
        <w:t>2</w:t>
      </w:r>
      <w:r w:rsidRPr="00520CD6">
        <w:rPr>
          <w:rFonts w:ascii="Arial" w:hAnsi="Arial" w:cs="Arial"/>
          <w:color w:val="auto"/>
          <w:sz w:val="22"/>
          <w:szCs w:val="22"/>
        </w:rPr>
        <w:fldChar w:fldCharType="end"/>
      </w:r>
      <w:r w:rsidRPr="00520CD6">
        <w:rPr>
          <w:rFonts w:ascii="Arial" w:hAnsi="Arial" w:cs="Arial"/>
          <w:color w:val="auto"/>
          <w:sz w:val="22"/>
          <w:szCs w:val="22"/>
        </w:rPr>
        <w:t>: Cell Metabolism</w:t>
      </w:r>
    </w:p>
    <w:p w14:paraId="1DDCD232" w14:textId="77777777" w:rsidR="00B94D3D" w:rsidRPr="00520CD6" w:rsidRDefault="00B94D3D" w:rsidP="003923BA">
      <w:pPr>
        <w:spacing w:after="0" w:line="360" w:lineRule="auto"/>
        <w:jc w:val="both"/>
        <w:rPr>
          <w:rFonts w:ascii="Arial" w:eastAsia="Times New Roman" w:hAnsi="Arial" w:cs="Arial"/>
          <w:kern w:val="0"/>
          <w:sz w:val="22"/>
          <w:szCs w:val="22"/>
          <w:lang w:eastAsia="en-GB"/>
          <w14:ligatures w14:val="none"/>
        </w:rPr>
      </w:pPr>
    </w:p>
    <w:p w14:paraId="2FCF20BD" w14:textId="6C506A20" w:rsidR="00CC1722" w:rsidRPr="00520CD6" w:rsidRDefault="00CC1722" w:rsidP="003923BA">
      <w:pPr>
        <w:spacing w:after="120" w:line="360" w:lineRule="auto"/>
        <w:jc w:val="both"/>
        <w:outlineLvl w:val="2"/>
        <w:rPr>
          <w:rFonts w:ascii="Arial" w:eastAsia="Times New Roman" w:hAnsi="Arial" w:cs="Arial"/>
          <w:b/>
          <w:bCs/>
          <w:kern w:val="0"/>
          <w:sz w:val="22"/>
          <w:szCs w:val="22"/>
          <w:lang w:eastAsia="en-GB"/>
          <w14:ligatures w14:val="none"/>
        </w:rPr>
      </w:pPr>
      <w:bookmarkStart w:id="2" w:name="_Toc220721650"/>
      <w:r w:rsidRPr="00520CD6">
        <w:rPr>
          <w:rFonts w:ascii="Arial" w:eastAsia="Times New Roman" w:hAnsi="Arial" w:cs="Arial"/>
          <w:b/>
          <w:bCs/>
          <w:kern w:val="0"/>
          <w:sz w:val="22"/>
          <w:szCs w:val="22"/>
          <w:lang w:eastAsia="en-GB"/>
          <w14:ligatures w14:val="none"/>
        </w:rPr>
        <w:t>c. Blood Sugar Homeostasis: Maintenance and Effective Levels</w:t>
      </w:r>
      <w:bookmarkEnd w:id="2"/>
    </w:p>
    <w:p w14:paraId="00EC4D61" w14:textId="10ECF7CA" w:rsidR="00B94D3D" w:rsidRPr="00520CD6" w:rsidRDefault="00B94D3D" w:rsidP="003923BA">
      <w:pPr>
        <w:spacing w:after="0" w:line="360" w:lineRule="auto"/>
        <w:ind w:firstLine="720"/>
        <w:jc w:val="both"/>
        <w:rPr>
          <w:rFonts w:ascii="Arial" w:eastAsia="Times New Roman" w:hAnsi="Arial" w:cs="Arial"/>
          <w:kern w:val="0"/>
          <w:sz w:val="22"/>
          <w:szCs w:val="22"/>
          <w:lang w:eastAsia="en-GB"/>
          <w14:ligatures w14:val="none"/>
        </w:rPr>
      </w:pPr>
      <w:r w:rsidRPr="00520CD6">
        <w:rPr>
          <w:rFonts w:ascii="Arial" w:eastAsia="Times New Roman" w:hAnsi="Arial" w:cs="Arial"/>
          <w:kern w:val="0"/>
          <w:sz w:val="22"/>
          <w:szCs w:val="22"/>
          <w:lang w:eastAsia="en-GB"/>
          <w14:ligatures w14:val="none"/>
        </w:rPr>
        <w:t xml:space="preserve">The human body is a magnificent balance of a fine machine that keeps blood glucose in a very narrow range so that it can avoid the toxic impact of </w:t>
      </w:r>
      <w:proofErr w:type="spellStart"/>
      <w:r w:rsidRPr="00520CD6">
        <w:rPr>
          <w:rFonts w:ascii="Arial" w:eastAsia="Times New Roman" w:hAnsi="Arial" w:cs="Arial"/>
          <w:kern w:val="0"/>
          <w:sz w:val="22"/>
          <w:szCs w:val="22"/>
          <w:lang w:eastAsia="en-GB"/>
          <w14:ligatures w14:val="none"/>
        </w:rPr>
        <w:t>hyperglycemia</w:t>
      </w:r>
      <w:proofErr w:type="spellEnd"/>
      <w:r w:rsidRPr="00520CD6">
        <w:rPr>
          <w:rFonts w:ascii="Arial" w:eastAsia="Times New Roman" w:hAnsi="Arial" w:cs="Arial"/>
          <w:kern w:val="0"/>
          <w:sz w:val="22"/>
          <w:szCs w:val="22"/>
          <w:lang w:eastAsia="en-GB"/>
          <w14:ligatures w14:val="none"/>
        </w:rPr>
        <w:t xml:space="preserve"> and neurological symptoms of acute </w:t>
      </w:r>
      <w:proofErr w:type="spellStart"/>
      <w:r w:rsidRPr="00520CD6">
        <w:rPr>
          <w:rFonts w:ascii="Arial" w:eastAsia="Times New Roman" w:hAnsi="Arial" w:cs="Arial"/>
          <w:kern w:val="0"/>
          <w:sz w:val="22"/>
          <w:szCs w:val="22"/>
          <w:lang w:eastAsia="en-GB"/>
          <w14:ligatures w14:val="none"/>
        </w:rPr>
        <w:t>hypoglycemia</w:t>
      </w:r>
      <w:proofErr w:type="spellEnd"/>
      <w:r w:rsidRPr="00520CD6">
        <w:rPr>
          <w:rFonts w:ascii="Arial" w:eastAsia="Times New Roman" w:hAnsi="Arial" w:cs="Arial"/>
          <w:kern w:val="0"/>
          <w:sz w:val="22"/>
          <w:szCs w:val="22"/>
          <w:lang w:eastAsia="en-GB"/>
          <w14:ligatures w14:val="none"/>
        </w:rPr>
        <w:t xml:space="preserve"> which is toxic and fatal. The homeostasis is regulated by a complex bi-hormonal feedback mechanism in which the liver and pancreas are involved (Sherwood</w:t>
      </w:r>
      <w:r w:rsidR="00E31070" w:rsidRPr="00520CD6">
        <w:rPr>
          <w:rFonts w:ascii="Arial" w:eastAsia="Times New Roman" w:hAnsi="Arial" w:cs="Arial"/>
          <w:kern w:val="0"/>
          <w:sz w:val="22"/>
          <w:szCs w:val="22"/>
          <w:lang w:eastAsia="en-GB"/>
          <w14:ligatures w14:val="none"/>
        </w:rPr>
        <w:t xml:space="preserve"> et al.</w:t>
      </w:r>
      <w:r w:rsidRPr="00520CD6">
        <w:rPr>
          <w:rFonts w:ascii="Arial" w:eastAsia="Times New Roman" w:hAnsi="Arial" w:cs="Arial"/>
          <w:kern w:val="0"/>
          <w:sz w:val="22"/>
          <w:szCs w:val="22"/>
          <w:lang w:eastAsia="en-GB"/>
          <w14:ligatures w14:val="none"/>
        </w:rPr>
        <w:t>, 20</w:t>
      </w:r>
      <w:r w:rsidR="00E31070" w:rsidRPr="00520CD6">
        <w:rPr>
          <w:rFonts w:ascii="Arial" w:eastAsia="Times New Roman" w:hAnsi="Arial" w:cs="Arial"/>
          <w:kern w:val="0"/>
          <w:sz w:val="22"/>
          <w:szCs w:val="22"/>
          <w:lang w:eastAsia="en-GB"/>
          <w14:ligatures w14:val="none"/>
        </w:rPr>
        <w:t>04</w:t>
      </w:r>
      <w:r w:rsidRPr="00520CD6">
        <w:rPr>
          <w:rFonts w:ascii="Arial" w:eastAsia="Times New Roman" w:hAnsi="Arial" w:cs="Arial"/>
          <w:kern w:val="0"/>
          <w:sz w:val="22"/>
          <w:szCs w:val="22"/>
          <w:lang w:eastAsia="en-GB"/>
          <w14:ligatures w14:val="none"/>
        </w:rPr>
        <w:t>).</w:t>
      </w:r>
    </w:p>
    <w:p w14:paraId="04613558" w14:textId="1671AA1B" w:rsidR="00B94D3D" w:rsidRPr="00520CD6" w:rsidRDefault="00B94D3D" w:rsidP="003923BA">
      <w:pPr>
        <w:spacing w:after="0" w:line="360" w:lineRule="auto"/>
        <w:ind w:firstLine="720"/>
        <w:jc w:val="both"/>
        <w:rPr>
          <w:rFonts w:ascii="Arial" w:eastAsia="Times New Roman" w:hAnsi="Arial" w:cs="Arial"/>
          <w:kern w:val="0"/>
          <w:sz w:val="22"/>
          <w:szCs w:val="22"/>
          <w:lang w:eastAsia="en-GB"/>
          <w14:ligatures w14:val="none"/>
        </w:rPr>
      </w:pPr>
      <w:r w:rsidRPr="00520CD6">
        <w:rPr>
          <w:rFonts w:ascii="Arial" w:eastAsia="Times New Roman" w:hAnsi="Arial" w:cs="Arial"/>
          <w:kern w:val="0"/>
          <w:sz w:val="22"/>
          <w:szCs w:val="22"/>
          <w:lang w:eastAsia="en-GB"/>
          <w14:ligatures w14:val="none"/>
        </w:rPr>
        <w:t xml:space="preserve">Blood glucose increases when we take a meal. This rise is sensed by the beta cells in the Islets of Langerhans in the pancreas that in turn withstands by releasing insulin. Insulin is a systemic anabolic hormone. It enters the blood and attaches itself to the insulin receptors on the target cell surface (essentially the skeletal muscle and adipose tissue). This binding interacts with a </w:t>
      </w:r>
      <w:proofErr w:type="spellStart"/>
      <w:r w:rsidRPr="00520CD6">
        <w:rPr>
          <w:rFonts w:ascii="Arial" w:eastAsia="Times New Roman" w:hAnsi="Arial" w:cs="Arial"/>
          <w:kern w:val="0"/>
          <w:sz w:val="22"/>
          <w:szCs w:val="22"/>
          <w:lang w:eastAsia="en-GB"/>
          <w14:ligatures w14:val="none"/>
        </w:rPr>
        <w:t>signaling</w:t>
      </w:r>
      <w:proofErr w:type="spellEnd"/>
      <w:r w:rsidRPr="00520CD6">
        <w:rPr>
          <w:rFonts w:ascii="Arial" w:eastAsia="Times New Roman" w:hAnsi="Arial" w:cs="Arial"/>
          <w:kern w:val="0"/>
          <w:sz w:val="22"/>
          <w:szCs w:val="22"/>
          <w:lang w:eastAsia="en-GB"/>
          <w14:ligatures w14:val="none"/>
        </w:rPr>
        <w:t xml:space="preserve"> cascade leading to fission of GLUT4 vesicles with the cell membrane to form doors by which glucose can enter. The insulin in the liver </w:t>
      </w:r>
      <w:proofErr w:type="spellStart"/>
      <w:r w:rsidRPr="00520CD6">
        <w:rPr>
          <w:rFonts w:ascii="Arial" w:eastAsia="Times New Roman" w:hAnsi="Arial" w:cs="Arial"/>
          <w:kern w:val="0"/>
          <w:sz w:val="22"/>
          <w:szCs w:val="22"/>
          <w:lang w:eastAsia="en-GB"/>
          <w14:ligatures w14:val="none"/>
        </w:rPr>
        <w:t>favors</w:t>
      </w:r>
      <w:proofErr w:type="spellEnd"/>
      <w:r w:rsidRPr="00520CD6">
        <w:rPr>
          <w:rFonts w:ascii="Arial" w:eastAsia="Times New Roman" w:hAnsi="Arial" w:cs="Arial"/>
          <w:kern w:val="0"/>
          <w:sz w:val="22"/>
          <w:szCs w:val="22"/>
          <w:lang w:eastAsia="en-GB"/>
          <w14:ligatures w14:val="none"/>
        </w:rPr>
        <w:t xml:space="preserve"> glycogenesis (the formation of glycogen to be stored) and discourages gluconeogenesis (the formation of new glucose) (</w:t>
      </w:r>
      <w:r w:rsidR="00E31070" w:rsidRPr="00520CD6">
        <w:rPr>
          <w:rFonts w:ascii="Arial" w:eastAsia="Times New Roman" w:hAnsi="Arial" w:cs="Arial"/>
          <w:kern w:val="0"/>
          <w:sz w:val="22"/>
          <w:szCs w:val="22"/>
          <w:lang w:eastAsia="en-GB"/>
          <w14:ligatures w14:val="none"/>
        </w:rPr>
        <w:t>Osafo, 2022)</w:t>
      </w:r>
    </w:p>
    <w:p w14:paraId="41BD03DC" w14:textId="291ABD4E" w:rsidR="00CC1722" w:rsidRPr="00520CD6" w:rsidRDefault="00B94D3D" w:rsidP="003923BA">
      <w:pPr>
        <w:spacing w:after="0" w:line="360" w:lineRule="auto"/>
        <w:ind w:firstLine="720"/>
        <w:jc w:val="both"/>
        <w:rPr>
          <w:rFonts w:ascii="Arial" w:eastAsia="Times New Roman" w:hAnsi="Arial" w:cs="Arial"/>
          <w:kern w:val="0"/>
          <w:sz w:val="22"/>
          <w:szCs w:val="22"/>
          <w:lang w:eastAsia="en-GB"/>
          <w14:ligatures w14:val="none"/>
        </w:rPr>
      </w:pPr>
      <w:r w:rsidRPr="00520CD6">
        <w:rPr>
          <w:rFonts w:ascii="Arial" w:eastAsia="Times New Roman" w:hAnsi="Arial" w:cs="Arial"/>
          <w:kern w:val="0"/>
          <w:sz w:val="22"/>
          <w:szCs w:val="22"/>
          <w:lang w:eastAsia="en-GB"/>
          <w14:ligatures w14:val="none"/>
        </w:rPr>
        <w:t xml:space="preserve">On the other hand, when one is fasting or carrying out strenuous activities, the blood glucose concentrations reduce. This activates the glucagon secretion of the alpha cells of the pancreas. Glucagon is a catabolic hormone which commands the liver to carry out </w:t>
      </w:r>
      <w:r w:rsidRPr="00520CD6">
        <w:rPr>
          <w:rFonts w:ascii="Arial" w:eastAsia="Times New Roman" w:hAnsi="Arial" w:cs="Arial"/>
          <w:kern w:val="0"/>
          <w:sz w:val="22"/>
          <w:szCs w:val="22"/>
          <w:lang w:eastAsia="en-GB"/>
          <w14:ligatures w14:val="none"/>
        </w:rPr>
        <w:lastRenderedPageBreak/>
        <w:t xml:space="preserve">glycogenolysis (feeding </w:t>
      </w:r>
      <w:proofErr w:type="gramStart"/>
      <w:r w:rsidRPr="00520CD6">
        <w:rPr>
          <w:rFonts w:ascii="Arial" w:eastAsia="Times New Roman" w:hAnsi="Arial" w:cs="Arial"/>
          <w:kern w:val="0"/>
          <w:sz w:val="22"/>
          <w:szCs w:val="22"/>
          <w:lang w:eastAsia="en-GB"/>
          <w14:ligatures w14:val="none"/>
        </w:rPr>
        <w:t>off of</w:t>
      </w:r>
      <w:proofErr w:type="gramEnd"/>
      <w:r w:rsidRPr="00520CD6">
        <w:rPr>
          <w:rFonts w:ascii="Arial" w:eastAsia="Times New Roman" w:hAnsi="Arial" w:cs="Arial"/>
          <w:kern w:val="0"/>
          <w:sz w:val="22"/>
          <w:szCs w:val="22"/>
          <w:lang w:eastAsia="en-GB"/>
          <w14:ligatures w14:val="none"/>
        </w:rPr>
        <w:t xml:space="preserve"> stored glycogen to form glucose) and gluconeogenesis. This is to make sure that the brain, which almost completely relies on glucose, will be supplied continuously (Hall and Hall, 2020</w:t>
      </w:r>
      <w:r w:rsidR="00CC1722" w:rsidRPr="00520CD6">
        <w:rPr>
          <w:rFonts w:ascii="Arial" w:eastAsia="Times New Roman" w:hAnsi="Arial" w:cs="Arial"/>
          <w:kern w:val="0"/>
          <w:sz w:val="22"/>
          <w:szCs w:val="22"/>
          <w:lang w:eastAsia="en-GB"/>
          <w14:ligatures w14:val="none"/>
        </w:rPr>
        <w:t>).</w:t>
      </w:r>
    </w:p>
    <w:p w14:paraId="0B49F2BB" w14:textId="27362C6B" w:rsidR="00CC1722" w:rsidRPr="00520CD6" w:rsidRDefault="00B94D3D" w:rsidP="003923BA">
      <w:pPr>
        <w:spacing w:after="240" w:line="360" w:lineRule="auto"/>
        <w:ind w:firstLine="720"/>
        <w:jc w:val="both"/>
        <w:rPr>
          <w:rFonts w:ascii="Arial" w:eastAsia="Times New Roman" w:hAnsi="Arial" w:cs="Arial"/>
          <w:kern w:val="0"/>
          <w:sz w:val="22"/>
          <w:szCs w:val="22"/>
          <w:lang w:eastAsia="en-GB"/>
          <w14:ligatures w14:val="none"/>
        </w:rPr>
      </w:pPr>
      <w:r w:rsidRPr="00520CD6">
        <w:rPr>
          <w:rFonts w:ascii="Arial" w:eastAsia="Times New Roman" w:hAnsi="Arial" w:cs="Arial"/>
          <w:kern w:val="0"/>
          <w:sz w:val="22"/>
          <w:szCs w:val="22"/>
          <w:lang w:eastAsia="en-GB"/>
          <w14:ligatures w14:val="none"/>
        </w:rPr>
        <w:t xml:space="preserve">In the case of a non-diabetic person, a normal safe level of fasting blood glucose is in the range of 4.0 to 5.9 mmol/L. After a meal, the body can then be expected to restore the level of glucose to less than 7.8 mmol/L in two hours. In the patients with the diagnosis of T2DM, the targets are adjusted to the safety of the patient and the cardiovascular protection. NICE (2022) suggests that the target is normally 4-7 mmol/L before meals and not above 8.5 mmol/L after meals. The inability to maintain these levels will lead to long-term </w:t>
      </w:r>
      <w:proofErr w:type="spellStart"/>
      <w:r w:rsidRPr="00520CD6">
        <w:rPr>
          <w:rFonts w:ascii="Arial" w:eastAsia="Times New Roman" w:hAnsi="Arial" w:cs="Arial"/>
          <w:kern w:val="0"/>
          <w:sz w:val="22"/>
          <w:szCs w:val="22"/>
          <w:lang w:eastAsia="en-GB"/>
          <w14:ligatures w14:val="none"/>
        </w:rPr>
        <w:t>hyperglycemia</w:t>
      </w:r>
      <w:proofErr w:type="spellEnd"/>
      <w:r w:rsidRPr="00520CD6">
        <w:rPr>
          <w:rFonts w:ascii="Arial" w:eastAsia="Times New Roman" w:hAnsi="Arial" w:cs="Arial"/>
          <w:kern w:val="0"/>
          <w:sz w:val="22"/>
          <w:szCs w:val="22"/>
          <w:lang w:eastAsia="en-GB"/>
          <w14:ligatures w14:val="none"/>
        </w:rPr>
        <w:t xml:space="preserve"> that will predispose glucose to non-enzymatic binding with proteins (glycation). This results in Advanced Glycation End-products (AGEs), which causes inflammatory reactions by stiffening blood vessels, resulting in retinopathy, kidney failure (nephropathy), nerve damage (neuropathy) etc</w:t>
      </w:r>
      <w:r w:rsidR="00CC1722" w:rsidRPr="00520CD6">
        <w:rPr>
          <w:rFonts w:ascii="Arial" w:eastAsia="Times New Roman" w:hAnsi="Arial" w:cs="Arial"/>
          <w:kern w:val="0"/>
          <w:sz w:val="22"/>
          <w:szCs w:val="22"/>
          <w:lang w:eastAsia="en-GB"/>
          <w14:ligatures w14:val="none"/>
        </w:rPr>
        <w:t>.</w:t>
      </w:r>
    </w:p>
    <w:p w14:paraId="5548D690" w14:textId="77777777" w:rsidR="00B94D3D" w:rsidRPr="00520CD6" w:rsidRDefault="00B94D3D" w:rsidP="003923BA">
      <w:pPr>
        <w:spacing w:after="240" w:line="360" w:lineRule="auto"/>
        <w:jc w:val="both"/>
        <w:rPr>
          <w:rFonts w:ascii="Arial" w:eastAsia="Times New Roman" w:hAnsi="Arial" w:cs="Arial"/>
          <w:kern w:val="0"/>
          <w:sz w:val="22"/>
          <w:szCs w:val="22"/>
          <w:lang w:eastAsia="en-GB"/>
          <w14:ligatures w14:val="none"/>
        </w:rPr>
      </w:pPr>
    </w:p>
    <w:p w14:paraId="2EF1A150" w14:textId="1078DA64" w:rsidR="00CC1722" w:rsidRPr="00520CD6" w:rsidRDefault="00CC1722" w:rsidP="003923BA">
      <w:pPr>
        <w:spacing w:after="120" w:line="360" w:lineRule="auto"/>
        <w:jc w:val="both"/>
        <w:outlineLvl w:val="2"/>
        <w:rPr>
          <w:rFonts w:ascii="Arial" w:eastAsia="Times New Roman" w:hAnsi="Arial" w:cs="Arial"/>
          <w:b/>
          <w:bCs/>
          <w:kern w:val="0"/>
          <w:sz w:val="22"/>
          <w:szCs w:val="22"/>
          <w:lang w:eastAsia="en-GB"/>
          <w14:ligatures w14:val="none"/>
        </w:rPr>
      </w:pPr>
      <w:bookmarkStart w:id="3" w:name="_Toc220721651"/>
      <w:r w:rsidRPr="00520CD6">
        <w:rPr>
          <w:rFonts w:ascii="Arial" w:eastAsia="Times New Roman" w:hAnsi="Arial" w:cs="Arial"/>
          <w:b/>
          <w:bCs/>
          <w:kern w:val="0"/>
          <w:sz w:val="22"/>
          <w:szCs w:val="22"/>
          <w:lang w:eastAsia="en-GB"/>
          <w14:ligatures w14:val="none"/>
        </w:rPr>
        <w:t>d. The Importance of Recording and Tracking Blood Sugar Levels</w:t>
      </w:r>
      <w:bookmarkEnd w:id="3"/>
    </w:p>
    <w:p w14:paraId="26E2A018" w14:textId="1398273C" w:rsidR="00B94D3D" w:rsidRPr="00520CD6" w:rsidRDefault="00B94D3D" w:rsidP="003923BA">
      <w:pPr>
        <w:spacing w:after="0" w:line="360" w:lineRule="auto"/>
        <w:ind w:firstLine="720"/>
        <w:jc w:val="both"/>
        <w:rPr>
          <w:rFonts w:ascii="Arial" w:eastAsia="Times New Roman" w:hAnsi="Arial" w:cs="Arial"/>
          <w:kern w:val="0"/>
          <w:sz w:val="22"/>
          <w:szCs w:val="22"/>
          <w:lang w:eastAsia="en-GB"/>
          <w14:ligatures w14:val="none"/>
        </w:rPr>
      </w:pPr>
      <w:r w:rsidRPr="00520CD6">
        <w:rPr>
          <w:rFonts w:ascii="Arial" w:eastAsia="Times New Roman" w:hAnsi="Arial" w:cs="Arial"/>
          <w:kern w:val="0"/>
          <w:sz w:val="22"/>
          <w:szCs w:val="22"/>
          <w:lang w:eastAsia="en-GB"/>
          <w14:ligatures w14:val="none"/>
        </w:rPr>
        <w:t>The patient has become more of a manager in the modern management of diabetes instead of a passive recipient of the service. The main instrument of such empowerment is self-monitoring of blood glucose (SMBG). Although a clinician may use HbA1c (the average level of sugar in the blood after three months), it may hide dangerous daily variations (</w:t>
      </w:r>
      <w:proofErr w:type="spellStart"/>
      <w:r w:rsidRPr="00520CD6">
        <w:rPr>
          <w:rFonts w:ascii="Arial" w:eastAsia="Times New Roman" w:hAnsi="Arial" w:cs="Arial"/>
          <w:kern w:val="0"/>
          <w:sz w:val="22"/>
          <w:szCs w:val="22"/>
          <w:lang w:eastAsia="en-GB"/>
          <w14:ligatures w14:val="none"/>
        </w:rPr>
        <w:t>Klonoff</w:t>
      </w:r>
      <w:proofErr w:type="spellEnd"/>
      <w:r w:rsidRPr="00520CD6">
        <w:rPr>
          <w:rFonts w:ascii="Arial" w:eastAsia="Times New Roman" w:hAnsi="Arial" w:cs="Arial"/>
          <w:kern w:val="0"/>
          <w:sz w:val="22"/>
          <w:szCs w:val="22"/>
          <w:lang w:eastAsia="en-GB"/>
          <w14:ligatures w14:val="none"/>
        </w:rPr>
        <w:t xml:space="preserve"> et al., 201</w:t>
      </w:r>
      <w:r w:rsidR="00E31070" w:rsidRPr="00520CD6">
        <w:rPr>
          <w:rFonts w:ascii="Arial" w:eastAsia="Times New Roman" w:hAnsi="Arial" w:cs="Arial"/>
          <w:kern w:val="0"/>
          <w:sz w:val="22"/>
          <w:szCs w:val="22"/>
          <w:lang w:eastAsia="en-GB"/>
          <w14:ligatures w14:val="none"/>
        </w:rPr>
        <w:t>8</w:t>
      </w:r>
      <w:r w:rsidRPr="00520CD6">
        <w:rPr>
          <w:rFonts w:ascii="Arial" w:eastAsia="Times New Roman" w:hAnsi="Arial" w:cs="Arial"/>
          <w:kern w:val="0"/>
          <w:sz w:val="22"/>
          <w:szCs w:val="22"/>
          <w:lang w:eastAsia="en-GB"/>
          <w14:ligatures w14:val="none"/>
        </w:rPr>
        <w:t>).</w:t>
      </w:r>
    </w:p>
    <w:p w14:paraId="5F246F6A" w14:textId="42B5C78D" w:rsidR="00B94D3D" w:rsidRPr="00520CD6" w:rsidRDefault="00B94D3D" w:rsidP="003923BA">
      <w:pPr>
        <w:spacing w:after="0" w:line="360" w:lineRule="auto"/>
        <w:ind w:firstLine="720"/>
        <w:jc w:val="both"/>
        <w:rPr>
          <w:rFonts w:ascii="Arial" w:eastAsia="Times New Roman" w:hAnsi="Arial" w:cs="Arial"/>
          <w:kern w:val="0"/>
          <w:sz w:val="22"/>
          <w:szCs w:val="22"/>
          <w:lang w:eastAsia="en-GB"/>
          <w14:ligatures w14:val="none"/>
        </w:rPr>
      </w:pPr>
      <w:r w:rsidRPr="00520CD6">
        <w:rPr>
          <w:rFonts w:ascii="Arial" w:eastAsia="Times New Roman" w:hAnsi="Arial" w:cs="Arial"/>
          <w:kern w:val="0"/>
          <w:sz w:val="22"/>
          <w:szCs w:val="22"/>
          <w:lang w:eastAsia="en-GB"/>
          <w14:ligatures w14:val="none"/>
        </w:rPr>
        <w:t xml:space="preserve">The recording and monitoring of glucose levels give </w:t>
      </w:r>
      <w:proofErr w:type="gramStart"/>
      <w:r w:rsidRPr="00520CD6">
        <w:rPr>
          <w:rFonts w:ascii="Arial" w:eastAsia="Times New Roman" w:hAnsi="Arial" w:cs="Arial"/>
          <w:kern w:val="0"/>
          <w:sz w:val="22"/>
          <w:szCs w:val="22"/>
          <w:lang w:eastAsia="en-GB"/>
          <w14:ligatures w14:val="none"/>
        </w:rPr>
        <w:t>a number of</w:t>
      </w:r>
      <w:proofErr w:type="gramEnd"/>
      <w:r w:rsidRPr="00520CD6">
        <w:rPr>
          <w:rFonts w:ascii="Arial" w:eastAsia="Times New Roman" w:hAnsi="Arial" w:cs="Arial"/>
          <w:kern w:val="0"/>
          <w:sz w:val="22"/>
          <w:szCs w:val="22"/>
          <w:lang w:eastAsia="en-GB"/>
          <w14:ligatures w14:val="none"/>
        </w:rPr>
        <w:t xml:space="preserve"> essential benefits. To begin with, it provides instant biofeedback. A patient </w:t>
      </w:r>
      <w:proofErr w:type="gramStart"/>
      <w:r w:rsidRPr="00520CD6">
        <w:rPr>
          <w:rFonts w:ascii="Arial" w:eastAsia="Times New Roman" w:hAnsi="Arial" w:cs="Arial"/>
          <w:kern w:val="0"/>
          <w:sz w:val="22"/>
          <w:szCs w:val="22"/>
          <w:lang w:eastAsia="en-GB"/>
          <w14:ligatures w14:val="none"/>
        </w:rPr>
        <w:t>is able to</w:t>
      </w:r>
      <w:proofErr w:type="gramEnd"/>
      <w:r w:rsidRPr="00520CD6">
        <w:rPr>
          <w:rFonts w:ascii="Arial" w:eastAsia="Times New Roman" w:hAnsi="Arial" w:cs="Arial"/>
          <w:kern w:val="0"/>
          <w:sz w:val="22"/>
          <w:szCs w:val="22"/>
          <w:lang w:eastAsia="en-GB"/>
          <w14:ligatures w14:val="none"/>
        </w:rPr>
        <w:t xml:space="preserve"> view the immediate effect of a certain meal or a walk. To illustrate, when a patient measures a spike after the consumption of white bread but a steady measurement after the consumption of oats, he/she has better chances of persisting in the dietary change. Such individuali</w:t>
      </w:r>
      <w:r w:rsidR="00E31070" w:rsidRPr="00520CD6">
        <w:rPr>
          <w:rFonts w:ascii="Arial" w:eastAsia="Times New Roman" w:hAnsi="Arial" w:cs="Arial"/>
          <w:kern w:val="0"/>
          <w:sz w:val="22"/>
          <w:szCs w:val="22"/>
          <w:lang w:eastAsia="en-GB"/>
          <w14:ligatures w14:val="none"/>
        </w:rPr>
        <w:t>s</w:t>
      </w:r>
      <w:r w:rsidRPr="00520CD6">
        <w:rPr>
          <w:rFonts w:ascii="Arial" w:eastAsia="Times New Roman" w:hAnsi="Arial" w:cs="Arial"/>
          <w:kern w:val="0"/>
          <w:sz w:val="22"/>
          <w:szCs w:val="22"/>
          <w:lang w:eastAsia="en-GB"/>
          <w14:ligatures w14:val="none"/>
        </w:rPr>
        <w:t xml:space="preserve">ed information is much more efficient than the blanket dietary recommendations. Secondly, it is necessary to monitor to detect the so-called Dawn Phenomenon when the level of such hormones as growth hormone and cortisol increases in the early morning, and the level of sugar in the blood rises as well. In the absence of a regular monitoring, a clinician may misinterpret a high morning reading </w:t>
      </w:r>
      <w:proofErr w:type="gramStart"/>
      <w:r w:rsidRPr="00520CD6">
        <w:rPr>
          <w:rFonts w:ascii="Arial" w:eastAsia="Times New Roman" w:hAnsi="Arial" w:cs="Arial"/>
          <w:kern w:val="0"/>
          <w:sz w:val="22"/>
          <w:szCs w:val="22"/>
          <w:lang w:eastAsia="en-GB"/>
          <w14:ligatures w14:val="none"/>
        </w:rPr>
        <w:t>as a result of</w:t>
      </w:r>
      <w:proofErr w:type="gramEnd"/>
      <w:r w:rsidRPr="00520CD6">
        <w:rPr>
          <w:rFonts w:ascii="Arial" w:eastAsia="Times New Roman" w:hAnsi="Arial" w:cs="Arial"/>
          <w:kern w:val="0"/>
          <w:sz w:val="22"/>
          <w:szCs w:val="22"/>
          <w:lang w:eastAsia="en-GB"/>
          <w14:ligatures w14:val="none"/>
        </w:rPr>
        <w:t xml:space="preserve"> a late-night, allowing him to make a wrong change in medication.</w:t>
      </w:r>
    </w:p>
    <w:p w14:paraId="47C1AEF9" w14:textId="2670336F" w:rsidR="00CC1722" w:rsidRPr="00520CD6" w:rsidRDefault="00B94D3D" w:rsidP="003923BA">
      <w:pPr>
        <w:spacing w:after="0" w:line="360" w:lineRule="auto"/>
        <w:ind w:firstLine="720"/>
        <w:jc w:val="both"/>
        <w:rPr>
          <w:rFonts w:ascii="Arial" w:eastAsia="Times New Roman" w:hAnsi="Arial" w:cs="Arial"/>
          <w:kern w:val="0"/>
          <w:sz w:val="22"/>
          <w:szCs w:val="22"/>
          <w:lang w:eastAsia="en-GB"/>
          <w14:ligatures w14:val="none"/>
        </w:rPr>
      </w:pPr>
      <w:r w:rsidRPr="00520CD6">
        <w:rPr>
          <w:rFonts w:ascii="Arial" w:eastAsia="Times New Roman" w:hAnsi="Arial" w:cs="Arial"/>
          <w:kern w:val="0"/>
          <w:sz w:val="22"/>
          <w:szCs w:val="22"/>
          <w:lang w:eastAsia="en-GB"/>
          <w14:ligatures w14:val="none"/>
        </w:rPr>
        <w:t xml:space="preserve">Moreover, this is due to the possibility of assessing </w:t>
      </w:r>
      <w:proofErr w:type="spellStart"/>
      <w:r w:rsidRPr="00520CD6">
        <w:rPr>
          <w:rFonts w:ascii="Arial" w:eastAsia="Times New Roman" w:hAnsi="Arial" w:cs="Arial"/>
          <w:kern w:val="0"/>
          <w:sz w:val="22"/>
          <w:szCs w:val="22"/>
          <w:lang w:eastAsia="en-GB"/>
          <w14:ligatures w14:val="none"/>
        </w:rPr>
        <w:t>Glycemic</w:t>
      </w:r>
      <w:proofErr w:type="spellEnd"/>
      <w:r w:rsidRPr="00520CD6">
        <w:rPr>
          <w:rFonts w:ascii="Arial" w:eastAsia="Times New Roman" w:hAnsi="Arial" w:cs="Arial"/>
          <w:kern w:val="0"/>
          <w:sz w:val="22"/>
          <w:szCs w:val="22"/>
          <w:lang w:eastAsia="en-GB"/>
          <w14:ligatures w14:val="none"/>
        </w:rPr>
        <w:t xml:space="preserve"> Variability through tracking. The recent clinical opinion indicates that Time in Range (TIR) as a ratio of the percentage of time patients spend within 3.9 to 10.0 mmol/L may serve as a stronger predictor of long-term complications than HbA1c on its own (</w:t>
      </w:r>
      <w:proofErr w:type="spellStart"/>
      <w:r w:rsidRPr="00520CD6">
        <w:rPr>
          <w:rFonts w:ascii="Arial" w:eastAsia="Times New Roman" w:hAnsi="Arial" w:cs="Arial"/>
          <w:kern w:val="0"/>
          <w:sz w:val="22"/>
          <w:szCs w:val="22"/>
          <w:lang w:eastAsia="en-GB"/>
          <w14:ligatures w14:val="none"/>
        </w:rPr>
        <w:t>Battelino</w:t>
      </w:r>
      <w:proofErr w:type="spellEnd"/>
      <w:r w:rsidRPr="00520CD6">
        <w:rPr>
          <w:rFonts w:ascii="Arial" w:eastAsia="Times New Roman" w:hAnsi="Arial" w:cs="Arial"/>
          <w:kern w:val="0"/>
          <w:sz w:val="22"/>
          <w:szCs w:val="22"/>
          <w:lang w:eastAsia="en-GB"/>
          <w14:ligatures w14:val="none"/>
        </w:rPr>
        <w:t xml:space="preserve"> et al., 2019). Large intermittent variability (</w:t>
      </w:r>
      <w:proofErr w:type="gramStart"/>
      <w:r w:rsidRPr="00520CD6">
        <w:rPr>
          <w:rFonts w:ascii="Arial" w:eastAsia="Times New Roman" w:hAnsi="Arial" w:cs="Arial"/>
          <w:kern w:val="0"/>
          <w:sz w:val="22"/>
          <w:szCs w:val="22"/>
          <w:lang w:eastAsia="en-GB"/>
          <w14:ligatures w14:val="none"/>
        </w:rPr>
        <w:t>a large number of</w:t>
      </w:r>
      <w:proofErr w:type="gramEnd"/>
      <w:r w:rsidRPr="00520CD6">
        <w:rPr>
          <w:rFonts w:ascii="Arial" w:eastAsia="Times New Roman" w:hAnsi="Arial" w:cs="Arial"/>
          <w:kern w:val="0"/>
          <w:sz w:val="22"/>
          <w:szCs w:val="22"/>
          <w:lang w:eastAsia="en-GB"/>
          <w14:ligatures w14:val="none"/>
        </w:rPr>
        <w:t xml:space="preserve"> highs and lows) exerts greater oxidative stress to endothelium of </w:t>
      </w:r>
      <w:r w:rsidRPr="00520CD6">
        <w:rPr>
          <w:rFonts w:ascii="Arial" w:eastAsia="Times New Roman" w:hAnsi="Arial" w:cs="Arial"/>
          <w:kern w:val="0"/>
          <w:sz w:val="22"/>
          <w:szCs w:val="22"/>
          <w:lang w:eastAsia="en-GB"/>
          <w14:ligatures w14:val="none"/>
        </w:rPr>
        <w:lastRenderedPageBreak/>
        <w:t>the vascular system than a small amount of variability that is continuously present. Through a detailed record (either a conventional diary or an electronic application), the patient offers the practice nurse a road map of their metabolism, which makes it possible to be more specific when interfering with a patient based on the available evidence during the consultation</w:t>
      </w:r>
      <w:r w:rsidR="00CC1722" w:rsidRPr="00520CD6">
        <w:rPr>
          <w:rFonts w:ascii="Arial" w:eastAsia="Times New Roman" w:hAnsi="Arial" w:cs="Arial"/>
          <w:kern w:val="0"/>
          <w:sz w:val="22"/>
          <w:szCs w:val="22"/>
          <w:lang w:eastAsia="en-GB"/>
          <w14:ligatures w14:val="none"/>
        </w:rPr>
        <w:t>.</w:t>
      </w:r>
    </w:p>
    <w:p w14:paraId="05550373" w14:textId="77777777" w:rsidR="00C442E3" w:rsidRPr="00520CD6" w:rsidRDefault="00C442E3" w:rsidP="003923BA">
      <w:pPr>
        <w:keepNext/>
        <w:spacing w:after="0" w:line="360" w:lineRule="auto"/>
        <w:jc w:val="center"/>
        <w:rPr>
          <w:rFonts w:ascii="Arial" w:hAnsi="Arial" w:cs="Arial"/>
          <w:sz w:val="22"/>
          <w:szCs w:val="22"/>
        </w:rPr>
      </w:pPr>
      <w:r w:rsidRPr="00520CD6">
        <w:rPr>
          <w:rFonts w:ascii="Arial" w:hAnsi="Arial" w:cs="Arial"/>
          <w:noProof/>
          <w:sz w:val="22"/>
          <w:szCs w:val="22"/>
        </w:rPr>
        <w:drawing>
          <wp:inline distT="0" distB="0" distL="0" distR="0" wp14:anchorId="161C2725" wp14:editId="45402144">
            <wp:extent cx="5731510" cy="3220720"/>
            <wp:effectExtent l="0" t="0" r="2540" b="0"/>
            <wp:docPr id="291368901" name="Picture 4" descr="Glucose Goals and Variability: Your Diabetes Map - Diabetesnet.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Glucose Goals and Variability: Your Diabetes Map - Diabetesnet.com"/>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220720"/>
                    </a:xfrm>
                    <a:prstGeom prst="rect">
                      <a:avLst/>
                    </a:prstGeom>
                    <a:noFill/>
                    <a:ln>
                      <a:noFill/>
                    </a:ln>
                  </pic:spPr>
                </pic:pic>
              </a:graphicData>
            </a:graphic>
          </wp:inline>
        </w:drawing>
      </w:r>
    </w:p>
    <w:p w14:paraId="55688254" w14:textId="5CA45CA1" w:rsidR="00C442E3" w:rsidRPr="00520CD6" w:rsidRDefault="00C442E3" w:rsidP="003923BA">
      <w:pPr>
        <w:pStyle w:val="Caption"/>
        <w:spacing w:line="360" w:lineRule="auto"/>
        <w:jc w:val="center"/>
        <w:rPr>
          <w:rFonts w:ascii="Arial" w:eastAsia="Times New Roman" w:hAnsi="Arial" w:cs="Arial"/>
          <w:color w:val="auto"/>
          <w:kern w:val="0"/>
          <w:sz w:val="22"/>
          <w:szCs w:val="22"/>
          <w:lang w:eastAsia="en-GB"/>
          <w14:ligatures w14:val="none"/>
        </w:rPr>
      </w:pPr>
      <w:r w:rsidRPr="00520CD6">
        <w:rPr>
          <w:rFonts w:ascii="Arial" w:hAnsi="Arial" w:cs="Arial"/>
          <w:color w:val="auto"/>
          <w:sz w:val="22"/>
          <w:szCs w:val="22"/>
        </w:rPr>
        <w:t xml:space="preserve">Figure </w:t>
      </w:r>
      <w:r w:rsidRPr="00520CD6">
        <w:rPr>
          <w:rFonts w:ascii="Arial" w:hAnsi="Arial" w:cs="Arial"/>
          <w:color w:val="auto"/>
          <w:sz w:val="22"/>
          <w:szCs w:val="22"/>
        </w:rPr>
        <w:fldChar w:fldCharType="begin"/>
      </w:r>
      <w:r w:rsidRPr="00520CD6">
        <w:rPr>
          <w:rFonts w:ascii="Arial" w:hAnsi="Arial" w:cs="Arial"/>
          <w:color w:val="auto"/>
          <w:sz w:val="22"/>
          <w:szCs w:val="22"/>
        </w:rPr>
        <w:instrText xml:space="preserve"> SEQ Figure \* ARABIC </w:instrText>
      </w:r>
      <w:r w:rsidRPr="00520CD6">
        <w:rPr>
          <w:rFonts w:ascii="Arial" w:hAnsi="Arial" w:cs="Arial"/>
          <w:color w:val="auto"/>
          <w:sz w:val="22"/>
          <w:szCs w:val="22"/>
        </w:rPr>
        <w:fldChar w:fldCharType="separate"/>
      </w:r>
      <w:r w:rsidRPr="00520CD6">
        <w:rPr>
          <w:rFonts w:ascii="Arial" w:hAnsi="Arial" w:cs="Arial"/>
          <w:noProof/>
          <w:color w:val="auto"/>
          <w:sz w:val="22"/>
          <w:szCs w:val="22"/>
        </w:rPr>
        <w:t>3</w:t>
      </w:r>
      <w:r w:rsidRPr="00520CD6">
        <w:rPr>
          <w:rFonts w:ascii="Arial" w:hAnsi="Arial" w:cs="Arial"/>
          <w:color w:val="auto"/>
          <w:sz w:val="22"/>
          <w:szCs w:val="22"/>
        </w:rPr>
        <w:fldChar w:fldCharType="end"/>
      </w:r>
      <w:r w:rsidRPr="00520CD6">
        <w:rPr>
          <w:rFonts w:ascii="Arial" w:hAnsi="Arial" w:cs="Arial"/>
          <w:color w:val="auto"/>
          <w:sz w:val="22"/>
          <w:szCs w:val="22"/>
        </w:rPr>
        <w:t xml:space="preserve">: </w:t>
      </w:r>
      <w:proofErr w:type="spellStart"/>
      <w:r w:rsidRPr="00520CD6">
        <w:rPr>
          <w:rFonts w:ascii="Arial" w:hAnsi="Arial" w:cs="Arial"/>
          <w:color w:val="auto"/>
          <w:sz w:val="22"/>
          <w:szCs w:val="22"/>
        </w:rPr>
        <w:t>Glycemic</w:t>
      </w:r>
      <w:proofErr w:type="spellEnd"/>
      <w:r w:rsidRPr="00520CD6">
        <w:rPr>
          <w:rFonts w:ascii="Arial" w:hAnsi="Arial" w:cs="Arial"/>
          <w:color w:val="auto"/>
          <w:sz w:val="22"/>
          <w:szCs w:val="22"/>
        </w:rPr>
        <w:t xml:space="preserve"> Variability</w:t>
      </w:r>
    </w:p>
    <w:p w14:paraId="4F5AC366" w14:textId="77777777" w:rsidR="00C442E3" w:rsidRPr="00520CD6" w:rsidRDefault="00C442E3" w:rsidP="003923BA">
      <w:pPr>
        <w:spacing w:after="0" w:line="360" w:lineRule="auto"/>
        <w:jc w:val="both"/>
        <w:rPr>
          <w:rFonts w:ascii="Arial" w:eastAsia="Times New Roman" w:hAnsi="Arial" w:cs="Arial"/>
          <w:kern w:val="0"/>
          <w:sz w:val="22"/>
          <w:szCs w:val="22"/>
          <w:lang w:eastAsia="en-GB"/>
          <w14:ligatures w14:val="none"/>
        </w:rPr>
      </w:pPr>
    </w:p>
    <w:p w14:paraId="60DCEE62" w14:textId="77777777" w:rsidR="00B94D3D" w:rsidRPr="00520CD6" w:rsidRDefault="00B94D3D" w:rsidP="003923BA">
      <w:pPr>
        <w:spacing w:after="0" w:line="360" w:lineRule="auto"/>
        <w:jc w:val="both"/>
        <w:rPr>
          <w:rFonts w:ascii="Arial" w:eastAsia="Times New Roman" w:hAnsi="Arial" w:cs="Arial"/>
          <w:kern w:val="0"/>
          <w:sz w:val="22"/>
          <w:szCs w:val="22"/>
          <w:lang w:eastAsia="en-GB"/>
          <w14:ligatures w14:val="none"/>
        </w:rPr>
      </w:pPr>
    </w:p>
    <w:p w14:paraId="6C626816" w14:textId="5C4621CF" w:rsidR="00CC1722" w:rsidRPr="00520CD6" w:rsidRDefault="00CC1722" w:rsidP="003923BA">
      <w:pPr>
        <w:spacing w:after="120" w:line="360" w:lineRule="auto"/>
        <w:jc w:val="both"/>
        <w:outlineLvl w:val="2"/>
        <w:rPr>
          <w:rFonts w:ascii="Arial" w:eastAsia="Times New Roman" w:hAnsi="Arial" w:cs="Arial"/>
          <w:b/>
          <w:bCs/>
          <w:kern w:val="0"/>
          <w:sz w:val="22"/>
          <w:szCs w:val="22"/>
          <w:lang w:eastAsia="en-GB"/>
          <w14:ligatures w14:val="none"/>
        </w:rPr>
      </w:pPr>
      <w:bookmarkStart w:id="4" w:name="_Toc220721652"/>
      <w:r w:rsidRPr="00520CD6">
        <w:rPr>
          <w:rFonts w:ascii="Arial" w:eastAsia="Times New Roman" w:hAnsi="Arial" w:cs="Arial"/>
          <w:b/>
          <w:bCs/>
          <w:kern w:val="0"/>
          <w:sz w:val="22"/>
          <w:szCs w:val="22"/>
          <w:lang w:eastAsia="en-GB"/>
          <w14:ligatures w14:val="none"/>
        </w:rPr>
        <w:t>e. Evidence-Based Lifestyle Recommendations</w:t>
      </w:r>
      <w:bookmarkEnd w:id="4"/>
    </w:p>
    <w:p w14:paraId="164007D6" w14:textId="1B3AD363" w:rsidR="00CC1722" w:rsidRPr="00520CD6" w:rsidRDefault="00B94D3D" w:rsidP="003923BA">
      <w:pPr>
        <w:spacing w:after="240" w:line="360" w:lineRule="auto"/>
        <w:ind w:firstLine="720"/>
        <w:jc w:val="both"/>
        <w:rPr>
          <w:rFonts w:ascii="Arial" w:eastAsia="Times New Roman" w:hAnsi="Arial" w:cs="Arial"/>
          <w:kern w:val="0"/>
          <w:sz w:val="22"/>
          <w:szCs w:val="22"/>
          <w:lang w:eastAsia="en-GB"/>
          <w14:ligatures w14:val="none"/>
        </w:rPr>
      </w:pPr>
      <w:r w:rsidRPr="00520CD6">
        <w:rPr>
          <w:rFonts w:ascii="Arial" w:eastAsia="Times New Roman" w:hAnsi="Arial" w:cs="Arial"/>
          <w:kern w:val="0"/>
          <w:sz w:val="22"/>
          <w:szCs w:val="22"/>
          <w:lang w:eastAsia="en-GB"/>
          <w14:ligatures w14:val="none"/>
        </w:rPr>
        <w:t>T2DM is sometimes referred to as a three-legged stool where medication, diet, and exercise are the three aspects that are involved in its management. In the absence of the latter two, medication usually only has a temporary band-aid effect over an aggravating metabolic condition</w:t>
      </w:r>
      <w:r w:rsidR="00CC1722" w:rsidRPr="00520CD6">
        <w:rPr>
          <w:rFonts w:ascii="Arial" w:eastAsia="Times New Roman" w:hAnsi="Arial" w:cs="Arial"/>
          <w:kern w:val="0"/>
          <w:sz w:val="22"/>
          <w:szCs w:val="22"/>
          <w:lang w:eastAsia="en-GB"/>
          <w14:ligatures w14:val="none"/>
        </w:rPr>
        <w:t>.</w:t>
      </w:r>
    </w:p>
    <w:p w14:paraId="45A7B984" w14:textId="77777777" w:rsidR="00B94D3D" w:rsidRPr="00520CD6" w:rsidRDefault="00B94D3D" w:rsidP="003923BA">
      <w:pPr>
        <w:spacing w:after="240" w:line="360" w:lineRule="auto"/>
        <w:ind w:firstLine="720"/>
        <w:jc w:val="both"/>
        <w:rPr>
          <w:rFonts w:ascii="Arial" w:eastAsia="Times New Roman" w:hAnsi="Arial" w:cs="Arial"/>
          <w:kern w:val="0"/>
          <w:sz w:val="22"/>
          <w:szCs w:val="22"/>
          <w:lang w:eastAsia="en-GB"/>
          <w14:ligatures w14:val="none"/>
        </w:rPr>
      </w:pPr>
    </w:p>
    <w:p w14:paraId="31794953" w14:textId="77777777" w:rsidR="00CC1722" w:rsidRPr="00520CD6" w:rsidRDefault="00CC1722" w:rsidP="003923BA">
      <w:pPr>
        <w:spacing w:after="0" w:line="360" w:lineRule="auto"/>
        <w:jc w:val="both"/>
        <w:rPr>
          <w:rFonts w:ascii="Arial" w:eastAsia="Times New Roman" w:hAnsi="Arial" w:cs="Arial"/>
          <w:kern w:val="0"/>
          <w:sz w:val="22"/>
          <w:szCs w:val="22"/>
          <w:lang w:eastAsia="en-GB"/>
          <w14:ligatures w14:val="none"/>
        </w:rPr>
      </w:pPr>
      <w:r w:rsidRPr="00520CD6">
        <w:rPr>
          <w:rFonts w:ascii="Arial" w:eastAsia="Times New Roman" w:hAnsi="Arial" w:cs="Arial"/>
          <w:b/>
          <w:bCs/>
          <w:kern w:val="0"/>
          <w:sz w:val="22"/>
          <w:szCs w:val="22"/>
          <w:bdr w:val="none" w:sz="0" w:space="0" w:color="auto" w:frame="1"/>
          <w:lang w:eastAsia="en-GB"/>
          <w14:ligatures w14:val="none"/>
        </w:rPr>
        <w:t>Nutritional Interventions:</w:t>
      </w:r>
    </w:p>
    <w:p w14:paraId="14FED1EB" w14:textId="19ADB11A" w:rsidR="00CC1722" w:rsidRPr="00520CD6" w:rsidRDefault="00B94D3D" w:rsidP="003923BA">
      <w:pPr>
        <w:spacing w:after="0" w:line="360" w:lineRule="auto"/>
        <w:ind w:firstLine="720"/>
        <w:jc w:val="both"/>
        <w:rPr>
          <w:rFonts w:ascii="Arial" w:eastAsia="Times New Roman" w:hAnsi="Arial" w:cs="Arial"/>
          <w:kern w:val="0"/>
          <w:sz w:val="22"/>
          <w:szCs w:val="22"/>
          <w:lang w:eastAsia="en-GB"/>
          <w14:ligatures w14:val="none"/>
        </w:rPr>
      </w:pPr>
      <w:r w:rsidRPr="00520CD6">
        <w:rPr>
          <w:rFonts w:ascii="Arial" w:eastAsia="Times New Roman" w:hAnsi="Arial" w:cs="Arial"/>
          <w:kern w:val="0"/>
          <w:sz w:val="22"/>
          <w:szCs w:val="22"/>
          <w:lang w:eastAsia="en-GB"/>
          <w14:ligatures w14:val="none"/>
        </w:rPr>
        <w:t xml:space="preserve">The dietary management evidence has changed considerably. The groundbreaking </w:t>
      </w:r>
      <w:proofErr w:type="spellStart"/>
      <w:r w:rsidRPr="00520CD6">
        <w:rPr>
          <w:rFonts w:ascii="Arial" w:eastAsia="Times New Roman" w:hAnsi="Arial" w:cs="Arial"/>
          <w:kern w:val="0"/>
          <w:sz w:val="22"/>
          <w:szCs w:val="22"/>
          <w:lang w:eastAsia="en-GB"/>
          <w14:ligatures w14:val="none"/>
        </w:rPr>
        <w:t>DiRECT</w:t>
      </w:r>
      <w:proofErr w:type="spellEnd"/>
      <w:r w:rsidRPr="00520CD6">
        <w:rPr>
          <w:rFonts w:ascii="Arial" w:eastAsia="Times New Roman" w:hAnsi="Arial" w:cs="Arial"/>
          <w:kern w:val="0"/>
          <w:sz w:val="22"/>
          <w:szCs w:val="22"/>
          <w:lang w:eastAsia="en-GB"/>
          <w14:ligatures w14:val="none"/>
        </w:rPr>
        <w:t xml:space="preserve"> trial (Lean et al., 201</w:t>
      </w:r>
      <w:r w:rsidR="00E31070" w:rsidRPr="00520CD6">
        <w:rPr>
          <w:rFonts w:ascii="Arial" w:eastAsia="Times New Roman" w:hAnsi="Arial" w:cs="Arial"/>
          <w:kern w:val="0"/>
          <w:sz w:val="22"/>
          <w:szCs w:val="22"/>
          <w:lang w:eastAsia="en-GB"/>
          <w14:ligatures w14:val="none"/>
        </w:rPr>
        <w:t>9</w:t>
      </w:r>
      <w:r w:rsidRPr="00520CD6">
        <w:rPr>
          <w:rFonts w:ascii="Arial" w:eastAsia="Times New Roman" w:hAnsi="Arial" w:cs="Arial"/>
          <w:kern w:val="0"/>
          <w:sz w:val="22"/>
          <w:szCs w:val="22"/>
          <w:lang w:eastAsia="en-GB"/>
          <w14:ligatures w14:val="none"/>
        </w:rPr>
        <w:t xml:space="preserve">) had demonstrated that T2DM is not a life sentence. Having lost weight of more than 15kg using the structured low-calorie diet, 86 percent of the weight losers who had purposely lost weight were on T2DM remission. The Mediterranean diet, which is well-balanced in monounsaturated fats (olive oil), a variety of nuts, seeds, and legumes, has demonstrated to perform better in relation to patient HbA1c and cardiovascular outcomes in those who do not need complete remission (Evert et al., 2019). The patients need to be </w:t>
      </w:r>
      <w:r w:rsidRPr="00520CD6">
        <w:rPr>
          <w:rFonts w:ascii="Arial" w:eastAsia="Times New Roman" w:hAnsi="Arial" w:cs="Arial"/>
          <w:kern w:val="0"/>
          <w:sz w:val="22"/>
          <w:szCs w:val="22"/>
          <w:lang w:eastAsia="en-GB"/>
          <w14:ligatures w14:val="none"/>
        </w:rPr>
        <w:lastRenderedPageBreak/>
        <w:t xml:space="preserve">informed about the </w:t>
      </w:r>
      <w:proofErr w:type="spellStart"/>
      <w:r w:rsidRPr="00520CD6">
        <w:rPr>
          <w:rFonts w:ascii="Arial" w:eastAsia="Times New Roman" w:hAnsi="Arial" w:cs="Arial"/>
          <w:kern w:val="0"/>
          <w:sz w:val="22"/>
          <w:szCs w:val="22"/>
          <w:lang w:eastAsia="en-GB"/>
          <w14:ligatures w14:val="none"/>
        </w:rPr>
        <w:t>Glycemic</w:t>
      </w:r>
      <w:proofErr w:type="spellEnd"/>
      <w:r w:rsidRPr="00520CD6">
        <w:rPr>
          <w:rFonts w:ascii="Arial" w:eastAsia="Times New Roman" w:hAnsi="Arial" w:cs="Arial"/>
          <w:kern w:val="0"/>
          <w:sz w:val="22"/>
          <w:szCs w:val="22"/>
          <w:lang w:eastAsia="en-GB"/>
          <w14:ligatures w14:val="none"/>
        </w:rPr>
        <w:t xml:space="preserve"> Index (GI). Higher-GI foods (white rice, sweet cereals) lead to a rapid rise of glucose, whereas low-GI foods (lentils, non-starchy vegetables) maintain an insulin level, which is slow and constant, reducing the effort on the pancreas</w:t>
      </w:r>
      <w:r w:rsidR="00CC1722" w:rsidRPr="00520CD6">
        <w:rPr>
          <w:rFonts w:ascii="Arial" w:eastAsia="Times New Roman" w:hAnsi="Arial" w:cs="Arial"/>
          <w:kern w:val="0"/>
          <w:sz w:val="22"/>
          <w:szCs w:val="22"/>
          <w:lang w:eastAsia="en-GB"/>
          <w14:ligatures w14:val="none"/>
        </w:rPr>
        <w:t>.</w:t>
      </w:r>
    </w:p>
    <w:p w14:paraId="465022A7" w14:textId="77777777" w:rsidR="00B94D3D" w:rsidRPr="00520CD6" w:rsidRDefault="00B94D3D" w:rsidP="003923BA">
      <w:pPr>
        <w:spacing w:after="0" w:line="360" w:lineRule="auto"/>
        <w:jc w:val="both"/>
        <w:rPr>
          <w:rFonts w:ascii="Arial" w:eastAsia="Times New Roman" w:hAnsi="Arial" w:cs="Arial"/>
          <w:kern w:val="0"/>
          <w:sz w:val="22"/>
          <w:szCs w:val="22"/>
          <w:lang w:eastAsia="en-GB"/>
          <w14:ligatures w14:val="none"/>
        </w:rPr>
      </w:pPr>
    </w:p>
    <w:p w14:paraId="0EC7D2E8" w14:textId="77777777" w:rsidR="00CC1722" w:rsidRPr="00520CD6" w:rsidRDefault="00CC1722" w:rsidP="003923BA">
      <w:pPr>
        <w:spacing w:after="0" w:line="360" w:lineRule="auto"/>
        <w:jc w:val="both"/>
        <w:rPr>
          <w:rFonts w:ascii="Arial" w:eastAsia="Times New Roman" w:hAnsi="Arial" w:cs="Arial"/>
          <w:kern w:val="0"/>
          <w:sz w:val="22"/>
          <w:szCs w:val="22"/>
          <w:lang w:eastAsia="en-GB"/>
          <w14:ligatures w14:val="none"/>
        </w:rPr>
      </w:pPr>
      <w:r w:rsidRPr="00520CD6">
        <w:rPr>
          <w:rFonts w:ascii="Arial" w:eastAsia="Times New Roman" w:hAnsi="Arial" w:cs="Arial"/>
          <w:b/>
          <w:bCs/>
          <w:kern w:val="0"/>
          <w:sz w:val="22"/>
          <w:szCs w:val="22"/>
          <w:bdr w:val="none" w:sz="0" w:space="0" w:color="auto" w:frame="1"/>
          <w:lang w:eastAsia="en-GB"/>
          <w14:ligatures w14:val="none"/>
        </w:rPr>
        <w:t>Physical Activity:</w:t>
      </w:r>
    </w:p>
    <w:p w14:paraId="22F2BA0B" w14:textId="218D12B8" w:rsidR="00CC1722" w:rsidRPr="00520CD6" w:rsidRDefault="00B94D3D" w:rsidP="003923BA">
      <w:pPr>
        <w:spacing w:after="240" w:line="360" w:lineRule="auto"/>
        <w:ind w:firstLine="720"/>
        <w:jc w:val="both"/>
        <w:rPr>
          <w:rFonts w:ascii="Arial" w:eastAsia="Times New Roman" w:hAnsi="Arial" w:cs="Arial"/>
          <w:kern w:val="0"/>
          <w:sz w:val="22"/>
          <w:szCs w:val="22"/>
          <w:lang w:eastAsia="en-GB"/>
          <w14:ligatures w14:val="none"/>
        </w:rPr>
      </w:pPr>
      <w:r w:rsidRPr="00520CD6">
        <w:rPr>
          <w:rFonts w:ascii="Arial" w:eastAsia="Times New Roman" w:hAnsi="Arial" w:cs="Arial"/>
          <w:kern w:val="0"/>
          <w:sz w:val="22"/>
          <w:szCs w:val="22"/>
          <w:lang w:eastAsia="en-GB"/>
          <w14:ligatures w14:val="none"/>
        </w:rPr>
        <w:t xml:space="preserve">The most under exploited drug in the management of diabetes is perhaps exercise. The contraction of muscles during the process of physical activity triggers an insulin-independent glucose uptake pathway. This is regardless of whether a patient is very insulin resistant or not, exercise enables glucose to leave the blood and be taken into the muscle cells where they are used to release energy. According to the American College of Sports Medicine (Colberg et al., 2021), moderate to vigorous aerobic activity duration should be 150 minutes in a week divided into at least three days. Importantly, the resistance training (bodyweight exercises or </w:t>
      </w:r>
      <w:proofErr w:type="gramStart"/>
      <w:r w:rsidRPr="00520CD6">
        <w:rPr>
          <w:rFonts w:ascii="Arial" w:eastAsia="Times New Roman" w:hAnsi="Arial" w:cs="Arial"/>
          <w:kern w:val="0"/>
          <w:sz w:val="22"/>
          <w:szCs w:val="22"/>
          <w:lang w:eastAsia="en-GB"/>
          <w14:ligatures w14:val="none"/>
        </w:rPr>
        <w:t>weight lifting</w:t>
      </w:r>
      <w:proofErr w:type="gramEnd"/>
      <w:r w:rsidRPr="00520CD6">
        <w:rPr>
          <w:rFonts w:ascii="Arial" w:eastAsia="Times New Roman" w:hAnsi="Arial" w:cs="Arial"/>
          <w:kern w:val="0"/>
          <w:sz w:val="22"/>
          <w:szCs w:val="22"/>
          <w:lang w:eastAsia="en-GB"/>
          <w14:ligatures w14:val="none"/>
        </w:rPr>
        <w:t>) is also essential. Gaining muscle bulk enhances overall metabolic plasticity by increasing the size of the storage tank of glucose</w:t>
      </w:r>
      <w:r w:rsidR="00CC1722" w:rsidRPr="00520CD6">
        <w:rPr>
          <w:rFonts w:ascii="Arial" w:eastAsia="Times New Roman" w:hAnsi="Arial" w:cs="Arial"/>
          <w:kern w:val="0"/>
          <w:sz w:val="22"/>
          <w:szCs w:val="22"/>
          <w:lang w:eastAsia="en-GB"/>
          <w14:ligatures w14:val="none"/>
        </w:rPr>
        <w:t>.</w:t>
      </w:r>
    </w:p>
    <w:p w14:paraId="10387170" w14:textId="77777777" w:rsidR="00E31070" w:rsidRPr="00520CD6" w:rsidRDefault="00E31070" w:rsidP="003923BA">
      <w:pPr>
        <w:spacing w:after="240" w:line="360" w:lineRule="auto"/>
        <w:ind w:firstLine="720"/>
        <w:jc w:val="both"/>
        <w:rPr>
          <w:rFonts w:ascii="Arial" w:eastAsia="Times New Roman" w:hAnsi="Arial" w:cs="Arial"/>
          <w:kern w:val="0"/>
          <w:sz w:val="22"/>
          <w:szCs w:val="22"/>
          <w:lang w:eastAsia="en-GB"/>
          <w14:ligatures w14:val="none"/>
        </w:rPr>
      </w:pPr>
    </w:p>
    <w:p w14:paraId="54D7EE78" w14:textId="77777777" w:rsidR="00CC1722" w:rsidRPr="00520CD6" w:rsidRDefault="00CC1722" w:rsidP="003923BA">
      <w:pPr>
        <w:spacing w:after="0" w:line="360" w:lineRule="auto"/>
        <w:jc w:val="both"/>
        <w:rPr>
          <w:rFonts w:ascii="Arial" w:eastAsia="Times New Roman" w:hAnsi="Arial" w:cs="Arial"/>
          <w:kern w:val="0"/>
          <w:sz w:val="22"/>
          <w:szCs w:val="22"/>
          <w:lang w:eastAsia="en-GB"/>
          <w14:ligatures w14:val="none"/>
        </w:rPr>
      </w:pPr>
      <w:r w:rsidRPr="00520CD6">
        <w:rPr>
          <w:rFonts w:ascii="Arial" w:eastAsia="Times New Roman" w:hAnsi="Arial" w:cs="Arial"/>
          <w:b/>
          <w:bCs/>
          <w:kern w:val="0"/>
          <w:sz w:val="22"/>
          <w:szCs w:val="22"/>
          <w:bdr w:val="none" w:sz="0" w:space="0" w:color="auto" w:frame="1"/>
          <w:lang w:eastAsia="en-GB"/>
          <w14:ligatures w14:val="none"/>
        </w:rPr>
        <w:t>Smoking, Vaping, and Comorbidities:</w:t>
      </w:r>
    </w:p>
    <w:p w14:paraId="7AE44D74" w14:textId="109B167C" w:rsidR="00CC1722" w:rsidRPr="00520CD6" w:rsidRDefault="00B94D3D" w:rsidP="003923BA">
      <w:pPr>
        <w:spacing w:after="240" w:line="360" w:lineRule="auto"/>
        <w:ind w:firstLine="720"/>
        <w:jc w:val="both"/>
        <w:rPr>
          <w:rFonts w:ascii="Arial" w:eastAsia="Times New Roman" w:hAnsi="Arial" w:cs="Arial"/>
          <w:kern w:val="0"/>
          <w:sz w:val="22"/>
          <w:szCs w:val="22"/>
          <w:lang w:eastAsia="en-GB"/>
          <w14:ligatures w14:val="none"/>
        </w:rPr>
      </w:pPr>
      <w:r w:rsidRPr="00520CD6">
        <w:rPr>
          <w:rFonts w:ascii="Arial" w:eastAsia="Times New Roman" w:hAnsi="Arial" w:cs="Arial"/>
          <w:kern w:val="0"/>
          <w:sz w:val="22"/>
          <w:szCs w:val="22"/>
          <w:lang w:eastAsia="en-GB"/>
          <w14:ligatures w14:val="none"/>
        </w:rPr>
        <w:t xml:space="preserve">Smoking is disastrous as a habit to a diabetic patient. It triples the chances of the development of macrovascular disease (heart attacks and strokes) in comparison to non-smokers with diabetes. Nicotine has direct effects of inhibiting the effects of insulin and </w:t>
      </w:r>
      <w:proofErr w:type="spellStart"/>
      <w:r w:rsidRPr="00520CD6">
        <w:rPr>
          <w:rFonts w:ascii="Arial" w:eastAsia="Times New Roman" w:hAnsi="Arial" w:cs="Arial"/>
          <w:kern w:val="0"/>
          <w:sz w:val="22"/>
          <w:szCs w:val="22"/>
          <w:lang w:eastAsia="en-GB"/>
          <w14:ligatures w14:val="none"/>
        </w:rPr>
        <w:t>fueling</w:t>
      </w:r>
      <w:proofErr w:type="spellEnd"/>
      <w:r w:rsidRPr="00520CD6">
        <w:rPr>
          <w:rFonts w:ascii="Arial" w:eastAsia="Times New Roman" w:hAnsi="Arial" w:cs="Arial"/>
          <w:kern w:val="0"/>
          <w:sz w:val="22"/>
          <w:szCs w:val="22"/>
          <w:lang w:eastAsia="en-GB"/>
          <w14:ligatures w14:val="none"/>
        </w:rPr>
        <w:t xml:space="preserve"> central fat buildup. Although considered to be harmless, vaping, nevertheless, provides the aspect of nicotine and other aerosoli</w:t>
      </w:r>
      <w:r w:rsidR="00E31070" w:rsidRPr="00520CD6">
        <w:rPr>
          <w:rFonts w:ascii="Arial" w:eastAsia="Times New Roman" w:hAnsi="Arial" w:cs="Arial"/>
          <w:kern w:val="0"/>
          <w:sz w:val="22"/>
          <w:szCs w:val="22"/>
          <w:lang w:eastAsia="en-GB"/>
          <w14:ligatures w14:val="none"/>
        </w:rPr>
        <w:t>s</w:t>
      </w:r>
      <w:r w:rsidRPr="00520CD6">
        <w:rPr>
          <w:rFonts w:ascii="Arial" w:eastAsia="Times New Roman" w:hAnsi="Arial" w:cs="Arial"/>
          <w:kern w:val="0"/>
          <w:sz w:val="22"/>
          <w:szCs w:val="22"/>
          <w:lang w:eastAsia="en-GB"/>
          <w14:ligatures w14:val="none"/>
        </w:rPr>
        <w:t>ed chemicals, which cause oxidative stress and arterial hardening (</w:t>
      </w:r>
      <w:proofErr w:type="spellStart"/>
      <w:r w:rsidRPr="00520CD6">
        <w:rPr>
          <w:rFonts w:ascii="Arial" w:eastAsia="Times New Roman" w:hAnsi="Arial" w:cs="Arial"/>
          <w:kern w:val="0"/>
          <w:sz w:val="22"/>
          <w:szCs w:val="22"/>
          <w:lang w:eastAsia="en-GB"/>
          <w14:ligatures w14:val="none"/>
        </w:rPr>
        <w:t>Caponnetto</w:t>
      </w:r>
      <w:proofErr w:type="spellEnd"/>
      <w:r w:rsidRPr="00520CD6">
        <w:rPr>
          <w:rFonts w:ascii="Arial" w:eastAsia="Times New Roman" w:hAnsi="Arial" w:cs="Arial"/>
          <w:kern w:val="0"/>
          <w:sz w:val="22"/>
          <w:szCs w:val="22"/>
          <w:lang w:eastAsia="en-GB"/>
          <w14:ligatures w14:val="none"/>
        </w:rPr>
        <w:t xml:space="preserve"> et al., 2023). Alcohol intake should also be advised to the </w:t>
      </w:r>
      <w:proofErr w:type="gramStart"/>
      <w:r w:rsidRPr="00520CD6">
        <w:rPr>
          <w:rFonts w:ascii="Arial" w:eastAsia="Times New Roman" w:hAnsi="Arial" w:cs="Arial"/>
          <w:kern w:val="0"/>
          <w:sz w:val="22"/>
          <w:szCs w:val="22"/>
          <w:lang w:eastAsia="en-GB"/>
          <w14:ligatures w14:val="none"/>
        </w:rPr>
        <w:t>patients</w:t>
      </w:r>
      <w:proofErr w:type="gramEnd"/>
      <w:r w:rsidRPr="00520CD6">
        <w:rPr>
          <w:rFonts w:ascii="Arial" w:eastAsia="Times New Roman" w:hAnsi="Arial" w:cs="Arial"/>
          <w:kern w:val="0"/>
          <w:sz w:val="22"/>
          <w:szCs w:val="22"/>
          <w:lang w:eastAsia="en-GB"/>
          <w14:ligatures w14:val="none"/>
        </w:rPr>
        <w:t xml:space="preserve"> and this may lead to </w:t>
      </w:r>
      <w:proofErr w:type="gramStart"/>
      <w:r w:rsidRPr="00520CD6">
        <w:rPr>
          <w:rFonts w:ascii="Arial" w:eastAsia="Times New Roman" w:hAnsi="Arial" w:cs="Arial"/>
          <w:kern w:val="0"/>
          <w:sz w:val="22"/>
          <w:szCs w:val="22"/>
          <w:lang w:eastAsia="en-GB"/>
          <w14:ligatures w14:val="none"/>
        </w:rPr>
        <w:t>slow-</w:t>
      </w:r>
      <w:proofErr w:type="spellStart"/>
      <w:r w:rsidRPr="00520CD6">
        <w:rPr>
          <w:rFonts w:ascii="Arial" w:eastAsia="Times New Roman" w:hAnsi="Arial" w:cs="Arial"/>
          <w:kern w:val="0"/>
          <w:sz w:val="22"/>
          <w:szCs w:val="22"/>
          <w:lang w:eastAsia="en-GB"/>
          <w14:ligatures w14:val="none"/>
        </w:rPr>
        <w:t>hypoglycemia</w:t>
      </w:r>
      <w:proofErr w:type="spellEnd"/>
      <w:proofErr w:type="gramEnd"/>
      <w:r w:rsidRPr="00520CD6">
        <w:rPr>
          <w:rFonts w:ascii="Arial" w:eastAsia="Times New Roman" w:hAnsi="Arial" w:cs="Arial"/>
          <w:kern w:val="0"/>
          <w:sz w:val="22"/>
          <w:szCs w:val="22"/>
          <w:lang w:eastAsia="en-GB"/>
          <w14:ligatures w14:val="none"/>
        </w:rPr>
        <w:t xml:space="preserve"> by preventing the liver to produce glucose</w:t>
      </w:r>
      <w:r w:rsidR="00CC1722" w:rsidRPr="00520CD6">
        <w:rPr>
          <w:rFonts w:ascii="Arial" w:eastAsia="Times New Roman" w:hAnsi="Arial" w:cs="Arial"/>
          <w:kern w:val="0"/>
          <w:sz w:val="22"/>
          <w:szCs w:val="22"/>
          <w:lang w:eastAsia="en-GB"/>
          <w14:ligatures w14:val="none"/>
        </w:rPr>
        <w:t>.</w:t>
      </w:r>
    </w:p>
    <w:p w14:paraId="5C922F92" w14:textId="77777777" w:rsidR="00B94D3D" w:rsidRPr="00520CD6" w:rsidRDefault="00B94D3D" w:rsidP="003923BA">
      <w:pPr>
        <w:spacing w:after="240" w:line="360" w:lineRule="auto"/>
        <w:ind w:firstLine="720"/>
        <w:jc w:val="both"/>
        <w:rPr>
          <w:rFonts w:ascii="Arial" w:eastAsia="Times New Roman" w:hAnsi="Arial" w:cs="Arial"/>
          <w:kern w:val="0"/>
          <w:sz w:val="22"/>
          <w:szCs w:val="22"/>
          <w:lang w:eastAsia="en-GB"/>
          <w14:ligatures w14:val="none"/>
        </w:rPr>
      </w:pPr>
    </w:p>
    <w:p w14:paraId="237C4F82" w14:textId="77777777" w:rsidR="00CC1722" w:rsidRPr="00520CD6" w:rsidRDefault="00CC1722" w:rsidP="003923BA">
      <w:pPr>
        <w:spacing w:after="0" w:line="360" w:lineRule="auto"/>
        <w:jc w:val="both"/>
        <w:rPr>
          <w:rFonts w:ascii="Arial" w:eastAsia="Times New Roman" w:hAnsi="Arial" w:cs="Arial"/>
          <w:kern w:val="0"/>
          <w:sz w:val="22"/>
          <w:szCs w:val="22"/>
          <w:lang w:eastAsia="en-GB"/>
          <w14:ligatures w14:val="none"/>
        </w:rPr>
      </w:pPr>
      <w:r w:rsidRPr="00520CD6">
        <w:rPr>
          <w:rFonts w:ascii="Arial" w:eastAsia="Times New Roman" w:hAnsi="Arial" w:cs="Arial"/>
          <w:b/>
          <w:bCs/>
          <w:kern w:val="0"/>
          <w:sz w:val="22"/>
          <w:szCs w:val="22"/>
          <w:bdr w:val="none" w:sz="0" w:space="0" w:color="auto" w:frame="1"/>
          <w:lang w:eastAsia="en-GB"/>
          <w14:ligatures w14:val="none"/>
        </w:rPr>
        <w:t>Stress and Sleep Hygiene:</w:t>
      </w:r>
    </w:p>
    <w:p w14:paraId="7302E525" w14:textId="01F90EE9" w:rsidR="00CC1722" w:rsidRPr="00520CD6" w:rsidRDefault="00B94D3D" w:rsidP="003923BA">
      <w:pPr>
        <w:spacing w:after="240" w:line="360" w:lineRule="auto"/>
        <w:ind w:firstLine="720"/>
        <w:jc w:val="both"/>
        <w:rPr>
          <w:rFonts w:ascii="Arial" w:eastAsia="Times New Roman" w:hAnsi="Arial" w:cs="Arial"/>
          <w:kern w:val="0"/>
          <w:sz w:val="22"/>
          <w:szCs w:val="22"/>
          <w:lang w:eastAsia="en-GB"/>
          <w14:ligatures w14:val="none"/>
        </w:rPr>
      </w:pPr>
      <w:r w:rsidRPr="00520CD6">
        <w:rPr>
          <w:rFonts w:ascii="Arial" w:eastAsia="Times New Roman" w:hAnsi="Arial" w:cs="Arial"/>
          <w:kern w:val="0"/>
          <w:sz w:val="22"/>
          <w:szCs w:val="22"/>
          <w:lang w:eastAsia="en-GB"/>
          <w14:ligatures w14:val="none"/>
        </w:rPr>
        <w:t>Lastly, there should be a discussion of the invisible elements of stress and sleep. Chronic stress raises the Sympathetic Nervous System and the HPA axis which discharge adrenaline and cortisol. These are counter-regulatory hormones, which directly counter</w:t>
      </w:r>
      <w:r w:rsidR="00E31070" w:rsidRPr="00520CD6">
        <w:rPr>
          <w:rFonts w:ascii="Arial" w:eastAsia="Times New Roman" w:hAnsi="Arial" w:cs="Arial"/>
          <w:kern w:val="0"/>
          <w:sz w:val="22"/>
          <w:szCs w:val="22"/>
          <w:lang w:eastAsia="en-GB"/>
          <w14:ligatures w14:val="none"/>
        </w:rPr>
        <w:t xml:space="preserve"> </w:t>
      </w:r>
      <w:r w:rsidRPr="00520CD6">
        <w:rPr>
          <w:rFonts w:ascii="Arial" w:eastAsia="Times New Roman" w:hAnsi="Arial" w:cs="Arial"/>
          <w:kern w:val="0"/>
          <w:sz w:val="22"/>
          <w:szCs w:val="22"/>
          <w:lang w:eastAsia="en-GB"/>
          <w14:ligatures w14:val="none"/>
        </w:rPr>
        <w:t>insulin and increase the levels of blood glucose to set the body in the position of fight or flight (Knowler et al., 20</w:t>
      </w:r>
      <w:r w:rsidR="00E31070" w:rsidRPr="00520CD6">
        <w:rPr>
          <w:rFonts w:ascii="Arial" w:eastAsia="Times New Roman" w:hAnsi="Arial" w:cs="Arial"/>
          <w:kern w:val="0"/>
          <w:sz w:val="22"/>
          <w:szCs w:val="22"/>
          <w:lang w:eastAsia="en-GB"/>
          <w14:ligatures w14:val="none"/>
        </w:rPr>
        <w:t>25</w:t>
      </w:r>
      <w:r w:rsidRPr="00520CD6">
        <w:rPr>
          <w:rFonts w:ascii="Arial" w:eastAsia="Times New Roman" w:hAnsi="Arial" w:cs="Arial"/>
          <w:kern w:val="0"/>
          <w:sz w:val="22"/>
          <w:szCs w:val="22"/>
          <w:lang w:eastAsia="en-GB"/>
          <w14:ligatures w14:val="none"/>
        </w:rPr>
        <w:t>). In the same way, inadequate sleep (less than 6 hours) makes one resistant to insulin and makes him or her to have a high level of ghrelin (hunger hormone) which causes excessive consumption of food and poor food choices</w:t>
      </w:r>
      <w:r w:rsidR="00CC1722" w:rsidRPr="00520CD6">
        <w:rPr>
          <w:rFonts w:ascii="Arial" w:eastAsia="Times New Roman" w:hAnsi="Arial" w:cs="Arial"/>
          <w:kern w:val="0"/>
          <w:sz w:val="22"/>
          <w:szCs w:val="22"/>
          <w:lang w:eastAsia="en-GB"/>
          <w14:ligatures w14:val="none"/>
        </w:rPr>
        <w:t>.</w:t>
      </w:r>
    </w:p>
    <w:p w14:paraId="065EDFF0" w14:textId="77777777" w:rsidR="00B94D3D" w:rsidRPr="00520CD6" w:rsidRDefault="00B94D3D" w:rsidP="003923BA">
      <w:pPr>
        <w:spacing w:after="240" w:line="360" w:lineRule="auto"/>
        <w:ind w:firstLine="720"/>
        <w:jc w:val="both"/>
        <w:rPr>
          <w:rFonts w:ascii="Arial" w:eastAsia="Times New Roman" w:hAnsi="Arial" w:cs="Arial"/>
          <w:kern w:val="0"/>
          <w:sz w:val="22"/>
          <w:szCs w:val="22"/>
          <w:lang w:eastAsia="en-GB"/>
          <w14:ligatures w14:val="none"/>
        </w:rPr>
      </w:pPr>
    </w:p>
    <w:p w14:paraId="511DC21D" w14:textId="5A6D64CA" w:rsidR="00CC1722" w:rsidRPr="00520CD6" w:rsidRDefault="00CC1722" w:rsidP="003923BA">
      <w:pPr>
        <w:spacing w:after="120" w:line="360" w:lineRule="auto"/>
        <w:jc w:val="both"/>
        <w:outlineLvl w:val="2"/>
        <w:rPr>
          <w:rFonts w:ascii="Arial" w:eastAsia="Times New Roman" w:hAnsi="Arial" w:cs="Arial"/>
          <w:b/>
          <w:bCs/>
          <w:kern w:val="0"/>
          <w:sz w:val="22"/>
          <w:szCs w:val="22"/>
          <w:lang w:eastAsia="en-GB"/>
          <w14:ligatures w14:val="none"/>
        </w:rPr>
      </w:pPr>
      <w:bookmarkStart w:id="5" w:name="_Toc220721653"/>
      <w:r w:rsidRPr="00520CD6">
        <w:rPr>
          <w:rFonts w:ascii="Arial" w:eastAsia="Times New Roman" w:hAnsi="Arial" w:cs="Arial"/>
          <w:b/>
          <w:bCs/>
          <w:kern w:val="0"/>
          <w:sz w:val="22"/>
          <w:szCs w:val="22"/>
          <w:lang w:eastAsia="en-GB"/>
          <w14:ligatures w14:val="none"/>
        </w:rPr>
        <w:lastRenderedPageBreak/>
        <w:t>f. Conclusion</w:t>
      </w:r>
      <w:bookmarkEnd w:id="5"/>
    </w:p>
    <w:p w14:paraId="7DACAE2B" w14:textId="4F404A39" w:rsidR="00CC1722" w:rsidRPr="00520CD6" w:rsidRDefault="00B94D3D" w:rsidP="003923BA">
      <w:pPr>
        <w:spacing w:after="240" w:line="360" w:lineRule="auto"/>
        <w:ind w:firstLine="720"/>
        <w:jc w:val="both"/>
        <w:rPr>
          <w:rFonts w:ascii="Arial" w:eastAsia="Times New Roman" w:hAnsi="Arial" w:cs="Arial"/>
          <w:kern w:val="0"/>
          <w:sz w:val="22"/>
          <w:szCs w:val="22"/>
          <w:lang w:eastAsia="en-GB"/>
          <w14:ligatures w14:val="none"/>
        </w:rPr>
      </w:pPr>
      <w:r w:rsidRPr="00520CD6">
        <w:rPr>
          <w:rFonts w:ascii="Arial" w:eastAsia="Times New Roman" w:hAnsi="Arial" w:cs="Arial"/>
          <w:kern w:val="0"/>
          <w:sz w:val="22"/>
          <w:szCs w:val="22"/>
          <w:lang w:eastAsia="en-GB"/>
          <w14:ligatures w14:val="none"/>
        </w:rPr>
        <w:t xml:space="preserve">To conclude, Type 2 Diabetes management in a GP surgery should be a holistic and patient </w:t>
      </w:r>
      <w:proofErr w:type="spellStart"/>
      <w:r w:rsidRPr="00520CD6">
        <w:rPr>
          <w:rFonts w:ascii="Arial" w:eastAsia="Times New Roman" w:hAnsi="Arial" w:cs="Arial"/>
          <w:kern w:val="0"/>
          <w:sz w:val="22"/>
          <w:szCs w:val="22"/>
          <w:lang w:eastAsia="en-GB"/>
          <w14:ligatures w14:val="none"/>
        </w:rPr>
        <w:t>centered</w:t>
      </w:r>
      <w:proofErr w:type="spellEnd"/>
      <w:r w:rsidRPr="00520CD6">
        <w:rPr>
          <w:rFonts w:ascii="Arial" w:eastAsia="Times New Roman" w:hAnsi="Arial" w:cs="Arial"/>
          <w:kern w:val="0"/>
          <w:sz w:val="22"/>
          <w:szCs w:val="22"/>
          <w:lang w:eastAsia="en-GB"/>
          <w14:ligatures w14:val="none"/>
        </w:rPr>
        <w:t xml:space="preserve"> initiative. We can explain to the patients the complexities of cell metabolism, which is that oxygen and glucose play in sync to generate energy, thus, giving the patients the why behind their treatment plan. Their readings of their glucose monitors are demystified by understanding blood sugar homeostasis and the importance of the pancreas on the process. The fact remains undisputed, T2DM is a condition that is both severe and progressive, and it is also very receptive to lifestyle changes. There is also an opportunity to stop or even reverse the disease progress observing its proper recording in the clinic, a nutrient-dense diet, regular physical activities, and the ability to abandon such harmful habits as smoking. It is our job to equip patients with this information as practice nurses and make them eventual perpetrators of their own long-term health and well-being, instead of being victims of the diagnosis</w:t>
      </w:r>
      <w:r w:rsidR="00CC1722" w:rsidRPr="00520CD6">
        <w:rPr>
          <w:rFonts w:ascii="Arial" w:eastAsia="Times New Roman" w:hAnsi="Arial" w:cs="Arial"/>
          <w:kern w:val="0"/>
          <w:sz w:val="22"/>
          <w:szCs w:val="22"/>
          <w:lang w:eastAsia="en-GB"/>
          <w14:ligatures w14:val="none"/>
        </w:rPr>
        <w:t>.</w:t>
      </w:r>
    </w:p>
    <w:p w14:paraId="0CBB5590" w14:textId="77777777" w:rsidR="00CC1722" w:rsidRPr="00520CD6" w:rsidRDefault="00CC1722" w:rsidP="003923BA">
      <w:pPr>
        <w:spacing w:line="360" w:lineRule="auto"/>
        <w:jc w:val="both"/>
        <w:rPr>
          <w:rFonts w:ascii="Arial" w:eastAsia="Times New Roman" w:hAnsi="Arial" w:cs="Arial"/>
          <w:b/>
          <w:bCs/>
          <w:kern w:val="0"/>
          <w:sz w:val="22"/>
          <w:szCs w:val="22"/>
          <w:lang w:eastAsia="en-GB"/>
          <w14:ligatures w14:val="none"/>
        </w:rPr>
      </w:pPr>
      <w:r w:rsidRPr="00520CD6">
        <w:rPr>
          <w:rFonts w:ascii="Arial" w:eastAsia="Times New Roman" w:hAnsi="Arial" w:cs="Arial"/>
          <w:b/>
          <w:bCs/>
          <w:kern w:val="0"/>
          <w:sz w:val="22"/>
          <w:szCs w:val="22"/>
          <w:lang w:eastAsia="en-GB"/>
          <w14:ligatures w14:val="none"/>
        </w:rPr>
        <w:br w:type="page"/>
      </w:r>
    </w:p>
    <w:p w14:paraId="19E5581B" w14:textId="77777777" w:rsidR="00E31070" w:rsidRPr="00520CD6" w:rsidRDefault="00CC1722" w:rsidP="003923BA">
      <w:pPr>
        <w:spacing w:after="120" w:line="360" w:lineRule="auto"/>
        <w:jc w:val="both"/>
        <w:outlineLvl w:val="2"/>
        <w:rPr>
          <w:rFonts w:ascii="Arial" w:eastAsia="Times New Roman" w:hAnsi="Arial" w:cs="Arial"/>
          <w:kern w:val="0"/>
          <w:sz w:val="22"/>
          <w:szCs w:val="22"/>
          <w:lang w:eastAsia="en-GB"/>
          <w14:ligatures w14:val="none"/>
        </w:rPr>
      </w:pPr>
      <w:bookmarkStart w:id="6" w:name="_Toc220721654"/>
      <w:r w:rsidRPr="00520CD6">
        <w:rPr>
          <w:rFonts w:ascii="Arial" w:eastAsia="Times New Roman" w:hAnsi="Arial" w:cs="Arial"/>
          <w:b/>
          <w:bCs/>
          <w:kern w:val="0"/>
          <w:sz w:val="22"/>
          <w:szCs w:val="22"/>
          <w:lang w:eastAsia="en-GB"/>
          <w14:ligatures w14:val="none"/>
        </w:rPr>
        <w:lastRenderedPageBreak/>
        <w:t>g. Reference List</w:t>
      </w:r>
      <w:bookmarkEnd w:id="6"/>
    </w:p>
    <w:p w14:paraId="4229784A" w14:textId="48024386" w:rsidR="00E31070" w:rsidRPr="00520CD6" w:rsidRDefault="00E31070" w:rsidP="003923BA">
      <w:pPr>
        <w:spacing w:line="360" w:lineRule="auto"/>
        <w:ind w:left="720" w:hanging="720"/>
        <w:jc w:val="both"/>
        <w:rPr>
          <w:rFonts w:ascii="Arial" w:hAnsi="Arial" w:cs="Arial"/>
          <w:b/>
          <w:bCs/>
          <w:sz w:val="22"/>
          <w:szCs w:val="22"/>
          <w:lang w:eastAsia="en-GB"/>
        </w:rPr>
      </w:pPr>
      <w:proofErr w:type="spellStart"/>
      <w:r w:rsidRPr="00520CD6">
        <w:rPr>
          <w:rFonts w:ascii="Arial" w:hAnsi="Arial" w:cs="Arial"/>
          <w:sz w:val="22"/>
          <w:szCs w:val="22"/>
          <w:lang w:eastAsia="en-GB"/>
        </w:rPr>
        <w:t>Battelino</w:t>
      </w:r>
      <w:proofErr w:type="spellEnd"/>
      <w:r w:rsidRPr="00520CD6">
        <w:rPr>
          <w:rFonts w:ascii="Arial" w:hAnsi="Arial" w:cs="Arial"/>
          <w:sz w:val="22"/>
          <w:szCs w:val="22"/>
          <w:lang w:eastAsia="en-GB"/>
        </w:rPr>
        <w:t xml:space="preserve">, T., Danne, T., </w:t>
      </w:r>
      <w:proofErr w:type="spellStart"/>
      <w:r w:rsidRPr="00520CD6">
        <w:rPr>
          <w:rFonts w:ascii="Arial" w:hAnsi="Arial" w:cs="Arial"/>
          <w:sz w:val="22"/>
          <w:szCs w:val="22"/>
          <w:lang w:eastAsia="en-GB"/>
        </w:rPr>
        <w:t>Bergenstal</w:t>
      </w:r>
      <w:proofErr w:type="spellEnd"/>
      <w:r w:rsidRPr="00520CD6">
        <w:rPr>
          <w:rFonts w:ascii="Arial" w:hAnsi="Arial" w:cs="Arial"/>
          <w:sz w:val="22"/>
          <w:szCs w:val="22"/>
          <w:lang w:eastAsia="en-GB"/>
        </w:rPr>
        <w:t>, R.M., Amiel, S.A., Beck, R., Biester, T., Bosi, E., Buckingham, B.A., Cefalu, W.T., Close, K.L. and Cobelli, C., 2019. Clinical targets for continuous glucose monitoring data interpretation: recommendations from the international consensus on time in range. Diabetes care, 42(8), pp.1593-1603.</w:t>
      </w:r>
    </w:p>
    <w:p w14:paraId="4BF88102" w14:textId="77777777" w:rsidR="00E31070" w:rsidRPr="00520CD6" w:rsidRDefault="00E31070" w:rsidP="003923BA">
      <w:pPr>
        <w:spacing w:after="0" w:line="360" w:lineRule="auto"/>
        <w:ind w:left="720" w:hanging="720"/>
        <w:jc w:val="both"/>
        <w:rPr>
          <w:rFonts w:ascii="Arial" w:eastAsia="Times New Roman" w:hAnsi="Arial" w:cs="Arial"/>
          <w:kern w:val="0"/>
          <w:sz w:val="22"/>
          <w:szCs w:val="22"/>
          <w:lang w:eastAsia="en-GB"/>
          <w14:ligatures w14:val="none"/>
        </w:rPr>
      </w:pPr>
      <w:r w:rsidRPr="00520CD6">
        <w:rPr>
          <w:rFonts w:ascii="Arial" w:eastAsia="Times New Roman" w:hAnsi="Arial" w:cs="Arial"/>
          <w:kern w:val="0"/>
          <w:sz w:val="22"/>
          <w:szCs w:val="22"/>
          <w:lang w:eastAsia="en-GB"/>
          <w14:ligatures w14:val="none"/>
        </w:rPr>
        <w:t xml:space="preserve">Berg, J.M., </w:t>
      </w:r>
      <w:proofErr w:type="spellStart"/>
      <w:r w:rsidRPr="00520CD6">
        <w:rPr>
          <w:rFonts w:ascii="Arial" w:eastAsia="Times New Roman" w:hAnsi="Arial" w:cs="Arial"/>
          <w:kern w:val="0"/>
          <w:sz w:val="22"/>
          <w:szCs w:val="22"/>
          <w:lang w:eastAsia="en-GB"/>
          <w14:ligatures w14:val="none"/>
        </w:rPr>
        <w:t>Tymoczko</w:t>
      </w:r>
      <w:proofErr w:type="spellEnd"/>
      <w:r w:rsidRPr="00520CD6">
        <w:rPr>
          <w:rFonts w:ascii="Arial" w:eastAsia="Times New Roman" w:hAnsi="Arial" w:cs="Arial"/>
          <w:kern w:val="0"/>
          <w:sz w:val="22"/>
          <w:szCs w:val="22"/>
          <w:lang w:eastAsia="en-GB"/>
          <w14:ligatures w14:val="none"/>
        </w:rPr>
        <w:t xml:space="preserve">, J.L., Gatto, G. and </w:t>
      </w:r>
      <w:proofErr w:type="spellStart"/>
      <w:r w:rsidRPr="00520CD6">
        <w:rPr>
          <w:rFonts w:ascii="Arial" w:eastAsia="Times New Roman" w:hAnsi="Arial" w:cs="Arial"/>
          <w:kern w:val="0"/>
          <w:sz w:val="22"/>
          <w:szCs w:val="22"/>
          <w:lang w:eastAsia="en-GB"/>
          <w14:ligatures w14:val="none"/>
        </w:rPr>
        <w:t>Stryer</w:t>
      </w:r>
      <w:proofErr w:type="spellEnd"/>
      <w:r w:rsidRPr="00520CD6">
        <w:rPr>
          <w:rFonts w:ascii="Arial" w:eastAsia="Times New Roman" w:hAnsi="Arial" w:cs="Arial"/>
          <w:kern w:val="0"/>
          <w:sz w:val="22"/>
          <w:szCs w:val="22"/>
          <w:lang w:eastAsia="en-GB"/>
          <w14:ligatures w14:val="none"/>
        </w:rPr>
        <w:t>, L., 2015. Biochemistry (eight edition).</w:t>
      </w:r>
    </w:p>
    <w:p w14:paraId="1779F735" w14:textId="77777777" w:rsidR="00E31070" w:rsidRPr="00520CD6" w:rsidRDefault="00E31070" w:rsidP="003923BA">
      <w:pPr>
        <w:spacing w:after="0" w:line="360" w:lineRule="auto"/>
        <w:ind w:left="720" w:hanging="720"/>
        <w:jc w:val="both"/>
        <w:rPr>
          <w:rFonts w:ascii="Arial" w:eastAsia="Times New Roman" w:hAnsi="Arial" w:cs="Arial"/>
          <w:kern w:val="0"/>
          <w:sz w:val="22"/>
          <w:szCs w:val="22"/>
          <w:lang w:eastAsia="en-GB"/>
          <w14:ligatures w14:val="none"/>
        </w:rPr>
      </w:pPr>
      <w:proofErr w:type="spellStart"/>
      <w:r w:rsidRPr="00520CD6">
        <w:rPr>
          <w:rFonts w:ascii="Arial" w:eastAsia="Times New Roman" w:hAnsi="Arial" w:cs="Arial"/>
          <w:kern w:val="0"/>
          <w:sz w:val="22"/>
          <w:szCs w:val="22"/>
          <w:lang w:eastAsia="en-GB"/>
          <w14:ligatures w14:val="none"/>
        </w:rPr>
        <w:t>Caponnetto</w:t>
      </w:r>
      <w:proofErr w:type="spellEnd"/>
      <w:r w:rsidRPr="00520CD6">
        <w:rPr>
          <w:rFonts w:ascii="Arial" w:eastAsia="Times New Roman" w:hAnsi="Arial" w:cs="Arial"/>
          <w:kern w:val="0"/>
          <w:sz w:val="22"/>
          <w:szCs w:val="22"/>
          <w:lang w:eastAsia="en-GB"/>
          <w14:ligatures w14:val="none"/>
        </w:rPr>
        <w:t xml:space="preserve">, P., Spicuzza, L., Campagna, D., Ahluwalia, J.S., Russell, C., Maglia, M., Riela, P.M., Longo, C.F., Caci, G., Quattropani, M.C. and Signorelli, M.S., 2023. Varenicline for smoking cessation in individuals who smoke cigarettes and use electronic cigarettes: a double-blind, randomised, placebo-controlled phase 3 trial. </w:t>
      </w:r>
      <w:proofErr w:type="spellStart"/>
      <w:r w:rsidRPr="00520CD6">
        <w:rPr>
          <w:rFonts w:ascii="Arial" w:eastAsia="Times New Roman" w:hAnsi="Arial" w:cs="Arial"/>
          <w:kern w:val="0"/>
          <w:sz w:val="22"/>
          <w:szCs w:val="22"/>
          <w:lang w:eastAsia="en-GB"/>
          <w14:ligatures w14:val="none"/>
        </w:rPr>
        <w:t>EClinicalMedicine</w:t>
      </w:r>
      <w:proofErr w:type="spellEnd"/>
      <w:r w:rsidRPr="00520CD6">
        <w:rPr>
          <w:rFonts w:ascii="Arial" w:eastAsia="Times New Roman" w:hAnsi="Arial" w:cs="Arial"/>
          <w:kern w:val="0"/>
          <w:sz w:val="22"/>
          <w:szCs w:val="22"/>
          <w:lang w:eastAsia="en-GB"/>
          <w14:ligatures w14:val="none"/>
        </w:rPr>
        <w:t>, 66.</w:t>
      </w:r>
    </w:p>
    <w:p w14:paraId="3D0D58B0" w14:textId="77777777" w:rsidR="00E31070" w:rsidRPr="00520CD6" w:rsidRDefault="00E31070" w:rsidP="003923BA">
      <w:pPr>
        <w:spacing w:after="0" w:line="360" w:lineRule="auto"/>
        <w:ind w:left="720" w:hanging="720"/>
        <w:jc w:val="both"/>
        <w:rPr>
          <w:rFonts w:ascii="Arial" w:eastAsia="Times New Roman" w:hAnsi="Arial" w:cs="Arial"/>
          <w:kern w:val="0"/>
          <w:sz w:val="22"/>
          <w:szCs w:val="22"/>
          <w:lang w:eastAsia="en-GB"/>
          <w14:ligatures w14:val="none"/>
        </w:rPr>
      </w:pPr>
      <w:r w:rsidRPr="00520CD6">
        <w:rPr>
          <w:rFonts w:ascii="Arial" w:eastAsia="Times New Roman" w:hAnsi="Arial" w:cs="Arial"/>
          <w:kern w:val="0"/>
          <w:sz w:val="22"/>
          <w:szCs w:val="22"/>
          <w:lang w:eastAsia="en-GB"/>
          <w14:ligatures w14:val="none"/>
        </w:rPr>
        <w:t>Care, D., 2023. 2. Classification and diagnosis of diabetes: standards of care in. Diabetes Care, 46, p.S19.</w:t>
      </w:r>
    </w:p>
    <w:p w14:paraId="441026C3" w14:textId="77777777" w:rsidR="00E31070" w:rsidRPr="00520CD6" w:rsidRDefault="00E31070" w:rsidP="003923BA">
      <w:pPr>
        <w:spacing w:after="0" w:line="360" w:lineRule="auto"/>
        <w:ind w:left="720" w:hanging="720"/>
        <w:jc w:val="both"/>
        <w:rPr>
          <w:rFonts w:ascii="Arial" w:eastAsia="Times New Roman" w:hAnsi="Arial" w:cs="Arial"/>
          <w:kern w:val="0"/>
          <w:sz w:val="22"/>
          <w:szCs w:val="22"/>
          <w:lang w:eastAsia="en-GB"/>
          <w14:ligatures w14:val="none"/>
        </w:rPr>
      </w:pPr>
      <w:r w:rsidRPr="00520CD6">
        <w:rPr>
          <w:rFonts w:ascii="Arial" w:eastAsia="Times New Roman" w:hAnsi="Arial" w:cs="Arial"/>
          <w:kern w:val="0"/>
          <w:sz w:val="22"/>
          <w:szCs w:val="22"/>
          <w:lang w:eastAsia="en-GB"/>
          <w14:ligatures w14:val="none"/>
        </w:rPr>
        <w:t xml:space="preserve">Colberg, S.R., </w:t>
      </w:r>
      <w:proofErr w:type="spellStart"/>
      <w:r w:rsidRPr="00520CD6">
        <w:rPr>
          <w:rFonts w:ascii="Arial" w:eastAsia="Times New Roman" w:hAnsi="Arial" w:cs="Arial"/>
          <w:kern w:val="0"/>
          <w:sz w:val="22"/>
          <w:szCs w:val="22"/>
          <w:lang w:eastAsia="en-GB"/>
          <w14:ligatures w14:val="none"/>
        </w:rPr>
        <w:t>Kannane</w:t>
      </w:r>
      <w:proofErr w:type="spellEnd"/>
      <w:r w:rsidRPr="00520CD6">
        <w:rPr>
          <w:rFonts w:ascii="Arial" w:eastAsia="Times New Roman" w:hAnsi="Arial" w:cs="Arial"/>
          <w:kern w:val="0"/>
          <w:sz w:val="22"/>
          <w:szCs w:val="22"/>
          <w:lang w:eastAsia="en-GB"/>
          <w14:ligatures w14:val="none"/>
        </w:rPr>
        <w:t xml:space="preserve">, J. and Diawara, N., 2021. Physical activity, dietary patterns, and </w:t>
      </w:r>
      <w:proofErr w:type="spellStart"/>
      <w:r w:rsidRPr="00520CD6">
        <w:rPr>
          <w:rFonts w:ascii="Arial" w:eastAsia="Times New Roman" w:hAnsi="Arial" w:cs="Arial"/>
          <w:kern w:val="0"/>
          <w:sz w:val="22"/>
          <w:szCs w:val="22"/>
          <w:lang w:eastAsia="en-GB"/>
          <w14:ligatures w14:val="none"/>
        </w:rPr>
        <w:t>glycemic</w:t>
      </w:r>
      <w:proofErr w:type="spellEnd"/>
      <w:r w:rsidRPr="00520CD6">
        <w:rPr>
          <w:rFonts w:ascii="Arial" w:eastAsia="Times New Roman" w:hAnsi="Arial" w:cs="Arial"/>
          <w:kern w:val="0"/>
          <w:sz w:val="22"/>
          <w:szCs w:val="22"/>
          <w:lang w:eastAsia="en-GB"/>
          <w14:ligatures w14:val="none"/>
        </w:rPr>
        <w:t xml:space="preserve"> management in active individuals with type 1 diabetes: an online survey. International journal of environmental research and public health, 18(17), p.9332.</w:t>
      </w:r>
    </w:p>
    <w:p w14:paraId="3AABE3FA" w14:textId="77777777" w:rsidR="00E31070" w:rsidRPr="00520CD6" w:rsidRDefault="00E31070" w:rsidP="003923BA">
      <w:pPr>
        <w:spacing w:after="0" w:line="360" w:lineRule="auto"/>
        <w:ind w:left="720" w:hanging="720"/>
        <w:jc w:val="both"/>
        <w:rPr>
          <w:rFonts w:ascii="Arial" w:eastAsia="Times New Roman" w:hAnsi="Arial" w:cs="Arial"/>
          <w:kern w:val="0"/>
          <w:sz w:val="22"/>
          <w:szCs w:val="22"/>
          <w:lang w:eastAsia="en-GB"/>
          <w14:ligatures w14:val="none"/>
        </w:rPr>
      </w:pPr>
      <w:r w:rsidRPr="00520CD6">
        <w:rPr>
          <w:rFonts w:ascii="Arial" w:eastAsia="Times New Roman" w:hAnsi="Arial" w:cs="Arial"/>
          <w:kern w:val="0"/>
          <w:sz w:val="22"/>
          <w:szCs w:val="22"/>
          <w:lang w:eastAsia="en-GB"/>
          <w14:ligatures w14:val="none"/>
        </w:rPr>
        <w:t xml:space="preserve">Diabetes UK (2023). </w:t>
      </w:r>
      <w:r w:rsidRPr="00520CD6">
        <w:rPr>
          <w:rFonts w:ascii="Arial" w:eastAsia="Times New Roman" w:hAnsi="Arial" w:cs="Arial"/>
          <w:i/>
          <w:iCs/>
          <w:kern w:val="0"/>
          <w:sz w:val="22"/>
          <w:szCs w:val="22"/>
          <w:bdr w:val="none" w:sz="0" w:space="0" w:color="auto" w:frame="1"/>
          <w:lang w:eastAsia="en-GB"/>
          <w14:ligatures w14:val="none"/>
        </w:rPr>
        <w:t>Diabetes Risk Factors</w:t>
      </w:r>
      <w:r w:rsidRPr="00520CD6">
        <w:rPr>
          <w:rFonts w:ascii="Arial" w:eastAsia="Times New Roman" w:hAnsi="Arial" w:cs="Arial"/>
          <w:kern w:val="0"/>
          <w:sz w:val="22"/>
          <w:szCs w:val="22"/>
          <w:lang w:eastAsia="en-GB"/>
          <w14:ligatures w14:val="none"/>
        </w:rPr>
        <w:t xml:space="preserve">. Available at: </w:t>
      </w:r>
      <w:hyperlink r:id="rId14" w:history="1">
        <w:r w:rsidRPr="00520CD6">
          <w:rPr>
            <w:rStyle w:val="Hyperlink"/>
            <w:rFonts w:ascii="Arial" w:eastAsia="Times New Roman" w:hAnsi="Arial" w:cs="Arial"/>
            <w:color w:val="auto"/>
            <w:kern w:val="0"/>
            <w:sz w:val="22"/>
            <w:szCs w:val="22"/>
            <w:lang w:eastAsia="en-GB"/>
            <w14:ligatures w14:val="none"/>
          </w:rPr>
          <w:t>https://www.diabetes.org.uk/about-diabetes/type-2-diabetes/diabetes-risk-factors</w:t>
        </w:r>
      </w:hyperlink>
    </w:p>
    <w:p w14:paraId="6F55BF31" w14:textId="77777777" w:rsidR="00E31070" w:rsidRPr="00520CD6" w:rsidRDefault="00E31070" w:rsidP="003923BA">
      <w:pPr>
        <w:spacing w:after="0" w:line="360" w:lineRule="auto"/>
        <w:ind w:left="720" w:hanging="720"/>
        <w:jc w:val="both"/>
        <w:rPr>
          <w:rFonts w:ascii="Arial" w:eastAsia="Times New Roman" w:hAnsi="Arial" w:cs="Arial"/>
          <w:kern w:val="0"/>
          <w:sz w:val="22"/>
          <w:szCs w:val="22"/>
          <w:lang w:eastAsia="en-GB"/>
          <w14:ligatures w14:val="none"/>
        </w:rPr>
      </w:pPr>
      <w:r w:rsidRPr="00520CD6">
        <w:rPr>
          <w:rFonts w:ascii="Arial" w:eastAsia="Times New Roman" w:hAnsi="Arial" w:cs="Arial"/>
          <w:kern w:val="0"/>
          <w:sz w:val="22"/>
          <w:szCs w:val="22"/>
          <w:lang w:eastAsia="en-GB"/>
          <w14:ligatures w14:val="none"/>
        </w:rPr>
        <w:t>Evert, A.B., Dennison, M., Gardner, C.D., Garvey, W.T., Lau, K.H.K., MacLeod, J., Mitri, J., Pereira, R.F., Rawlings, K., Robinson, S. and Saslow, L., 2019. Nutrition therapy for adults with diabetes or prediabetes: a consensus report. Diabetes care, 42(5), p.731.</w:t>
      </w:r>
    </w:p>
    <w:p w14:paraId="47949EAE" w14:textId="77777777" w:rsidR="00E31070" w:rsidRPr="00520CD6" w:rsidRDefault="00E31070" w:rsidP="003923BA">
      <w:pPr>
        <w:spacing w:after="0" w:line="360" w:lineRule="auto"/>
        <w:ind w:left="720" w:hanging="720"/>
        <w:jc w:val="both"/>
        <w:rPr>
          <w:rFonts w:ascii="Arial" w:eastAsia="Times New Roman" w:hAnsi="Arial" w:cs="Arial"/>
          <w:kern w:val="0"/>
          <w:sz w:val="22"/>
          <w:szCs w:val="22"/>
          <w:lang w:eastAsia="en-GB"/>
          <w14:ligatures w14:val="none"/>
        </w:rPr>
      </w:pPr>
      <w:r w:rsidRPr="00520CD6">
        <w:rPr>
          <w:rFonts w:ascii="Arial" w:eastAsia="Times New Roman" w:hAnsi="Arial" w:cs="Arial"/>
          <w:kern w:val="0"/>
          <w:sz w:val="22"/>
          <w:szCs w:val="22"/>
          <w:lang w:eastAsia="en-GB"/>
          <w14:ligatures w14:val="none"/>
        </w:rPr>
        <w:t>Hall, J.E. and Hall, M.E., 2020. Guyton and Hall Textbook of Medical Physiology E-Book: Guyton and Hall Textbook of Medical Physiology E-Book. Elsevier Health Sciences.</w:t>
      </w:r>
    </w:p>
    <w:p w14:paraId="2B9857FF" w14:textId="77777777" w:rsidR="00E31070" w:rsidRPr="00520CD6" w:rsidRDefault="00E31070" w:rsidP="003923BA">
      <w:pPr>
        <w:spacing w:after="0" w:line="360" w:lineRule="auto"/>
        <w:ind w:left="720" w:hanging="720"/>
        <w:jc w:val="both"/>
        <w:rPr>
          <w:rFonts w:ascii="Arial" w:eastAsia="Times New Roman" w:hAnsi="Arial" w:cs="Arial"/>
          <w:kern w:val="0"/>
          <w:sz w:val="22"/>
          <w:szCs w:val="22"/>
          <w:lang w:eastAsia="en-GB"/>
          <w14:ligatures w14:val="none"/>
        </w:rPr>
      </w:pPr>
      <w:proofErr w:type="spellStart"/>
      <w:r w:rsidRPr="00520CD6">
        <w:rPr>
          <w:rFonts w:ascii="Arial" w:eastAsia="Times New Roman" w:hAnsi="Arial" w:cs="Arial"/>
          <w:kern w:val="0"/>
          <w:sz w:val="22"/>
          <w:szCs w:val="22"/>
          <w:lang w:eastAsia="en-GB"/>
          <w14:ligatures w14:val="none"/>
        </w:rPr>
        <w:t>Hwalla</w:t>
      </w:r>
      <w:proofErr w:type="spellEnd"/>
      <w:r w:rsidRPr="00520CD6">
        <w:rPr>
          <w:rFonts w:ascii="Arial" w:eastAsia="Times New Roman" w:hAnsi="Arial" w:cs="Arial"/>
          <w:kern w:val="0"/>
          <w:sz w:val="22"/>
          <w:szCs w:val="22"/>
          <w:lang w:eastAsia="en-GB"/>
          <w14:ligatures w14:val="none"/>
        </w:rPr>
        <w:t>, N., Jaafar, Z. and Sawaya, S., 2021. Dietary management of type 2 diabetes in the MENA region: a review of the evidence. Nutrients, 13(4), p.1060.</w:t>
      </w:r>
    </w:p>
    <w:p w14:paraId="0E74A2DD" w14:textId="77777777" w:rsidR="00E31070" w:rsidRPr="00520CD6" w:rsidRDefault="00E31070" w:rsidP="003923BA">
      <w:pPr>
        <w:spacing w:after="0" w:line="360" w:lineRule="auto"/>
        <w:ind w:left="720" w:hanging="720"/>
        <w:jc w:val="both"/>
        <w:rPr>
          <w:rFonts w:ascii="Arial" w:eastAsia="Times New Roman" w:hAnsi="Arial" w:cs="Arial"/>
          <w:kern w:val="0"/>
          <w:sz w:val="22"/>
          <w:szCs w:val="22"/>
          <w:lang w:eastAsia="en-GB"/>
          <w14:ligatures w14:val="none"/>
        </w:rPr>
      </w:pPr>
      <w:r w:rsidRPr="00520CD6">
        <w:rPr>
          <w:rFonts w:ascii="Arial" w:eastAsia="Times New Roman" w:hAnsi="Arial" w:cs="Arial"/>
          <w:kern w:val="0"/>
          <w:sz w:val="22"/>
          <w:szCs w:val="22"/>
          <w:lang w:eastAsia="en-GB"/>
          <w14:ligatures w14:val="none"/>
        </w:rPr>
        <w:t xml:space="preserve">International Diabetes Federation (2021). </w:t>
      </w:r>
      <w:r w:rsidRPr="00520CD6">
        <w:rPr>
          <w:rFonts w:ascii="Arial" w:eastAsia="Times New Roman" w:hAnsi="Arial" w:cs="Arial"/>
          <w:i/>
          <w:iCs/>
          <w:kern w:val="0"/>
          <w:sz w:val="22"/>
          <w:szCs w:val="22"/>
          <w:bdr w:val="none" w:sz="0" w:space="0" w:color="auto" w:frame="1"/>
          <w:lang w:eastAsia="en-GB"/>
          <w14:ligatures w14:val="none"/>
        </w:rPr>
        <w:t>IDF Diabetes Atlas</w:t>
      </w:r>
      <w:r w:rsidRPr="00520CD6">
        <w:rPr>
          <w:rFonts w:ascii="Arial" w:eastAsia="Times New Roman" w:hAnsi="Arial" w:cs="Arial"/>
          <w:kern w:val="0"/>
          <w:sz w:val="22"/>
          <w:szCs w:val="22"/>
          <w:lang w:eastAsia="en-GB"/>
          <w14:ligatures w14:val="none"/>
        </w:rPr>
        <w:t xml:space="preserve">. 10th </w:t>
      </w:r>
      <w:proofErr w:type="spellStart"/>
      <w:r w:rsidRPr="00520CD6">
        <w:rPr>
          <w:rFonts w:ascii="Arial" w:eastAsia="Times New Roman" w:hAnsi="Arial" w:cs="Arial"/>
          <w:kern w:val="0"/>
          <w:sz w:val="22"/>
          <w:szCs w:val="22"/>
          <w:lang w:eastAsia="en-GB"/>
          <w14:ligatures w14:val="none"/>
        </w:rPr>
        <w:t>edn</w:t>
      </w:r>
      <w:proofErr w:type="spellEnd"/>
      <w:r w:rsidRPr="00520CD6">
        <w:rPr>
          <w:rFonts w:ascii="Arial" w:eastAsia="Times New Roman" w:hAnsi="Arial" w:cs="Arial"/>
          <w:kern w:val="0"/>
          <w:sz w:val="22"/>
          <w:szCs w:val="22"/>
          <w:lang w:eastAsia="en-GB"/>
          <w14:ligatures w14:val="none"/>
        </w:rPr>
        <w:t>. Brussels: International Diabetes Federation. Available at: https://diabetesatlas.org/media/uploads/sites/3/2025/02/IDF_Atlas_10th_Edition_2021.pdf</w:t>
      </w:r>
    </w:p>
    <w:p w14:paraId="2B98A7DE" w14:textId="77777777" w:rsidR="00E31070" w:rsidRPr="00520CD6" w:rsidRDefault="00E31070" w:rsidP="003923BA">
      <w:pPr>
        <w:spacing w:after="0" w:line="360" w:lineRule="auto"/>
        <w:ind w:left="720" w:hanging="720"/>
        <w:jc w:val="both"/>
        <w:rPr>
          <w:rFonts w:ascii="Arial" w:eastAsia="Times New Roman" w:hAnsi="Arial" w:cs="Arial"/>
          <w:kern w:val="0"/>
          <w:sz w:val="22"/>
          <w:szCs w:val="22"/>
          <w:lang w:eastAsia="en-GB"/>
          <w14:ligatures w14:val="none"/>
        </w:rPr>
      </w:pPr>
      <w:r w:rsidRPr="00520CD6">
        <w:rPr>
          <w:rFonts w:ascii="Arial" w:eastAsia="Times New Roman" w:hAnsi="Arial" w:cs="Arial"/>
          <w:kern w:val="0"/>
          <w:sz w:val="22"/>
          <w:szCs w:val="22"/>
          <w:lang w:eastAsia="en-GB"/>
          <w14:ligatures w14:val="none"/>
        </w:rPr>
        <w:t>Klonoff, D.C., Umpierrez, G.E. and Rice, M.J., 2018. A milestone in point of care capillary blood glucose monitoring of critically ill hospitalized patients. Journal of Diabetes Science and Technology, 12(6), pp.1095-1100.</w:t>
      </w:r>
    </w:p>
    <w:p w14:paraId="1A6CB03D" w14:textId="77777777" w:rsidR="00E31070" w:rsidRPr="00520CD6" w:rsidRDefault="00E31070" w:rsidP="003923BA">
      <w:pPr>
        <w:spacing w:after="0" w:line="360" w:lineRule="auto"/>
        <w:ind w:left="720" w:hanging="720"/>
        <w:jc w:val="both"/>
        <w:rPr>
          <w:rFonts w:ascii="Arial" w:eastAsia="Times New Roman" w:hAnsi="Arial" w:cs="Arial"/>
          <w:kern w:val="0"/>
          <w:sz w:val="22"/>
          <w:szCs w:val="22"/>
          <w:lang w:eastAsia="en-GB"/>
          <w14:ligatures w14:val="none"/>
        </w:rPr>
      </w:pPr>
      <w:r w:rsidRPr="00520CD6">
        <w:rPr>
          <w:rFonts w:ascii="Arial" w:eastAsia="Times New Roman" w:hAnsi="Arial" w:cs="Arial"/>
          <w:kern w:val="0"/>
          <w:sz w:val="22"/>
          <w:szCs w:val="22"/>
          <w:lang w:eastAsia="en-GB"/>
          <w14:ligatures w14:val="none"/>
        </w:rPr>
        <w:t xml:space="preserve">Knowler, W.C., Doherty, L., Edelstein, S.L., Bennett, P.H., </w:t>
      </w:r>
      <w:proofErr w:type="spellStart"/>
      <w:r w:rsidRPr="00520CD6">
        <w:rPr>
          <w:rFonts w:ascii="Arial" w:eastAsia="Times New Roman" w:hAnsi="Arial" w:cs="Arial"/>
          <w:kern w:val="0"/>
          <w:sz w:val="22"/>
          <w:szCs w:val="22"/>
          <w:lang w:eastAsia="en-GB"/>
          <w14:ligatures w14:val="none"/>
        </w:rPr>
        <w:t>Dabelea</w:t>
      </w:r>
      <w:proofErr w:type="spellEnd"/>
      <w:r w:rsidRPr="00520CD6">
        <w:rPr>
          <w:rFonts w:ascii="Arial" w:eastAsia="Times New Roman" w:hAnsi="Arial" w:cs="Arial"/>
          <w:kern w:val="0"/>
          <w:sz w:val="22"/>
          <w:szCs w:val="22"/>
          <w:lang w:eastAsia="en-GB"/>
          <w14:ligatures w14:val="none"/>
        </w:rPr>
        <w:t>, D., Hoskin, M., Kahn, S.E., Kalyani, R.R., Kim, C., Pi-</w:t>
      </w:r>
      <w:proofErr w:type="spellStart"/>
      <w:r w:rsidRPr="00520CD6">
        <w:rPr>
          <w:rFonts w:ascii="Arial" w:eastAsia="Times New Roman" w:hAnsi="Arial" w:cs="Arial"/>
          <w:kern w:val="0"/>
          <w:sz w:val="22"/>
          <w:szCs w:val="22"/>
          <w:lang w:eastAsia="en-GB"/>
          <w14:ligatures w14:val="none"/>
        </w:rPr>
        <w:t>Sunyer</w:t>
      </w:r>
      <w:proofErr w:type="spellEnd"/>
      <w:r w:rsidRPr="00520CD6">
        <w:rPr>
          <w:rFonts w:ascii="Arial" w:eastAsia="Times New Roman" w:hAnsi="Arial" w:cs="Arial"/>
          <w:kern w:val="0"/>
          <w:sz w:val="22"/>
          <w:szCs w:val="22"/>
          <w:lang w:eastAsia="en-GB"/>
          <w14:ligatures w14:val="none"/>
        </w:rPr>
        <w:t xml:space="preserve">, F.X. and Raghavan, S., 2025. Long-term effects and effect heterogeneity of lifestyle and metformin interventions on type 2 </w:t>
      </w:r>
      <w:r w:rsidRPr="00520CD6">
        <w:rPr>
          <w:rFonts w:ascii="Arial" w:eastAsia="Times New Roman" w:hAnsi="Arial" w:cs="Arial"/>
          <w:kern w:val="0"/>
          <w:sz w:val="22"/>
          <w:szCs w:val="22"/>
          <w:lang w:eastAsia="en-GB"/>
          <w14:ligatures w14:val="none"/>
        </w:rPr>
        <w:lastRenderedPageBreak/>
        <w:t>diabetes incidence over 21 years in the US Diabetes Prevention Program randomised clinical trial. The Lancet Diabetes &amp; Endocrinology, 13(6), pp.469-481.</w:t>
      </w:r>
    </w:p>
    <w:p w14:paraId="56B1DDAA" w14:textId="77777777" w:rsidR="00E31070" w:rsidRPr="00520CD6" w:rsidRDefault="00E31070" w:rsidP="003923BA">
      <w:pPr>
        <w:spacing w:after="0" w:line="360" w:lineRule="auto"/>
        <w:ind w:left="720" w:hanging="720"/>
        <w:jc w:val="both"/>
        <w:rPr>
          <w:rFonts w:ascii="Arial" w:eastAsia="Times New Roman" w:hAnsi="Arial" w:cs="Arial"/>
          <w:kern w:val="0"/>
          <w:sz w:val="22"/>
          <w:szCs w:val="22"/>
          <w:lang w:eastAsia="en-GB"/>
          <w14:ligatures w14:val="none"/>
        </w:rPr>
      </w:pPr>
      <w:r w:rsidRPr="00520CD6">
        <w:rPr>
          <w:rFonts w:ascii="Arial" w:eastAsia="Times New Roman" w:hAnsi="Arial" w:cs="Arial"/>
          <w:kern w:val="0"/>
          <w:sz w:val="22"/>
          <w:szCs w:val="22"/>
          <w:lang w:eastAsia="en-GB"/>
          <w14:ligatures w14:val="none"/>
        </w:rPr>
        <w:t xml:space="preserve">Lean, M.E., Leslie, W.S., Barnes, A.C., Brosnahan, N., Thom, G., McCombie, L., Peters, C., </w:t>
      </w:r>
      <w:proofErr w:type="spellStart"/>
      <w:r w:rsidRPr="00520CD6">
        <w:rPr>
          <w:rFonts w:ascii="Arial" w:eastAsia="Times New Roman" w:hAnsi="Arial" w:cs="Arial"/>
          <w:kern w:val="0"/>
          <w:sz w:val="22"/>
          <w:szCs w:val="22"/>
          <w:lang w:eastAsia="en-GB"/>
          <w14:ligatures w14:val="none"/>
        </w:rPr>
        <w:t>Zhyzhneuskaya</w:t>
      </w:r>
      <w:proofErr w:type="spellEnd"/>
      <w:r w:rsidRPr="00520CD6">
        <w:rPr>
          <w:rFonts w:ascii="Arial" w:eastAsia="Times New Roman" w:hAnsi="Arial" w:cs="Arial"/>
          <w:kern w:val="0"/>
          <w:sz w:val="22"/>
          <w:szCs w:val="22"/>
          <w:lang w:eastAsia="en-GB"/>
          <w14:ligatures w14:val="none"/>
        </w:rPr>
        <w:t>, S., Al-</w:t>
      </w:r>
      <w:proofErr w:type="spellStart"/>
      <w:r w:rsidRPr="00520CD6">
        <w:rPr>
          <w:rFonts w:ascii="Arial" w:eastAsia="Times New Roman" w:hAnsi="Arial" w:cs="Arial"/>
          <w:kern w:val="0"/>
          <w:sz w:val="22"/>
          <w:szCs w:val="22"/>
          <w:lang w:eastAsia="en-GB"/>
          <w14:ligatures w14:val="none"/>
        </w:rPr>
        <w:t>Mrabeh</w:t>
      </w:r>
      <w:proofErr w:type="spellEnd"/>
      <w:r w:rsidRPr="00520CD6">
        <w:rPr>
          <w:rFonts w:ascii="Arial" w:eastAsia="Times New Roman" w:hAnsi="Arial" w:cs="Arial"/>
          <w:kern w:val="0"/>
          <w:sz w:val="22"/>
          <w:szCs w:val="22"/>
          <w:lang w:eastAsia="en-GB"/>
          <w14:ligatures w14:val="none"/>
        </w:rPr>
        <w:t xml:space="preserve">, A., Hollingsworth, K.G. and Rodrigues, A.M., 2019. Durability of a primary care-led weight-management intervention for remission of type 2 diabetes: 2-year results of the </w:t>
      </w:r>
      <w:proofErr w:type="spellStart"/>
      <w:r w:rsidRPr="00520CD6">
        <w:rPr>
          <w:rFonts w:ascii="Arial" w:eastAsia="Times New Roman" w:hAnsi="Arial" w:cs="Arial"/>
          <w:kern w:val="0"/>
          <w:sz w:val="22"/>
          <w:szCs w:val="22"/>
          <w:lang w:eastAsia="en-GB"/>
          <w14:ligatures w14:val="none"/>
        </w:rPr>
        <w:t>DiRECT</w:t>
      </w:r>
      <w:proofErr w:type="spellEnd"/>
      <w:r w:rsidRPr="00520CD6">
        <w:rPr>
          <w:rFonts w:ascii="Arial" w:eastAsia="Times New Roman" w:hAnsi="Arial" w:cs="Arial"/>
          <w:kern w:val="0"/>
          <w:sz w:val="22"/>
          <w:szCs w:val="22"/>
          <w:lang w:eastAsia="en-GB"/>
          <w14:ligatures w14:val="none"/>
        </w:rPr>
        <w:t xml:space="preserve"> open-label, cluster-randomised trial. The lancet Diabetes &amp; endocrinology, 7(5), pp.344-355.</w:t>
      </w:r>
    </w:p>
    <w:p w14:paraId="0091A3DE" w14:textId="77777777" w:rsidR="00E31070" w:rsidRPr="00520CD6" w:rsidRDefault="00E31070" w:rsidP="003923BA">
      <w:pPr>
        <w:spacing w:after="0" w:line="360" w:lineRule="auto"/>
        <w:ind w:left="720" w:hanging="720"/>
        <w:jc w:val="both"/>
        <w:rPr>
          <w:rFonts w:ascii="Arial" w:eastAsia="Times New Roman" w:hAnsi="Arial" w:cs="Arial"/>
          <w:kern w:val="0"/>
          <w:sz w:val="22"/>
          <w:szCs w:val="22"/>
          <w:lang w:eastAsia="en-GB"/>
          <w14:ligatures w14:val="none"/>
        </w:rPr>
      </w:pPr>
      <w:r w:rsidRPr="00520CD6">
        <w:rPr>
          <w:rFonts w:ascii="Arial" w:eastAsia="Times New Roman" w:hAnsi="Arial" w:cs="Arial"/>
          <w:kern w:val="0"/>
          <w:sz w:val="22"/>
          <w:szCs w:val="22"/>
          <w:lang w:eastAsia="en-GB"/>
          <w14:ligatures w14:val="none"/>
        </w:rPr>
        <w:t xml:space="preserve">NICE (2022). </w:t>
      </w:r>
      <w:r w:rsidRPr="00520CD6">
        <w:rPr>
          <w:rFonts w:ascii="Arial" w:eastAsia="Times New Roman" w:hAnsi="Arial" w:cs="Arial"/>
          <w:i/>
          <w:iCs/>
          <w:kern w:val="0"/>
          <w:sz w:val="22"/>
          <w:szCs w:val="22"/>
          <w:bdr w:val="none" w:sz="0" w:space="0" w:color="auto" w:frame="1"/>
          <w:lang w:eastAsia="en-GB"/>
          <w14:ligatures w14:val="none"/>
        </w:rPr>
        <w:t>Type 2 diabetes in adults: management (NG28)</w:t>
      </w:r>
      <w:r w:rsidRPr="00520CD6">
        <w:rPr>
          <w:rFonts w:ascii="Arial" w:eastAsia="Times New Roman" w:hAnsi="Arial" w:cs="Arial"/>
          <w:kern w:val="0"/>
          <w:sz w:val="22"/>
          <w:szCs w:val="22"/>
          <w:lang w:eastAsia="en-GB"/>
          <w14:ligatures w14:val="none"/>
        </w:rPr>
        <w:t xml:space="preserve">. London: National Institute for Health and Care Excellence. Available at: </w:t>
      </w:r>
      <w:hyperlink r:id="rId15" w:history="1">
        <w:r w:rsidRPr="00520CD6">
          <w:rPr>
            <w:rStyle w:val="Hyperlink"/>
            <w:rFonts w:ascii="Arial" w:eastAsia="Times New Roman" w:hAnsi="Arial" w:cs="Arial"/>
            <w:color w:val="auto"/>
            <w:kern w:val="0"/>
            <w:sz w:val="22"/>
            <w:szCs w:val="22"/>
            <w:lang w:eastAsia="en-GB"/>
            <w14:ligatures w14:val="none"/>
          </w:rPr>
          <w:t>https://www.nice.org.uk/guidance/ng28</w:t>
        </w:r>
      </w:hyperlink>
    </w:p>
    <w:p w14:paraId="6E483EB5" w14:textId="77777777" w:rsidR="00E31070" w:rsidRPr="00520CD6" w:rsidRDefault="00E31070" w:rsidP="003923BA">
      <w:pPr>
        <w:spacing w:after="0" w:line="360" w:lineRule="auto"/>
        <w:ind w:left="720" w:hanging="720"/>
        <w:jc w:val="both"/>
        <w:rPr>
          <w:rFonts w:ascii="Arial" w:eastAsia="Times New Roman" w:hAnsi="Arial" w:cs="Arial"/>
          <w:kern w:val="0"/>
          <w:sz w:val="22"/>
          <w:szCs w:val="22"/>
          <w:lang w:eastAsia="en-GB"/>
          <w14:ligatures w14:val="none"/>
        </w:rPr>
      </w:pPr>
      <w:r w:rsidRPr="00520CD6">
        <w:rPr>
          <w:rFonts w:ascii="Arial" w:eastAsia="Times New Roman" w:hAnsi="Arial" w:cs="Arial"/>
          <w:kern w:val="0"/>
          <w:sz w:val="22"/>
          <w:szCs w:val="22"/>
          <w:lang w:eastAsia="en-GB"/>
          <w14:ligatures w14:val="none"/>
        </w:rPr>
        <w:t>Osafo, E., 2022. Using human anatomy and physiology to explain business organisation effectiveness. International Journal of Business and Systems Research, 16(2), pp.259-276.</w:t>
      </w:r>
    </w:p>
    <w:p w14:paraId="649A9565" w14:textId="77777777" w:rsidR="00E31070" w:rsidRPr="00520CD6" w:rsidRDefault="00E31070" w:rsidP="003923BA">
      <w:pPr>
        <w:spacing w:after="0" w:line="360" w:lineRule="auto"/>
        <w:ind w:left="720" w:hanging="720"/>
        <w:jc w:val="both"/>
        <w:rPr>
          <w:rFonts w:ascii="Arial" w:eastAsia="Times New Roman" w:hAnsi="Arial" w:cs="Arial"/>
          <w:kern w:val="0"/>
          <w:sz w:val="22"/>
          <w:szCs w:val="22"/>
          <w:lang w:eastAsia="en-GB"/>
          <w14:ligatures w14:val="none"/>
        </w:rPr>
      </w:pPr>
      <w:r w:rsidRPr="00520CD6">
        <w:rPr>
          <w:rFonts w:ascii="Arial" w:eastAsia="Times New Roman" w:hAnsi="Arial" w:cs="Arial"/>
          <w:kern w:val="0"/>
          <w:sz w:val="22"/>
          <w:szCs w:val="22"/>
          <w:lang w:eastAsia="en-GB"/>
          <w14:ligatures w14:val="none"/>
        </w:rPr>
        <w:t>Sherwood, L., Kell, R.T. and Ward, C., 2004. Human physiology: from cells to systems.</w:t>
      </w:r>
    </w:p>
    <w:p w14:paraId="196241CC" w14:textId="77777777" w:rsidR="00E31070" w:rsidRPr="00520CD6" w:rsidRDefault="00E31070" w:rsidP="003923BA">
      <w:pPr>
        <w:spacing w:after="0" w:line="360" w:lineRule="auto"/>
        <w:ind w:left="720" w:hanging="720"/>
        <w:jc w:val="both"/>
        <w:rPr>
          <w:rFonts w:ascii="Arial" w:eastAsia="Times New Roman" w:hAnsi="Arial" w:cs="Arial"/>
          <w:kern w:val="0"/>
          <w:sz w:val="22"/>
          <w:szCs w:val="22"/>
          <w:lang w:eastAsia="en-GB"/>
          <w14:ligatures w14:val="none"/>
        </w:rPr>
      </w:pPr>
      <w:r w:rsidRPr="00520CD6">
        <w:rPr>
          <w:rFonts w:ascii="Arial" w:eastAsia="Times New Roman" w:hAnsi="Arial" w:cs="Arial"/>
          <w:kern w:val="0"/>
          <w:sz w:val="22"/>
          <w:szCs w:val="22"/>
          <w:lang w:eastAsia="en-GB"/>
          <w14:ligatures w14:val="none"/>
        </w:rPr>
        <w:t>Skull, A.L.I.C.E., 2022. Circulation-anatomy, physiology and pathophysiology. McGloin S, Skull A. Principles of acute care nursing. SAGE Publications, p.86.</w:t>
      </w:r>
    </w:p>
    <w:p w14:paraId="6982FD7B" w14:textId="77777777" w:rsidR="00E31070" w:rsidRPr="00520CD6" w:rsidRDefault="00E31070" w:rsidP="003923BA">
      <w:pPr>
        <w:tabs>
          <w:tab w:val="left" w:pos="7443"/>
        </w:tabs>
        <w:spacing w:after="0" w:line="360" w:lineRule="auto"/>
        <w:ind w:left="720" w:hanging="720"/>
        <w:jc w:val="both"/>
        <w:rPr>
          <w:rFonts w:ascii="Arial" w:eastAsia="Times New Roman" w:hAnsi="Arial" w:cs="Arial"/>
          <w:kern w:val="0"/>
          <w:sz w:val="22"/>
          <w:szCs w:val="22"/>
          <w:lang w:eastAsia="en-GB"/>
          <w14:ligatures w14:val="none"/>
        </w:rPr>
      </w:pPr>
      <w:r w:rsidRPr="00520CD6">
        <w:rPr>
          <w:rFonts w:ascii="Arial" w:eastAsia="Times New Roman" w:hAnsi="Arial" w:cs="Arial"/>
          <w:kern w:val="0"/>
          <w:sz w:val="22"/>
          <w:szCs w:val="22"/>
          <w:lang w:eastAsia="en-GB"/>
          <w14:ligatures w14:val="none"/>
        </w:rPr>
        <w:t xml:space="preserve">Tortora, G.J. and Derrickson, B.H., 2018. Principles of anatomy and physiology. John </w:t>
      </w:r>
      <w:proofErr w:type="spellStart"/>
      <w:r w:rsidRPr="00520CD6">
        <w:rPr>
          <w:rFonts w:ascii="Arial" w:eastAsia="Times New Roman" w:hAnsi="Arial" w:cs="Arial"/>
          <w:kern w:val="0"/>
          <w:sz w:val="22"/>
          <w:szCs w:val="22"/>
          <w:lang w:eastAsia="en-GB"/>
          <w14:ligatures w14:val="none"/>
        </w:rPr>
        <w:t>wiley</w:t>
      </w:r>
      <w:proofErr w:type="spellEnd"/>
      <w:r w:rsidRPr="00520CD6">
        <w:rPr>
          <w:rFonts w:ascii="Arial" w:eastAsia="Times New Roman" w:hAnsi="Arial" w:cs="Arial"/>
          <w:kern w:val="0"/>
          <w:sz w:val="22"/>
          <w:szCs w:val="22"/>
          <w:lang w:eastAsia="en-GB"/>
          <w14:ligatures w14:val="none"/>
        </w:rPr>
        <w:t xml:space="preserve"> &amp; sons.</w:t>
      </w:r>
    </w:p>
    <w:p w14:paraId="614357BC" w14:textId="67DF7B86" w:rsidR="00E31070" w:rsidRPr="00520CD6" w:rsidRDefault="00E31070" w:rsidP="003923BA">
      <w:pPr>
        <w:spacing w:after="0" w:line="360" w:lineRule="auto"/>
        <w:ind w:left="720" w:hanging="720"/>
        <w:jc w:val="both"/>
        <w:rPr>
          <w:rFonts w:ascii="Arial" w:eastAsia="Times New Roman" w:hAnsi="Arial" w:cs="Arial"/>
          <w:kern w:val="0"/>
          <w:sz w:val="22"/>
          <w:szCs w:val="22"/>
          <w:lang w:eastAsia="en-GB"/>
          <w14:ligatures w14:val="none"/>
        </w:rPr>
      </w:pPr>
      <w:r w:rsidRPr="00520CD6">
        <w:rPr>
          <w:rFonts w:ascii="Arial" w:eastAsia="Times New Roman" w:hAnsi="Arial" w:cs="Arial"/>
          <w:kern w:val="0"/>
          <w:sz w:val="22"/>
          <w:szCs w:val="22"/>
          <w:lang w:eastAsia="en-GB"/>
          <w14:ligatures w14:val="none"/>
        </w:rPr>
        <w:t xml:space="preserve">World Health Organisation (2022). </w:t>
      </w:r>
      <w:r w:rsidRPr="00520CD6">
        <w:rPr>
          <w:rFonts w:ascii="Arial" w:eastAsia="Times New Roman" w:hAnsi="Arial" w:cs="Arial"/>
          <w:i/>
          <w:iCs/>
          <w:kern w:val="0"/>
          <w:sz w:val="22"/>
          <w:szCs w:val="22"/>
          <w:bdr w:val="none" w:sz="0" w:space="0" w:color="auto" w:frame="1"/>
          <w:lang w:eastAsia="en-GB"/>
          <w14:ligatures w14:val="none"/>
        </w:rPr>
        <w:t>Diabetes</w:t>
      </w:r>
      <w:r w:rsidRPr="00520CD6">
        <w:rPr>
          <w:rFonts w:ascii="Arial" w:eastAsia="Times New Roman" w:hAnsi="Arial" w:cs="Arial"/>
          <w:kern w:val="0"/>
          <w:sz w:val="22"/>
          <w:szCs w:val="22"/>
          <w:lang w:eastAsia="en-GB"/>
          <w14:ligatures w14:val="none"/>
        </w:rPr>
        <w:t>. Available at: https://www.who.int/news-room/fact-sheets/detail/diabetes</w:t>
      </w:r>
    </w:p>
    <w:sectPr w:rsidR="00E31070" w:rsidRPr="00520CD6" w:rsidSect="003923BA">
      <w:head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546C99" w14:textId="77777777" w:rsidR="00676EB9" w:rsidRDefault="00676EB9" w:rsidP="00520CD6">
      <w:pPr>
        <w:spacing w:after="0" w:line="240" w:lineRule="auto"/>
      </w:pPr>
      <w:r>
        <w:separator/>
      </w:r>
    </w:p>
  </w:endnote>
  <w:endnote w:type="continuationSeparator" w:id="0">
    <w:p w14:paraId="3137F192" w14:textId="77777777" w:rsidR="00676EB9" w:rsidRDefault="00676EB9" w:rsidP="00520C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7A1231" w14:textId="77777777" w:rsidR="00676EB9" w:rsidRDefault="00676EB9" w:rsidP="00520CD6">
      <w:pPr>
        <w:spacing w:after="0" w:line="240" w:lineRule="auto"/>
      </w:pPr>
      <w:r>
        <w:separator/>
      </w:r>
    </w:p>
  </w:footnote>
  <w:footnote w:type="continuationSeparator" w:id="0">
    <w:p w14:paraId="2FCE04A9" w14:textId="77777777" w:rsidR="00676EB9" w:rsidRDefault="00676EB9" w:rsidP="00520C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sz w:val="22"/>
        <w:szCs w:val="22"/>
      </w:rPr>
      <w:id w:val="1767343347"/>
      <w:docPartObj>
        <w:docPartGallery w:val="Page Numbers (Top of Page)"/>
        <w:docPartUnique/>
      </w:docPartObj>
    </w:sdtPr>
    <w:sdtEndPr>
      <w:rPr>
        <w:noProof/>
      </w:rPr>
    </w:sdtEndPr>
    <w:sdtContent>
      <w:p w14:paraId="246957DA" w14:textId="7FC49C44" w:rsidR="00520CD6" w:rsidRPr="00520CD6" w:rsidRDefault="00520CD6">
        <w:pPr>
          <w:pStyle w:val="Header"/>
          <w:jc w:val="right"/>
          <w:rPr>
            <w:rFonts w:ascii="Arial" w:hAnsi="Arial" w:cs="Arial"/>
            <w:sz w:val="22"/>
            <w:szCs w:val="22"/>
          </w:rPr>
        </w:pPr>
        <w:r w:rsidRPr="00520CD6">
          <w:rPr>
            <w:rFonts w:ascii="Arial" w:hAnsi="Arial" w:cs="Arial"/>
            <w:sz w:val="22"/>
            <w:szCs w:val="22"/>
          </w:rPr>
          <w:fldChar w:fldCharType="begin"/>
        </w:r>
        <w:r w:rsidRPr="00520CD6">
          <w:rPr>
            <w:rFonts w:ascii="Arial" w:hAnsi="Arial" w:cs="Arial"/>
            <w:sz w:val="22"/>
            <w:szCs w:val="22"/>
          </w:rPr>
          <w:instrText xml:space="preserve"> PAGE   \* MERGEFORMAT </w:instrText>
        </w:r>
        <w:r w:rsidRPr="00520CD6">
          <w:rPr>
            <w:rFonts w:ascii="Arial" w:hAnsi="Arial" w:cs="Arial"/>
            <w:sz w:val="22"/>
            <w:szCs w:val="22"/>
          </w:rPr>
          <w:fldChar w:fldCharType="separate"/>
        </w:r>
        <w:r w:rsidRPr="00520CD6">
          <w:rPr>
            <w:rFonts w:ascii="Arial" w:hAnsi="Arial" w:cs="Arial"/>
            <w:noProof/>
            <w:sz w:val="22"/>
            <w:szCs w:val="22"/>
          </w:rPr>
          <w:t>2</w:t>
        </w:r>
        <w:r w:rsidRPr="00520CD6">
          <w:rPr>
            <w:rFonts w:ascii="Arial" w:hAnsi="Arial" w:cs="Arial"/>
            <w:noProof/>
            <w:sz w:val="22"/>
            <w:szCs w:val="22"/>
          </w:rPr>
          <w:fldChar w:fldCharType="end"/>
        </w:r>
      </w:p>
    </w:sdtContent>
  </w:sdt>
  <w:p w14:paraId="42850B68" w14:textId="77777777" w:rsidR="00520CD6" w:rsidRPr="00520CD6" w:rsidRDefault="00520CD6">
    <w:pPr>
      <w:pStyle w:val="Header"/>
      <w:rPr>
        <w:rFonts w:ascii="Arial" w:hAnsi="Arial" w:cs="Arial"/>
        <w:sz w:val="22"/>
        <w:szCs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C15219"/>
    <w:multiLevelType w:val="multilevel"/>
    <w:tmpl w:val="9A38DD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9A527F3"/>
    <w:multiLevelType w:val="multilevel"/>
    <w:tmpl w:val="88F831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68307950">
    <w:abstractNumId w:val="0"/>
  </w:num>
  <w:num w:numId="2" w16cid:durableId="13290176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1722"/>
    <w:rsid w:val="00060F22"/>
    <w:rsid w:val="003923BA"/>
    <w:rsid w:val="00520CD6"/>
    <w:rsid w:val="00676EB9"/>
    <w:rsid w:val="00854AAA"/>
    <w:rsid w:val="00B94D3D"/>
    <w:rsid w:val="00C442E3"/>
    <w:rsid w:val="00C812B4"/>
    <w:rsid w:val="00CC1722"/>
    <w:rsid w:val="00D44802"/>
    <w:rsid w:val="00E310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951386"/>
  <w15:chartTrackingRefBased/>
  <w15:docId w15:val="{585EC41C-16DD-4546-A30E-0803869B89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172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C172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C172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C172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C172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C17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17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17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17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172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C172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C172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C172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C172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C17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17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17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1722"/>
    <w:rPr>
      <w:rFonts w:eastAsiaTheme="majorEastAsia" w:cstheme="majorBidi"/>
      <w:color w:val="272727" w:themeColor="text1" w:themeTint="D8"/>
    </w:rPr>
  </w:style>
  <w:style w:type="paragraph" w:styleId="Title">
    <w:name w:val="Title"/>
    <w:basedOn w:val="Normal"/>
    <w:next w:val="Normal"/>
    <w:link w:val="TitleChar"/>
    <w:uiPriority w:val="10"/>
    <w:qFormat/>
    <w:rsid w:val="00CC17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17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17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17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1722"/>
    <w:pPr>
      <w:spacing w:before="160"/>
      <w:jc w:val="center"/>
    </w:pPr>
    <w:rPr>
      <w:i/>
      <w:iCs/>
      <w:color w:val="404040" w:themeColor="text1" w:themeTint="BF"/>
    </w:rPr>
  </w:style>
  <w:style w:type="character" w:customStyle="1" w:styleId="QuoteChar">
    <w:name w:val="Quote Char"/>
    <w:basedOn w:val="DefaultParagraphFont"/>
    <w:link w:val="Quote"/>
    <w:uiPriority w:val="29"/>
    <w:rsid w:val="00CC1722"/>
    <w:rPr>
      <w:i/>
      <w:iCs/>
      <w:color w:val="404040" w:themeColor="text1" w:themeTint="BF"/>
    </w:rPr>
  </w:style>
  <w:style w:type="paragraph" w:styleId="ListParagraph">
    <w:name w:val="List Paragraph"/>
    <w:basedOn w:val="Normal"/>
    <w:uiPriority w:val="34"/>
    <w:qFormat/>
    <w:rsid w:val="00CC1722"/>
    <w:pPr>
      <w:ind w:left="720"/>
      <w:contextualSpacing/>
    </w:pPr>
  </w:style>
  <w:style w:type="character" w:styleId="IntenseEmphasis">
    <w:name w:val="Intense Emphasis"/>
    <w:basedOn w:val="DefaultParagraphFont"/>
    <w:uiPriority w:val="21"/>
    <w:qFormat/>
    <w:rsid w:val="00CC1722"/>
    <w:rPr>
      <w:i/>
      <w:iCs/>
      <w:color w:val="2F5496" w:themeColor="accent1" w:themeShade="BF"/>
    </w:rPr>
  </w:style>
  <w:style w:type="paragraph" w:styleId="IntenseQuote">
    <w:name w:val="Intense Quote"/>
    <w:basedOn w:val="Normal"/>
    <w:next w:val="Normal"/>
    <w:link w:val="IntenseQuoteChar"/>
    <w:uiPriority w:val="30"/>
    <w:qFormat/>
    <w:rsid w:val="00CC172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C1722"/>
    <w:rPr>
      <w:i/>
      <w:iCs/>
      <w:color w:val="2F5496" w:themeColor="accent1" w:themeShade="BF"/>
    </w:rPr>
  </w:style>
  <w:style w:type="character" w:styleId="IntenseReference">
    <w:name w:val="Intense Reference"/>
    <w:basedOn w:val="DefaultParagraphFont"/>
    <w:uiPriority w:val="32"/>
    <w:qFormat/>
    <w:rsid w:val="00CC1722"/>
    <w:rPr>
      <w:b/>
      <w:bCs/>
      <w:smallCaps/>
      <w:color w:val="2F5496" w:themeColor="accent1" w:themeShade="BF"/>
      <w:spacing w:val="5"/>
    </w:rPr>
  </w:style>
  <w:style w:type="paragraph" w:styleId="TOCHeading">
    <w:name w:val="TOC Heading"/>
    <w:basedOn w:val="Heading1"/>
    <w:next w:val="Normal"/>
    <w:uiPriority w:val="39"/>
    <w:unhideWhenUsed/>
    <w:qFormat/>
    <w:rsid w:val="00CC1722"/>
    <w:pPr>
      <w:spacing w:before="240" w:after="0" w:line="259" w:lineRule="auto"/>
      <w:outlineLvl w:val="9"/>
    </w:pPr>
    <w:rPr>
      <w:kern w:val="0"/>
      <w:sz w:val="32"/>
      <w:szCs w:val="32"/>
      <w:lang w:val="en-US"/>
      <w14:ligatures w14:val="none"/>
    </w:rPr>
  </w:style>
  <w:style w:type="paragraph" w:styleId="TOC3">
    <w:name w:val="toc 3"/>
    <w:basedOn w:val="Normal"/>
    <w:next w:val="Normal"/>
    <w:autoRedefine/>
    <w:uiPriority w:val="39"/>
    <w:unhideWhenUsed/>
    <w:rsid w:val="00CC1722"/>
    <w:pPr>
      <w:spacing w:after="100"/>
      <w:ind w:left="480"/>
    </w:pPr>
  </w:style>
  <w:style w:type="character" w:styleId="Hyperlink">
    <w:name w:val="Hyperlink"/>
    <w:basedOn w:val="DefaultParagraphFont"/>
    <w:uiPriority w:val="99"/>
    <w:unhideWhenUsed/>
    <w:rsid w:val="00CC1722"/>
    <w:rPr>
      <w:color w:val="0563C1" w:themeColor="hyperlink"/>
      <w:u w:val="single"/>
    </w:rPr>
  </w:style>
  <w:style w:type="character" w:styleId="UnresolvedMention">
    <w:name w:val="Unresolved Mention"/>
    <w:basedOn w:val="DefaultParagraphFont"/>
    <w:uiPriority w:val="99"/>
    <w:semiHidden/>
    <w:unhideWhenUsed/>
    <w:rsid w:val="00B94D3D"/>
    <w:rPr>
      <w:color w:val="605E5C"/>
      <w:shd w:val="clear" w:color="auto" w:fill="E1DFDD"/>
    </w:rPr>
  </w:style>
  <w:style w:type="paragraph" w:styleId="Caption">
    <w:name w:val="caption"/>
    <w:basedOn w:val="Normal"/>
    <w:next w:val="Normal"/>
    <w:uiPriority w:val="35"/>
    <w:unhideWhenUsed/>
    <w:qFormat/>
    <w:rsid w:val="00C442E3"/>
    <w:pPr>
      <w:spacing w:after="200" w:line="240" w:lineRule="auto"/>
    </w:pPr>
    <w:rPr>
      <w:i/>
      <w:iCs/>
      <w:color w:val="44546A" w:themeColor="text2"/>
      <w:sz w:val="18"/>
      <w:szCs w:val="18"/>
    </w:rPr>
  </w:style>
  <w:style w:type="paragraph" w:styleId="Header">
    <w:name w:val="header"/>
    <w:basedOn w:val="Normal"/>
    <w:link w:val="HeaderChar"/>
    <w:uiPriority w:val="99"/>
    <w:unhideWhenUsed/>
    <w:rsid w:val="00520C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0CD6"/>
  </w:style>
  <w:style w:type="paragraph" w:styleId="Footer">
    <w:name w:val="footer"/>
    <w:basedOn w:val="Normal"/>
    <w:link w:val="FooterChar"/>
    <w:uiPriority w:val="99"/>
    <w:unhideWhenUsed/>
    <w:rsid w:val="00520C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0C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nice.org.uk/guidance/ng28"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diabetes.org.uk/about-diabetes/type-2-diabetes/diabetes-risk-facto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b5f89f9a57f044e4ebeb0c91b56f34f7">
  <xsd:schema xmlns:xsd="http://www.w3.org/2001/XMLSchema" xmlns:xs="http://www.w3.org/2001/XMLSchema" xmlns:p="http://schemas.microsoft.com/office/2006/metadata/properties" xmlns:ns3="0085e1a2-9cbf-4b92-866b-21f3c89040b6" targetNamespace="http://schemas.microsoft.com/office/2006/metadata/properties" ma:root="true" ma:fieldsID="7d14280c160df2f48189e5a417a3cab5"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6820E0B1-3073-46E9-8D77-A6BFD8DD0565}">
  <ds:schemaRefs>
    <ds:schemaRef ds:uri="http://schemas.openxmlformats.org/officeDocument/2006/bibliography"/>
  </ds:schemaRefs>
</ds:datastoreItem>
</file>

<file path=customXml/itemProps2.xml><?xml version="1.0" encoding="utf-8"?>
<ds:datastoreItem xmlns:ds="http://schemas.openxmlformats.org/officeDocument/2006/customXml" ds:itemID="{6947C77A-48D3-4A61-8B04-D80780085F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1CDC4E4-17AE-49F7-BCAB-31056AB265B0}">
  <ds:schemaRefs>
    <ds:schemaRef ds:uri="http://schemas.microsoft.com/sharepoint/v3/contenttype/forms"/>
  </ds:schemaRefs>
</ds:datastoreItem>
</file>

<file path=customXml/itemProps4.xml><?xml version="1.0" encoding="utf-8"?>
<ds:datastoreItem xmlns:ds="http://schemas.openxmlformats.org/officeDocument/2006/customXml" ds:itemID="{DCAD8B0A-46F6-419D-9A64-8E59038DE703}">
  <ds:schemaRefs>
    <ds:schemaRef ds:uri="http://purl.org/dc/dcmitype/"/>
    <ds:schemaRef ds:uri="http://schemas.microsoft.com/office/2006/documentManagement/types"/>
    <ds:schemaRef ds:uri="http://purl.org/dc/elements/1.1/"/>
    <ds:schemaRef ds:uri="http://purl.org/dc/terms/"/>
    <ds:schemaRef ds:uri="http://schemas.microsoft.com/office/2006/metadata/properties"/>
    <ds:schemaRef ds:uri="http://schemas.microsoft.com/office/infopath/2007/PartnerControls"/>
    <ds:schemaRef ds:uri="0085e1a2-9cbf-4b92-866b-21f3c89040b6"/>
    <ds:schemaRef ds:uri="http://www.w3.org/XML/1998/namespace"/>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12</Pages>
  <Words>2923</Words>
  <Characters>16665</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Muskan Makhija</dc:creator>
  <cp:keywords/>
  <dc:description/>
  <cp:lastModifiedBy>Salma Karim (2407408)</cp:lastModifiedBy>
  <cp:revision>2</cp:revision>
  <dcterms:created xsi:type="dcterms:W3CDTF">2026-02-20T10:01:00Z</dcterms:created>
  <dcterms:modified xsi:type="dcterms:W3CDTF">2026-02-20T10:01:00Z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