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Default="00B21F2E" w:rsidP="00A551C6">
      <w:pPr>
        <w:jc w:val="center"/>
        <w:rPr>
          <w:rFonts w:ascii="Tahoma" w:hAnsi="Tahoma" w:cs="Tahoma"/>
          <w:b/>
          <w:u w:val="single"/>
        </w:rPr>
      </w:pPr>
    </w:p>
    <w:p w:rsidR="001B69C8" w:rsidRDefault="001B69C8" w:rsidP="00B945EA">
      <w:pPr>
        <w:jc w:val="both"/>
        <w:rPr>
          <w:rFonts w:ascii="Tahoma" w:hAnsi="Tahoma" w:cs="Tahoma"/>
          <w:b/>
          <w:u w:val="single"/>
        </w:rPr>
      </w:pPr>
    </w:p>
    <w:p w:rsidR="001B69C8" w:rsidRDefault="001B69C8" w:rsidP="00B945EA">
      <w:pPr>
        <w:jc w:val="both"/>
        <w:rPr>
          <w:rFonts w:ascii="Tahoma" w:hAnsi="Tahoma" w:cs="Tahoma"/>
          <w:b/>
          <w:u w:val="single"/>
        </w:rPr>
      </w:pPr>
    </w:p>
    <w:p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rsidR="00C50AE7" w:rsidRPr="003C3341" w:rsidRDefault="00C50AE7" w:rsidP="00B945EA">
      <w:pPr>
        <w:jc w:val="both"/>
        <w:rPr>
          <w:rFonts w:ascii="Tahoma" w:hAnsi="Tahoma" w:cs="Tahoma"/>
          <w:b/>
          <w:u w:val="single"/>
        </w:rPr>
      </w:pPr>
    </w:p>
    <w:p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rsidR="00B945EA" w:rsidRDefault="00B945EA" w:rsidP="00B945EA">
      <w:pPr>
        <w:jc w:val="both"/>
        <w:rPr>
          <w:rFonts w:ascii="Tahoma" w:hAnsi="Tahoma" w:cs="Tahoma"/>
        </w:rPr>
      </w:pPr>
    </w:p>
    <w:p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proofErr w:type="gramStart"/>
      <w:r w:rsidR="001B69C8" w:rsidRPr="00197F4A">
        <w:rPr>
          <w:rFonts w:ascii="Tahoma" w:hAnsi="Tahoma" w:cs="Tahoma"/>
          <w:b/>
          <w:bCs/>
        </w:rPr>
        <w:t>brief</w:t>
      </w:r>
      <w:proofErr w:type="gramEnd"/>
      <w:r w:rsidR="001B69C8" w:rsidRPr="00197F4A">
        <w:rPr>
          <w:rFonts w:ascii="Tahoma" w:hAnsi="Tahoma" w:cs="Tahoma"/>
          <w:b/>
          <w:bCs/>
        </w:rPr>
        <w:t xml:space="preserve">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rsidR="00301AD0" w:rsidRPr="003C3341" w:rsidRDefault="00301AD0">
      <w:pPr>
        <w:rPr>
          <w:rFonts w:ascii="Tahoma" w:hAnsi="Tahoma" w:cs="Tahoma"/>
          <w:sz w:val="20"/>
          <w:szCs w:val="20"/>
        </w:rPr>
      </w:pPr>
    </w:p>
    <w:tbl>
      <w:tblPr>
        <w:tblStyle w:val="TableGrid"/>
        <w:tblW w:w="0" w:type="auto"/>
        <w:tblLook w:val="01E0"/>
      </w:tblPr>
      <w:tblGrid>
        <w:gridCol w:w="4528"/>
        <w:gridCol w:w="6654"/>
      </w:tblGrid>
      <w:tr w:rsidR="00B21F2E" w:rsidRPr="003C3341" w:rsidTr="004D6EF3">
        <w:tc>
          <w:tcPr>
            <w:tcW w:w="4528" w:type="dxa"/>
            <w:shd w:val="clear" w:color="auto" w:fill="8DB3E2" w:themeFill="text2" w:themeFillTint="66"/>
          </w:tcPr>
          <w:p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4D6EF3">
              <w:rPr>
                <w:rFonts w:ascii="Tahoma" w:hAnsi="Tahoma" w:cs="Tahoma"/>
                <w:b/>
                <w:sz w:val="20"/>
                <w:szCs w:val="20"/>
              </w:rPr>
              <w:t>Dumitru</w:t>
            </w:r>
            <w:proofErr w:type="spellEnd"/>
            <w:r w:rsidR="004D6EF3">
              <w:rPr>
                <w:rFonts w:ascii="Tahoma" w:hAnsi="Tahoma" w:cs="Tahoma"/>
                <w:b/>
                <w:sz w:val="20"/>
                <w:szCs w:val="20"/>
              </w:rPr>
              <w:t xml:space="preserve"> </w:t>
            </w:r>
            <w:proofErr w:type="spellStart"/>
            <w:r w:rsidR="004D6EF3">
              <w:rPr>
                <w:rFonts w:ascii="Tahoma" w:hAnsi="Tahoma" w:cs="Tahoma"/>
                <w:b/>
                <w:sz w:val="20"/>
                <w:szCs w:val="20"/>
              </w:rPr>
              <w:t>Catalin</w:t>
            </w:r>
            <w:proofErr w:type="spellEnd"/>
            <w:r w:rsidR="004D6EF3">
              <w:rPr>
                <w:rFonts w:ascii="Tahoma" w:hAnsi="Tahoma" w:cs="Tahoma"/>
                <w:b/>
                <w:sz w:val="20"/>
                <w:szCs w:val="20"/>
              </w:rPr>
              <w:t xml:space="preserve"> </w:t>
            </w:r>
            <w:proofErr w:type="spellStart"/>
            <w:r w:rsidR="004D6EF3">
              <w:rPr>
                <w:rFonts w:ascii="Tahoma" w:hAnsi="Tahoma" w:cs="Tahoma"/>
                <w:b/>
                <w:sz w:val="20"/>
                <w:szCs w:val="20"/>
              </w:rPr>
              <w:t>Bracau</w:t>
            </w:r>
            <w:proofErr w:type="spellEnd"/>
          </w:p>
          <w:p w:rsidR="001B69C8" w:rsidRPr="003C3341" w:rsidRDefault="001B69C8">
            <w:pPr>
              <w:rPr>
                <w:rFonts w:ascii="Tahoma" w:hAnsi="Tahoma" w:cs="Tahoma"/>
                <w:b/>
                <w:sz w:val="20"/>
                <w:szCs w:val="20"/>
              </w:rPr>
            </w:pPr>
          </w:p>
          <w:p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4D6EF3">
              <w:rPr>
                <w:rFonts w:ascii="Tahoma" w:hAnsi="Tahoma" w:cs="Tahoma"/>
                <w:b/>
                <w:sz w:val="20"/>
                <w:szCs w:val="20"/>
              </w:rPr>
              <w:t>1712447</w:t>
            </w:r>
          </w:p>
          <w:p w:rsidR="00B21F2E" w:rsidRPr="003C3341" w:rsidRDefault="00B21F2E">
            <w:pPr>
              <w:rPr>
                <w:rFonts w:ascii="Tahoma" w:hAnsi="Tahoma" w:cs="Tahoma"/>
                <w:b/>
                <w:sz w:val="20"/>
                <w:szCs w:val="20"/>
              </w:rPr>
            </w:pPr>
          </w:p>
        </w:tc>
        <w:tc>
          <w:tcPr>
            <w:tcW w:w="6654" w:type="dxa"/>
            <w:shd w:val="clear" w:color="auto" w:fill="8DB3E2" w:themeFill="text2" w:themeFillTint="66"/>
          </w:tcPr>
          <w:p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D6EF3" w:rsidRPr="004D6EF3">
              <w:rPr>
                <w:rFonts w:ascii="Tahoma" w:hAnsi="Tahoma" w:cs="Tahoma"/>
                <w:b/>
                <w:sz w:val="20"/>
                <w:szCs w:val="20"/>
              </w:rPr>
              <w:t>Hotel Placement - Food &amp; Beverage Operations (BMIH4002)</w:t>
            </w:r>
          </w:p>
          <w:p w:rsidR="00B21F2E" w:rsidRDefault="00B21F2E" w:rsidP="00B21F2E">
            <w:pPr>
              <w:rPr>
                <w:rFonts w:ascii="Tahoma" w:hAnsi="Tahoma" w:cs="Tahoma"/>
                <w:b/>
                <w:sz w:val="20"/>
                <w:szCs w:val="20"/>
              </w:rPr>
            </w:pPr>
          </w:p>
          <w:p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D6EF3">
              <w:rPr>
                <w:rFonts w:ascii="Tahoma" w:hAnsi="Tahoma" w:cs="Tahoma"/>
                <w:b/>
                <w:sz w:val="20"/>
                <w:szCs w:val="20"/>
              </w:rPr>
              <w:t>Lola Villard</w:t>
            </w:r>
          </w:p>
        </w:tc>
      </w:tr>
    </w:tbl>
    <w:p w:rsidR="0062012D" w:rsidRPr="003C3341" w:rsidRDefault="0062012D">
      <w:pPr>
        <w:rPr>
          <w:rFonts w:ascii="Tahoma" w:hAnsi="Tahoma" w:cs="Tahoma"/>
          <w:sz w:val="20"/>
          <w:szCs w:val="20"/>
        </w:rPr>
      </w:pPr>
    </w:p>
    <w:tbl>
      <w:tblPr>
        <w:tblStyle w:val="TableGrid"/>
        <w:tblpPr w:leftFromText="180" w:rightFromText="180" w:vertAnchor="text" w:tblpY="1"/>
        <w:tblOverlap w:val="never"/>
        <w:tblW w:w="0" w:type="auto"/>
        <w:tblLook w:val="01E0"/>
      </w:tblPr>
      <w:tblGrid>
        <w:gridCol w:w="3983"/>
        <w:gridCol w:w="7199"/>
      </w:tblGrid>
      <w:tr w:rsidR="00B21F2E" w:rsidRPr="003C3341" w:rsidTr="001A4DFE">
        <w:tc>
          <w:tcPr>
            <w:tcW w:w="3983" w:type="dxa"/>
            <w:shd w:val="clear" w:color="auto" w:fill="FBD4B4" w:themeFill="accent6" w:themeFillTint="66"/>
          </w:tcPr>
          <w:p w:rsidR="00B21F2E" w:rsidRPr="00946B23" w:rsidRDefault="008F0D83" w:rsidP="001A4DF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rsidR="00B21F2E" w:rsidRDefault="00B21F2E" w:rsidP="001A4DFE">
            <w:pPr>
              <w:rPr>
                <w:rFonts w:ascii="Tahoma" w:hAnsi="Tahoma" w:cs="Tahoma"/>
                <w:b/>
                <w:sz w:val="20"/>
                <w:szCs w:val="20"/>
              </w:rPr>
            </w:pPr>
          </w:p>
          <w:p w:rsidR="00B21F2E" w:rsidRDefault="004D6EF3" w:rsidP="001A4DFE">
            <w:pPr>
              <w:jc w:val="center"/>
              <w:rPr>
                <w:rFonts w:ascii="Tahoma" w:hAnsi="Tahoma" w:cs="Tahoma"/>
                <w:b/>
                <w:sz w:val="20"/>
                <w:szCs w:val="20"/>
              </w:rPr>
            </w:pPr>
            <w:r>
              <w:rPr>
                <w:rFonts w:ascii="Tahoma" w:hAnsi="Tahoma" w:cs="Tahoma"/>
                <w:b/>
                <w:sz w:val="20"/>
                <w:szCs w:val="20"/>
              </w:rPr>
              <w:t>Allergies and Intolerances and the importance within the industry</w:t>
            </w:r>
          </w:p>
          <w:p w:rsidR="00B21F2E" w:rsidRPr="003C3341" w:rsidRDefault="00B21F2E" w:rsidP="001A4DFE">
            <w:pPr>
              <w:jc w:val="center"/>
              <w:rPr>
                <w:rFonts w:ascii="Tahoma" w:hAnsi="Tahoma" w:cs="Tahoma"/>
                <w:b/>
                <w:sz w:val="20"/>
                <w:szCs w:val="20"/>
              </w:rPr>
            </w:pPr>
          </w:p>
        </w:tc>
      </w:tr>
      <w:tr w:rsidR="00B945EA" w:rsidRPr="003C3341" w:rsidTr="001A4DFE">
        <w:trPr>
          <w:trHeight w:val="2494"/>
        </w:trPr>
        <w:tc>
          <w:tcPr>
            <w:tcW w:w="11182" w:type="dxa"/>
            <w:gridSpan w:val="2"/>
          </w:tcPr>
          <w:p w:rsidR="00B945EA" w:rsidRDefault="00B945EA" w:rsidP="001A4DFE">
            <w:pPr>
              <w:rPr>
                <w:rFonts w:ascii="Tahoma" w:hAnsi="Tahoma" w:cs="Tahoma"/>
                <w:sz w:val="20"/>
                <w:szCs w:val="20"/>
              </w:rPr>
            </w:pPr>
          </w:p>
          <w:p w:rsidR="00F51904" w:rsidRDefault="00F51904" w:rsidP="001A4DFE">
            <w:pPr>
              <w:spacing w:line="360" w:lineRule="auto"/>
              <w:jc w:val="both"/>
              <w:rPr>
                <w:rFonts w:ascii="Arial" w:hAnsi="Arial" w:cs="Arial"/>
              </w:rPr>
            </w:pP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 xml:space="preserve">It is estimated that approximately four percent of the total US population suffers from food allergies </w:t>
            </w:r>
            <w:r w:rsidRPr="00E2462E">
              <w:rPr>
                <w:color w:val="000000" w:themeColor="text1"/>
                <w:lang w:val="en-US"/>
              </w:rPr>
              <w:fldChar w:fldCharType="begin"/>
            </w:r>
            <w:r w:rsidRPr="00E2462E">
              <w:rPr>
                <w:color w:val="000000" w:themeColor="text1"/>
                <w:lang w:val="en-US"/>
              </w:rPr>
              <w:instrText xml:space="preserve"> ADDIN ZOTERO_ITEM CSL_CITATION {"citationID":"SJrGMmcA","properties":{"formattedCitation":"(Bryan Endres et al., 2021)","plainCitation":"(Bryan Endres et al., 2021)","noteIndex":0},"citationItems":[{"id":9106,"uris":["http://zotero.org/users/local/qnvKw9vm/items/CALXQQZL"],"itemData":{"id":9106,"type":"article-journal","container-title":"Tourism and Hospitality Research","issue":"2","note":"ISBN: 1467-3584\npublisher: SAGE Publications Sage UK: London, England","page":"202-215","title":"Restaurant disclosure of food allergens: Analysis and economic implications","volume":"21","author":[{"family":"Bryan Endres","given":"A."},{"family":"Endres","given":"Renata"},{"family":"Nižić","given":"Marinela Krstinić"}],"issued":{"date-parts":[["2021"]]}}}],"schema":"https://github.com/citation-style-language/schema/raw/master/csl-citation.json"}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 xml:space="preserve">(Bryan </w:t>
            </w:r>
            <w:proofErr w:type="spellStart"/>
            <w:r w:rsidRPr="00E2462E">
              <w:rPr>
                <w:color w:val="000000" w:themeColor="text1"/>
                <w:lang w:val="en-US"/>
              </w:rPr>
              <w:t>Endres</w:t>
            </w:r>
            <w:proofErr w:type="spellEnd"/>
            <w:r w:rsidRPr="00E2462E">
              <w:rPr>
                <w:color w:val="000000" w:themeColor="text1"/>
                <w:lang w:val="en-US"/>
              </w:rPr>
              <w:t xml:space="preserve"> et al., 2021)</w:t>
            </w:r>
            <w:r w:rsidRPr="00E2462E">
              <w:rPr>
                <w:color w:val="000000" w:themeColor="text1"/>
                <w:lang w:val="en-US"/>
              </w:rPr>
              <w:fldChar w:fldCharType="end"/>
            </w:r>
            <w:r w:rsidRPr="00E2462E">
              <w:rPr>
                <w:color w:val="000000" w:themeColor="text1"/>
                <w:lang w:val="en-US"/>
              </w:rPr>
              <w:t xml:space="preserve">. Each classroom in a school has approximately two students with a food allergy on average, which is about one out of every thirteen students. The topic is important as it is observed that there are approximately 150-200 deaths attributed to food allergies each year, such as allergies due to peanuts can cause rigger anaphylaxis </w:t>
            </w:r>
            <w:r w:rsidRPr="00E2462E">
              <w:rPr>
                <w:color w:val="000000" w:themeColor="text1"/>
                <w:lang w:val="en-US"/>
              </w:rPr>
              <w:fldChar w:fldCharType="begin"/>
            </w:r>
            <w:r w:rsidRPr="00E2462E">
              <w:rPr>
                <w:color w:val="000000" w:themeColor="text1"/>
                <w:lang w:val="en-US"/>
              </w:rPr>
              <w:instrText xml:space="preserve"> ADDIN ZOTERO_ITEM CSL_CITATION {"citationID":"BqO6hlSj","properties":{"formattedCitation":"(Aleksi\\uc0\\u263{} et al., 2020)","plainCitation":"(Aleksić et al., 2020)","noteIndex":0},"citationItems":[{"id":9113,"uris":["http://zotero.org/users/local/qnvKw9vm/items/9PUHNAA6"],"itemData":{"id":9113,"type":"article-journal","container-title":"Scientific journal\" Meat Technology\"","issue":"1","note":"ISBN: 2466-4812","page":"75-81","title":"Control of nutritive allergens in a hospitality kitchen","volume":"61","author":[{"family":"Aleksić","given":"Milica"},{"family":"Popov-Raljić","given":"Jovanka"},{"family":"Đorđević","given":"Vesna"},{"family":"Rašeta","given":"Mladen"},{"family":"Lukić","given":"Mirjana"},{"family":"Spirić","given":"Danka"},{"family":"Janković","given":"Vesna"}],"issued":{"date-parts":[["2020"]]}}}],"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w:t>
            </w:r>
            <w:proofErr w:type="spellStart"/>
            <w:r w:rsidRPr="00E2462E">
              <w:rPr>
                <w:color w:val="000000" w:themeColor="text1"/>
                <w:lang w:val="en-US"/>
              </w:rPr>
              <w:t>Aleksić</w:t>
            </w:r>
            <w:proofErr w:type="spellEnd"/>
            <w:r w:rsidRPr="00E2462E">
              <w:rPr>
                <w:color w:val="000000" w:themeColor="text1"/>
                <w:lang w:val="en-US"/>
              </w:rPr>
              <w:t xml:space="preserve"> et al., 2020)</w:t>
            </w:r>
            <w:r w:rsidRPr="00E2462E">
              <w:rPr>
                <w:color w:val="000000" w:themeColor="text1"/>
                <w:lang w:val="en-US"/>
              </w:rPr>
              <w:fldChar w:fldCharType="end"/>
            </w:r>
            <w:r>
              <w:rPr>
                <w:color w:val="000000" w:themeColor="text1"/>
                <w:lang w:val="en-US"/>
              </w:rPr>
              <w:t>.</w:t>
            </w:r>
            <w:r w:rsidRPr="00E2462E">
              <w:rPr>
                <w:color w:val="000000" w:themeColor="text1"/>
                <w:lang w:val="en-US"/>
              </w:rPr>
              <w:t xml:space="preserve"> The course helps in teaching that people suffering from food allergies should take extreme care concerning the food they consume. </w:t>
            </w: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 xml:space="preserve">The course has delivered knowledge about the food allergies that manifest when exposure to certain foods triggers the immune system. Generally, allergens are responsible for causing such reactions as foods containing allergens normally do not affect most people negatively. Frequently and consecutively using an allergic food item can cause serious reactions shortly after consuming a small amount of an allergen </w:t>
            </w:r>
            <w:r w:rsidRPr="00E2462E">
              <w:rPr>
                <w:color w:val="000000" w:themeColor="text1"/>
                <w:lang w:val="en-US"/>
              </w:rPr>
              <w:fldChar w:fldCharType="begin"/>
            </w:r>
            <w:r w:rsidRPr="00E2462E">
              <w:rPr>
                <w:color w:val="000000" w:themeColor="text1"/>
                <w:lang w:val="en-US"/>
              </w:rPr>
              <w:instrText xml:space="preserve"> ADDIN ZOTERO_ITEM CSL_CITATION {"citationID":"k7FE8BWj","properties":{"formattedCitation":"(Bryan Endres et al., 2021)","plainCitation":"(Bryan Endres et al., 2021)","noteIndex":0},"citationItems":[{"id":9106,"uris":["http://zotero.org/users/local/qnvKw9vm/items/CALXQQZL"],"itemData":{"id":9106,"type":"article-journal","container-title":"Tourism and Hospitality Research","issue":"2","note":"ISBN: 1467-3584\npublisher: SAGE Publications Sage UK: London, England","page":"202-215","title":"Restaurant disclosure of food allergens: Analysis and economic implications","volume":"21","author":[{"family":"Bryan Endres","given":"A."},{"family":"Endres","given":"Renata"},{"family":"Nižić","given":"Marinela Krstinić"}],"issued":{"date-parts":[["2021"]]}}}],"schema":"https://github.com/citation-style-language/schema/raw/master/csl-citation.json"}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 xml:space="preserve">(Bryan </w:t>
            </w:r>
            <w:proofErr w:type="spellStart"/>
            <w:r w:rsidRPr="00E2462E">
              <w:rPr>
                <w:color w:val="000000" w:themeColor="text1"/>
                <w:lang w:val="en-US"/>
              </w:rPr>
              <w:t>Endres</w:t>
            </w:r>
            <w:proofErr w:type="spellEnd"/>
            <w:r w:rsidRPr="00E2462E">
              <w:rPr>
                <w:color w:val="000000" w:themeColor="text1"/>
                <w:lang w:val="en-US"/>
              </w:rPr>
              <w:t xml:space="preserve"> et al., 2021)</w:t>
            </w:r>
            <w:r w:rsidRPr="00E2462E">
              <w:rPr>
                <w:color w:val="000000" w:themeColor="text1"/>
                <w:lang w:val="en-US"/>
              </w:rPr>
              <w:fldChar w:fldCharType="end"/>
            </w:r>
            <w:r w:rsidRPr="00E2462E">
              <w:rPr>
                <w:color w:val="000000" w:themeColor="text1"/>
                <w:lang w:val="en-US"/>
              </w:rPr>
              <w:t xml:space="preserve">. As a matter of public health, food allergies have become increasingly common. I have learned that managing food allergies is a joint responsibility between the government, food manufacturers, and consumers </w:t>
            </w:r>
            <w:r w:rsidRPr="00E2462E">
              <w:rPr>
                <w:color w:val="000000" w:themeColor="text1"/>
                <w:lang w:val="en-US"/>
              </w:rPr>
              <w:fldChar w:fldCharType="begin"/>
            </w:r>
            <w:r w:rsidRPr="00E2462E">
              <w:rPr>
                <w:color w:val="000000" w:themeColor="text1"/>
                <w:lang w:val="en-US"/>
              </w:rPr>
              <w:instrText xml:space="preserve"> ADDIN ZOTERO_ITEM CSL_CITATION {"citationID":"yMuNI2Bj","properties":{"formattedCitation":"(Fu et al., 2017)","plainCitation":"(Fu et al., 2017)","noteIndex":0},"citationItems":[{"id":11413,"uris":["http://zotero.org/users/local/qnvKw9vm/items/AWZW68U9"],"itemData":{"id":11413,"type":"book","abstract":"This volume identifies gaps in the assessment, management, and communication of food allergen risks. Chapters showcase best practices in managing allergen risks at various stages of the food chain, including during food manufacture/processing; during food preparation in food service, retail food establishments, and in the home; and at the point of consumption. The authors highlight key legislative initiatives that are in various stages of development and implementation at the federal, state and community levels. Finally, the volume includes recommendations for ways to build and strengthen education and outreach efforts at the food industry, government, institutional, and community levels.Chapters come from an array of experts, including researchers and key stakeholders from government, the food industry, retail/food service groups, and consumer groups. The information presented will facilitate the development of educational materials and allergen management training programs for food production and service staff, extension specialists, and government inspectors. Consumers and other food safety professionals will also benefit from information on food allergen control measures that have been put in place across the food chain.","ISBN":"978-3-319-66586-3","language":"en","note":"Google-Books-ID: b0I_DwAAQBAJ","number-of-pages":"260","publisher":"Springer","source":"Google Books","title":"Food Allergens: Best Practices for Assessing, Managing and Communicating the Risks","title-short":"Food Allergens","author":[{"family":"Fu","given":"Tong-Jen"},{"family":"Jackson","given":"Lauren S."},{"family":"Krishnamurthy","given":"Kathiravan"},{"family":"Bedale","given":"Wendy"}],"issued":{"date-parts":[["2017",11,16]]}}}],"schema":"https://github.com/citation-style-language/schema/raw/master/csl-citation.json"}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(Fu et al., 2017)</w:t>
            </w:r>
            <w:r w:rsidRPr="00E2462E">
              <w:rPr>
                <w:color w:val="000000" w:themeColor="text1"/>
                <w:lang w:val="en-US"/>
              </w:rPr>
              <w:fldChar w:fldCharType="end"/>
            </w:r>
            <w:r w:rsidRPr="00E2462E">
              <w:rPr>
                <w:color w:val="000000" w:themeColor="text1"/>
                <w:lang w:val="en-US"/>
              </w:rPr>
              <w:t xml:space="preserve">. </w:t>
            </w: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I have learned about different types of allergies, allergens that can be found in food items worldwide. According to EU regulations, fourteen food allergens must be listed on package labels when they are present in packaged foods. Additionally, there are other cereals that contain other ingredients, including crustaceans, mollusks, eggs, fish, peanut butter, nuts, soybeans, milk, celery, mustard, sesame seeds, lupine, and sulfite. As we students have to work with cooks, in hotels and multinational companies that deal with food preparation so this type of knowledge is very essential. Food manufacturers are required in the United Kingdom to provide a list of</w:t>
            </w:r>
            <w:r>
              <w:rPr>
                <w:color w:val="000000" w:themeColor="text1"/>
                <w:lang w:val="en-US"/>
              </w:rPr>
              <w:t xml:space="preserve"> the ten most common allergens because </w:t>
            </w:r>
            <w:r w:rsidRPr="00E2462E">
              <w:rPr>
                <w:color w:val="000000" w:themeColor="text1"/>
                <w:lang w:val="en-US"/>
              </w:rPr>
              <w:t>90 percent of all food allergy reactions are caused by ingredients found in these foods.</w:t>
            </w: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 xml:space="preserve">I have also learned that a person's immunity varies from while reacting to ingredients. In addition, some individuals are highly susceptible to certain foods so students are taught that they must avoid to use such ingredients that may cause allergies </w:t>
            </w:r>
            <w:r w:rsidRPr="00E2462E">
              <w:rPr>
                <w:color w:val="000000" w:themeColor="text1"/>
                <w:lang w:val="en-US"/>
              </w:rPr>
              <w:fldChar w:fldCharType="begin"/>
            </w:r>
            <w:r w:rsidRPr="00E2462E">
              <w:rPr>
                <w:color w:val="000000" w:themeColor="text1"/>
                <w:lang w:val="en-US"/>
              </w:rPr>
              <w:instrText xml:space="preserve"> ADDIN ZOTERO_ITEM CSL_CITATION {"citationID":"N49GfRUc","properties":{"formattedCitation":"(Soon, 2020)","plainCitation":"(Soon, 2020)","noteIndex":0},"citationItems":[{"id":11409,"uris":["http://zotero.org/users/local/qnvKw9vm/items/N4DNMRJJ"],"itemData":{"id":11409,"type":"article-journal","container-title":"Food Control","note":"ISBN: 0956-7135\npublisher: Elsevier","page":"107129","title":"‘Food allergy? Ask before you eat’: Current food allergy training and future training needs in food services","volume":"112","author":[{"family":"Soon","given":"Jan Mei"}],"issued":{"date-parts":[["2020"]]}}}],"schema":"https://github.com/citation-style-language/schema/raw/master/csl-citation.json"}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(Soon, 2020)</w:t>
            </w:r>
            <w:r w:rsidRPr="00E2462E">
              <w:rPr>
                <w:color w:val="000000" w:themeColor="text1"/>
                <w:lang w:val="en-US"/>
              </w:rPr>
              <w:fldChar w:fldCharType="end"/>
            </w:r>
            <w:r w:rsidRPr="00E2462E">
              <w:rPr>
                <w:color w:val="000000" w:themeColor="text1"/>
                <w:lang w:val="en-US"/>
              </w:rPr>
              <w:t>. The symptoms of a food allergy may be relatively mild, such as hives or nausea, or they may be severe enough to become life-threatening. As it is impossible to predict how severe a reaction will be, all food allergies must be treated with an equal level of caution.</w:t>
            </w: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 xml:space="preserve">The course has successfully delivered interesting knowledge about allergens and intolerance such as approximately 160 types of foods are known to cause allergic reactions. I have come to know that 90 percent of these reactions are triggered by eight types of foods, also known as the Big Eight, which are: milk, eggs, soy, fish, tree nuts, peanuts, crustaceans, and shellfish. It is required that food containing these ingredients be labeled. There is now a mandatory label on these products as a result of widespread problems </w:t>
            </w:r>
            <w:r w:rsidRPr="00E2462E">
              <w:rPr>
                <w:color w:val="000000" w:themeColor="text1"/>
                <w:lang w:val="en-US"/>
              </w:rPr>
              <w:fldChar w:fldCharType="begin"/>
            </w:r>
            <w:r w:rsidRPr="00E2462E">
              <w:rPr>
                <w:color w:val="000000" w:themeColor="text1"/>
                <w:lang w:val="en-US"/>
              </w:rPr>
              <w:instrText xml:space="preserve"> ADDIN ZOTERO_ITEM CSL_CITATION {"citationID":"vjyaYiYs","properties":{"formattedCitation":"(Ana et al., 2022)","plainCitation":"(Ana et al., 2022)","noteIndex":0},"citationItems":[{"id":11411,"uris":["http://zotero.org/users/local/qnvKw9vm/items/EBIUPVS7"],"itemData":{"id":11411,"type":"book","abstract":"Gastronomic tourism has made remarkable progress within the past decade in both academia and within its own sector. However, many industries have suffered from the COVID-19 pandemic, and food tourism businesses had to take unique precautions for the health and safety of global consumers. Despite the economic turbulence of the COVID-19 pandemic, there are many strategies available for the restaurant industry to thrive.Gastronomy, Hospitality, and the Future of the Restaurant Industry: Post-COVID-19 Perspectives presents the most recent research surrounding food and gastronomy in relation to hospitality and tourism, highlighting emerging themes and different methods of approach. Concretely, it constitutes a timely and relevant compendium of chapters that offers its readers relevant issues in gastronomy and management strategies in the hospitality industry. Covering topics such as food tourism, organic food production, and restaurant communication, this book is an essential resource for managers, business owners, entrepreneurs, consultants, marketing specialists, government officials, libraries, researchers, academicians, educators, and students.","ISBN":"978-1-79989-150-5","language":"en","note":"Google-Books-ID: rwBuEAAAQBAJ","number-of-pages":"339","publisher":"IGI Global","source":"Google Books","title":"Gastronomy, Hospitality, and the Future of the Restaurant Industry: Post-COVID-19 Perspectives: Post-COVID-19 Perspectives","title-short":"Gastronomy, Hospitality, and the Future of the Restaurant Industry","author":[{"family":"Ana","given":"Pinto Borges"},{"family":"António","given":"Lopes de Almeida"},{"family":"Pacheco","given":"Vieira","suffix":"Elvira"},{"family":"Rosa","given":"Dias","suffix":"Rui"},{"family":"Paula","given":"Rodrigues"}],"issued":{"date-parts":[["2022",3,4]]}}}],"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(Ana et al., 2022)</w:t>
            </w:r>
            <w:r w:rsidRPr="00E2462E">
              <w:rPr>
                <w:color w:val="000000" w:themeColor="text1"/>
                <w:lang w:val="en-US"/>
              </w:rPr>
              <w:fldChar w:fldCharType="end"/>
            </w:r>
            <w:r w:rsidRPr="00E2462E">
              <w:rPr>
                <w:color w:val="000000" w:themeColor="text1"/>
                <w:lang w:val="en-US"/>
              </w:rPr>
              <w:t xml:space="preserve">. </w:t>
            </w: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 xml:space="preserve">In restaurants and foodservice industries, managers should understand how to deal with food allergies. As a rule, this can be accomplished directly (for instance, mixing hamburger with the spoon used to scoop out peanut butter) or indirectly (for instance, using the same oil to fry shrimp and French fries). Food allergies can only be effectively controlled by avoiding allergens. The ingredients that contain the offending allergen should be taken into account when making food for someone who has a severe food allergy </w:t>
            </w:r>
            <w:r w:rsidRPr="00E2462E">
              <w:rPr>
                <w:color w:val="000000" w:themeColor="text1"/>
                <w:lang w:val="en-US"/>
              </w:rPr>
              <w:fldChar w:fldCharType="begin"/>
            </w:r>
            <w:r w:rsidRPr="00E2462E">
              <w:rPr>
                <w:color w:val="000000" w:themeColor="text1"/>
                <w:lang w:val="en-US"/>
              </w:rPr>
              <w:instrText xml:space="preserve"> ADDIN ZOTERO_ITEM CSL_CITATION {"citationID":"gpTUIocD","properties":{"formattedCitation":"(Norman, 2018)","plainCitation":"(Norman, 2018)","noteIndex":0},"citationItems":[{"id":11417,"uris":["http://zotero.org/users/local/qnvKw9vm/items/2QZDHKVT"],"itemData":{"id":11417,"type":"book","abstract":"Changing the way Chefs look at food allergic guests - one meal at a time! A easy to read book about setting programs and attitudes in place to make your food allergic guests safe, and your food establishment a success!","ISBN":"978-0-9997232-0-3","language":"en","note":"Google-Books-ID: 4jMvvQEACAAJ","number-of-pages":"166","publisher":"Amazon Digital Services LLC - KDP Print US","source":"Google Books","title":"Allergen Awareness: A Chef's Perspective","title-short":"Allergen Awareness","author":[{"family":"Norman","given":"Myron Keith"}],"issued":{"date-parts":[["2018",8,14]]}}}],"schema":"https://github.com/citation-style-language/schema/raw/master/csl-citation.json"} </w:instrText>
            </w:r>
            <w:r w:rsidRPr="00E2462E">
              <w:rPr>
                <w:color w:val="000000" w:themeColor="text1"/>
                <w:lang w:val="en-US"/>
              </w:rPr>
              <w:fldChar w:fldCharType="separate"/>
            </w:r>
            <w:r w:rsidRPr="00E2462E">
              <w:rPr>
                <w:color w:val="000000" w:themeColor="text1"/>
                <w:lang w:val="en-US"/>
              </w:rPr>
              <w:t>(Norman, 2018)</w:t>
            </w:r>
            <w:r w:rsidRPr="00E2462E">
              <w:rPr>
                <w:color w:val="000000" w:themeColor="text1"/>
                <w:lang w:val="en-US"/>
              </w:rPr>
              <w:fldChar w:fldCharType="end"/>
            </w:r>
            <w:r w:rsidRPr="00E2462E">
              <w:rPr>
                <w:color w:val="000000" w:themeColor="text1"/>
                <w:lang w:val="en-US"/>
              </w:rPr>
              <w:t xml:space="preserve">. We as students of hospitality are guided and instructed to ensure that we should read the label if we are uncertain about any general guidelines. It is also essential that people sanitize all equipment, plates, and utensils prior to preparing the food. </w:t>
            </w:r>
          </w:p>
          <w:p w:rsidR="001A4DFE" w:rsidRPr="00E2462E" w:rsidRDefault="001A4DFE" w:rsidP="001A4DFE">
            <w:pPr>
              <w:spacing w:line="360" w:lineRule="auto"/>
              <w:rPr>
                <w:color w:val="000000" w:themeColor="text1"/>
                <w:lang w:val="en-US"/>
              </w:rPr>
            </w:pPr>
            <w:r>
              <w:rPr>
                <w:color w:val="000000" w:themeColor="text1"/>
                <w:lang w:val="en-US"/>
              </w:rPr>
              <w:t xml:space="preserve">          </w:t>
            </w:r>
            <w:r w:rsidRPr="00E2462E">
              <w:rPr>
                <w:color w:val="000000" w:themeColor="text1"/>
                <w:lang w:val="en-US"/>
              </w:rPr>
              <w:t>Furthermore, it is necessary to apply this knowledge to prevent unintentional allergens from being present in food products. I can help in educating people and managing food items that may cause allergies. Educating staff regarding food allergen risks, managing them, and communicating with them should be a high priority for food providers. I will guide my workers and colleagues that there should be an accurate description on the label of products labeled as consumer products of any allergens present during production, whether they are present by design or through cross-contact. I can further check reliable sources and articles as well as books such as (</w:t>
            </w:r>
            <w:r w:rsidRPr="00E2462E">
              <w:t xml:space="preserve">Norman, 2018), </w:t>
            </w:r>
            <w:r w:rsidRPr="00E2462E">
              <w:fldChar w:fldCharType="begin"/>
            </w:r>
            <w:r w:rsidRPr="00E2462E">
              <w:instrText xml:space="preserve"> ADDIN ZOTERO_ITEM CSL_CITATION {"citationID":"Qs6Aw6uc","properties":{"formattedCitation":"(Fu et al., 2017)","plainCitation":"(Fu et al., 2017)","noteIndex":0},"citationItems":[{"id":11413,"uris":["http://zotero.org/users/local/qnvKw9vm/items/AWZW68U9"],"itemData":{"id":11413,"type":"book","abstract":"This volume identifies gaps in the assessment, management, and communication of food allergen risks. Chapters showcase best practices in managing allergen risks at various stages of the food chain, including during food manufacture/processing; during food preparation in food service, retail food establishments, and in the home; and at the point of consumption. The authors highlight key legislative initiatives that are in various stages of development and implementation at the federal, state and community levels. Finally, the volume includes recommendations for ways to build and strengthen education and outreach efforts at the food industry, government, institutional, and community levels.Chapters come from an array of experts, including researchers and key stakeholders from government, the food industry, retail/food service groups, and consumer groups. The information presented will facilitate the development of educational materials and allergen management training programs for food production and service staff, extension specialists, and government inspectors. Consumers and other food safety professionals will also benefit from information on food allergen control measures that have been put in place across the food chain.","ISBN":"978-3-319-66586-3","language":"en","note":"Google-Books-ID: b0I_DwAAQBAJ","number-of-pages":"260","publisher":"Springer","source":"Google Books","title":"Food Allergens: Best Practices for Assessing, Managing and Communicating the Risks","title-short":"Food Allergens","author":[{"family":"Fu","given":"Tong-Jen"},{"family":"Jackson","given":"Lauren S."},{"family":"Krishnamurthy","given":"Kathiravan"},{"family":"Bedale","given":"Wendy"}],"issued":{"date-parts":[["2017",11,16]]}}}],"schema":"https://github.com/citation-style-language/schema/raw/master/csl-citation.json"} </w:instrText>
            </w:r>
            <w:r w:rsidRPr="00E2462E">
              <w:fldChar w:fldCharType="separate"/>
            </w:r>
            <w:r w:rsidRPr="00E2462E">
              <w:t>(Fu et al., 2017)</w:t>
            </w:r>
            <w:r w:rsidRPr="00E2462E">
              <w:fldChar w:fldCharType="end"/>
            </w:r>
            <w:r w:rsidRPr="00E2462E">
              <w:t xml:space="preserve">, and </w:t>
            </w:r>
            <w:r w:rsidRPr="00E2462E">
              <w:fldChar w:fldCharType="begin"/>
            </w:r>
            <w:r w:rsidRPr="00E2462E">
              <w:instrText xml:space="preserve"> ADDIN ZOTERO_ITEM CSL_CITATION {"citationID":"uNvRSKfM","properties":{"formattedCitation":"(Bryan Endres et al., 2021)","plainCitation":"(Bryan Endres et al., 2021)","noteIndex":0},"citationItems":[{"id":9106,"uris":["http://zotero.org/users/local/qnvKw9vm/items/CALXQQZL"],"itemData":{"id":9106,"type":"article-journal","container-title":"Tourism and Hospitality Research","issue":"2","note":"ISBN: 1467-3584\npublisher: SAGE Publications Sage UK: London, England","page":"202-215","title":"Restaurant disclosure of food allergens: Analysis and economic implications","volume":"21","author":[{"family":"Bryan Endres","given":"A."},{"family":"Endres","given":"Renata"},{"family":"Nižić","given":"Marinela Krstinić"}],"issued":{"date-parts":[["2021"]]}}}],"schema":"https://github.com/citation-style-language/schema/raw/master/csl-citation.json"} </w:instrText>
            </w:r>
            <w:r w:rsidRPr="00E2462E">
              <w:fldChar w:fldCharType="separate"/>
            </w:r>
            <w:r w:rsidRPr="00E2462E">
              <w:t xml:space="preserve">(Bryan </w:t>
            </w:r>
            <w:proofErr w:type="spellStart"/>
            <w:r w:rsidRPr="00E2462E">
              <w:t>Endres</w:t>
            </w:r>
            <w:proofErr w:type="spellEnd"/>
            <w:r w:rsidRPr="00E2462E">
              <w:t xml:space="preserve"> et al., 2021)</w:t>
            </w:r>
            <w:r w:rsidRPr="00E2462E">
              <w:fldChar w:fldCharType="end"/>
            </w:r>
            <w:r w:rsidRPr="00E2462E">
              <w:t xml:space="preserve"> in future to get better understanding of</w:t>
            </w:r>
            <w:r>
              <w:t xml:space="preserve"> food allergies and intolerance.</w:t>
            </w:r>
          </w:p>
          <w:p w:rsidR="00F51904" w:rsidRDefault="00F51904" w:rsidP="001A4DFE">
            <w:pPr>
              <w:spacing w:line="360" w:lineRule="auto"/>
              <w:jc w:val="both"/>
              <w:rPr>
                <w:rFonts w:ascii="Arial" w:hAnsi="Arial" w:cs="Arial"/>
              </w:rPr>
            </w:pPr>
          </w:p>
          <w:p w:rsidR="00F51904" w:rsidRPr="0082407E" w:rsidRDefault="00F51904" w:rsidP="001A4DFE">
            <w:pPr>
              <w:spacing w:line="360" w:lineRule="auto"/>
              <w:jc w:val="both"/>
              <w:rPr>
                <w:rFonts w:ascii="Arial" w:hAnsi="Arial" w:cs="Arial"/>
              </w:rPr>
            </w:pPr>
          </w:p>
          <w:p w:rsidR="00797115" w:rsidRDefault="00797115"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Default="00375882" w:rsidP="001A4DFE">
            <w:pPr>
              <w:jc w:val="both"/>
              <w:rPr>
                <w:rFonts w:ascii="Tahoma" w:hAnsi="Tahoma" w:cs="Tahoma"/>
                <w:sz w:val="20"/>
                <w:szCs w:val="20"/>
              </w:rPr>
            </w:pPr>
          </w:p>
          <w:p w:rsidR="00375882" w:rsidRPr="003C3341" w:rsidRDefault="00375882" w:rsidP="001A4DFE">
            <w:pPr>
              <w:jc w:val="both"/>
              <w:rPr>
                <w:rFonts w:ascii="Tahoma" w:hAnsi="Tahoma" w:cs="Tahoma"/>
                <w:sz w:val="20"/>
                <w:szCs w:val="20"/>
              </w:rPr>
            </w:pPr>
          </w:p>
        </w:tc>
      </w:tr>
    </w:tbl>
    <w:p w:rsidR="00B00678" w:rsidRDefault="001A4DFE" w:rsidP="00B945EA">
      <w:pPr>
        <w:rPr>
          <w:rFonts w:ascii="Tahoma" w:hAnsi="Tahoma" w:cs="Tahoma"/>
          <w:b/>
        </w:rPr>
      </w:pPr>
      <w:r>
        <w:rPr>
          <w:rFonts w:ascii="Tahoma" w:hAnsi="Tahoma" w:cs="Tahoma"/>
          <w:b/>
        </w:rPr>
        <w:br w:type="textWrapping" w:clear="all"/>
      </w:r>
    </w:p>
    <w:tbl>
      <w:tblPr>
        <w:tblStyle w:val="TableGrid"/>
        <w:tblW w:w="0" w:type="auto"/>
        <w:tblLook w:val="01E0"/>
      </w:tblPr>
      <w:tblGrid>
        <w:gridCol w:w="10910"/>
        <w:gridCol w:w="272"/>
      </w:tblGrid>
      <w:tr w:rsidR="00375882" w:rsidRPr="003C3341" w:rsidTr="001A4DFE">
        <w:tc>
          <w:tcPr>
            <w:tcW w:w="10910" w:type="dxa"/>
            <w:shd w:val="clear" w:color="auto" w:fill="FBD4B4" w:themeFill="accent6" w:themeFillTint="66"/>
          </w:tcPr>
          <w:p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rsidR="00375882" w:rsidRDefault="00375882" w:rsidP="007F6692">
            <w:pPr>
              <w:jc w:val="center"/>
              <w:rPr>
                <w:rFonts w:ascii="Tahoma" w:hAnsi="Tahoma" w:cs="Tahoma"/>
                <w:b/>
                <w:sz w:val="20"/>
                <w:szCs w:val="20"/>
              </w:rPr>
            </w:pPr>
          </w:p>
          <w:p w:rsidR="00375882" w:rsidRPr="003C3341" w:rsidRDefault="00375882" w:rsidP="007F6692">
            <w:pPr>
              <w:jc w:val="center"/>
              <w:rPr>
                <w:rFonts w:ascii="Tahoma" w:hAnsi="Tahoma" w:cs="Tahoma"/>
                <w:b/>
                <w:sz w:val="20"/>
                <w:szCs w:val="20"/>
              </w:rPr>
            </w:pPr>
          </w:p>
        </w:tc>
      </w:tr>
      <w:tr w:rsidR="00375882" w:rsidRPr="003C3341" w:rsidTr="001A4DFE">
        <w:trPr>
          <w:trHeight w:val="2494"/>
        </w:trPr>
        <w:tc>
          <w:tcPr>
            <w:tcW w:w="11182" w:type="dxa"/>
            <w:gridSpan w:val="2"/>
          </w:tcPr>
          <w:p w:rsidR="00375882" w:rsidRDefault="00375882" w:rsidP="007F6692">
            <w:pPr>
              <w:rPr>
                <w:rFonts w:ascii="Tahoma" w:hAnsi="Tahoma" w:cs="Tahoma"/>
                <w:sz w:val="20"/>
                <w:szCs w:val="20"/>
              </w:rPr>
            </w:pPr>
          </w:p>
          <w:p w:rsidR="001A4DFE" w:rsidRPr="008020B8" w:rsidRDefault="001A4DFE" w:rsidP="001A4DFE">
            <w:pPr>
              <w:pStyle w:val="Bibliography"/>
            </w:pPr>
            <w:r>
              <w:rPr>
                <w:color w:val="000000" w:themeColor="text1"/>
              </w:rPr>
              <w:fldChar w:fldCharType="begin"/>
            </w:r>
            <w:r>
              <w:rPr>
                <w:color w:val="000000" w:themeColor="text1"/>
              </w:rPr>
              <w:instrText xml:space="preserve"> ADDIN ZOTERO_BIBL {"uncited":[],"omitted":[],"custom":[]} CSL_BIBLIOGRAPHY </w:instrText>
            </w:r>
            <w:r>
              <w:rPr>
                <w:color w:val="000000" w:themeColor="text1"/>
              </w:rPr>
              <w:fldChar w:fldCharType="separate"/>
            </w:r>
            <w:proofErr w:type="spellStart"/>
            <w:r w:rsidRPr="008020B8">
              <w:t>Aleksić</w:t>
            </w:r>
            <w:proofErr w:type="spellEnd"/>
            <w:r w:rsidRPr="008020B8">
              <w:t>, M., Popov-</w:t>
            </w:r>
            <w:proofErr w:type="spellStart"/>
            <w:r w:rsidRPr="008020B8">
              <w:t>Raljić</w:t>
            </w:r>
            <w:proofErr w:type="spellEnd"/>
            <w:r w:rsidRPr="008020B8">
              <w:t xml:space="preserve">, J., </w:t>
            </w:r>
            <w:proofErr w:type="spellStart"/>
            <w:r w:rsidRPr="008020B8">
              <w:t>Đorđević</w:t>
            </w:r>
            <w:proofErr w:type="spellEnd"/>
            <w:r w:rsidRPr="008020B8">
              <w:t xml:space="preserve">, V., </w:t>
            </w:r>
            <w:proofErr w:type="spellStart"/>
            <w:r w:rsidRPr="008020B8">
              <w:t>Rašeta</w:t>
            </w:r>
            <w:proofErr w:type="spellEnd"/>
            <w:r w:rsidRPr="008020B8">
              <w:t xml:space="preserve">, M., </w:t>
            </w:r>
            <w:proofErr w:type="spellStart"/>
            <w:r w:rsidRPr="008020B8">
              <w:t>Lukić</w:t>
            </w:r>
            <w:proofErr w:type="spellEnd"/>
            <w:r w:rsidRPr="008020B8">
              <w:t xml:space="preserve">, M., </w:t>
            </w:r>
            <w:proofErr w:type="spellStart"/>
            <w:r w:rsidRPr="008020B8">
              <w:t>Spirić</w:t>
            </w:r>
            <w:proofErr w:type="spellEnd"/>
            <w:r w:rsidRPr="008020B8">
              <w:t xml:space="preserve">, D., </w:t>
            </w:r>
            <w:proofErr w:type="spellStart"/>
            <w:r w:rsidRPr="008020B8">
              <w:t>Janković</w:t>
            </w:r>
            <w:proofErr w:type="spellEnd"/>
            <w:r w:rsidRPr="008020B8">
              <w:t>, V., 2020. Control of nutritive allergens in a hospitality kitchen. Scientific journal" Meat Technology" 61, 75–81.</w:t>
            </w:r>
          </w:p>
          <w:p w:rsidR="001A4DFE" w:rsidRDefault="001A4DFE" w:rsidP="001A4DFE">
            <w:pPr>
              <w:pStyle w:val="Bibliography"/>
            </w:pPr>
          </w:p>
          <w:p w:rsidR="001A4DFE" w:rsidRPr="008020B8" w:rsidRDefault="001A4DFE" w:rsidP="001A4DFE">
            <w:pPr>
              <w:pStyle w:val="Bibliography"/>
            </w:pPr>
            <w:r w:rsidRPr="008020B8">
              <w:t xml:space="preserve">Ana, P.B., </w:t>
            </w:r>
            <w:proofErr w:type="spellStart"/>
            <w:r w:rsidRPr="008020B8">
              <w:t>António</w:t>
            </w:r>
            <w:proofErr w:type="spellEnd"/>
            <w:r w:rsidRPr="008020B8">
              <w:t xml:space="preserve">, L. de A., Pacheco, V., Elvira, Rosa, D., </w:t>
            </w:r>
            <w:proofErr w:type="spellStart"/>
            <w:r w:rsidRPr="008020B8">
              <w:t>Rui</w:t>
            </w:r>
            <w:proofErr w:type="spellEnd"/>
            <w:r w:rsidRPr="008020B8">
              <w:t>, Paula, R., 2022. Gastronomy, Hospitality, and the Future of the Restaurant Industry: Post-COVID-19 Perspectives: Post-COVID-19 Perspectives. IGI Global.</w:t>
            </w:r>
          </w:p>
          <w:p w:rsidR="001A4DFE" w:rsidRDefault="001A4DFE" w:rsidP="001A4DFE">
            <w:pPr>
              <w:pStyle w:val="Bibliography"/>
            </w:pPr>
          </w:p>
          <w:p w:rsidR="001A4DFE" w:rsidRPr="008020B8" w:rsidRDefault="001A4DFE" w:rsidP="001A4DFE">
            <w:pPr>
              <w:pStyle w:val="Bibliography"/>
            </w:pPr>
            <w:r w:rsidRPr="008020B8">
              <w:t xml:space="preserve">Bryan </w:t>
            </w:r>
            <w:proofErr w:type="spellStart"/>
            <w:r w:rsidRPr="008020B8">
              <w:t>Endres</w:t>
            </w:r>
            <w:proofErr w:type="spellEnd"/>
            <w:r w:rsidRPr="008020B8">
              <w:t xml:space="preserve">, A., </w:t>
            </w:r>
            <w:proofErr w:type="spellStart"/>
            <w:r w:rsidRPr="008020B8">
              <w:t>Endres</w:t>
            </w:r>
            <w:proofErr w:type="spellEnd"/>
            <w:r w:rsidRPr="008020B8">
              <w:t xml:space="preserve">, R., </w:t>
            </w:r>
            <w:proofErr w:type="spellStart"/>
            <w:r w:rsidRPr="008020B8">
              <w:t>Nižić</w:t>
            </w:r>
            <w:proofErr w:type="spellEnd"/>
            <w:r w:rsidRPr="008020B8">
              <w:t>, M.K., 2021. Restaurant disclosure of food allergens: Analysis and economic implications. Tourism and Hospitality Research 21, 202–215.</w:t>
            </w:r>
          </w:p>
          <w:p w:rsidR="001A4DFE" w:rsidRDefault="001A4DFE" w:rsidP="001A4DFE">
            <w:pPr>
              <w:pStyle w:val="Bibliography"/>
            </w:pPr>
          </w:p>
          <w:p w:rsidR="001A4DFE" w:rsidRPr="008020B8" w:rsidRDefault="001A4DFE" w:rsidP="001A4DFE">
            <w:pPr>
              <w:pStyle w:val="Bibliography"/>
            </w:pPr>
            <w:r w:rsidRPr="008020B8">
              <w:t xml:space="preserve">Fu, T.-J., Jackson, L.S., Krishnamurthy, K., </w:t>
            </w:r>
            <w:proofErr w:type="spellStart"/>
            <w:r w:rsidRPr="008020B8">
              <w:t>Bedale</w:t>
            </w:r>
            <w:proofErr w:type="spellEnd"/>
            <w:r w:rsidRPr="008020B8">
              <w:t>, W., 2017. Food Allergens: Best Practices for Assessing, Managing and Communicating the Risks. Springer.</w:t>
            </w:r>
          </w:p>
          <w:p w:rsidR="001A4DFE" w:rsidRDefault="001A4DFE" w:rsidP="001A4DFE">
            <w:pPr>
              <w:pStyle w:val="Bibliography"/>
            </w:pPr>
          </w:p>
          <w:p w:rsidR="001A4DFE" w:rsidRPr="008020B8" w:rsidRDefault="001A4DFE" w:rsidP="001A4DFE">
            <w:pPr>
              <w:pStyle w:val="Bibliography"/>
            </w:pPr>
            <w:r w:rsidRPr="008020B8">
              <w:t>Norman, M.K., 2018. Allergen Awareness: A Chef’s Perspective. Amazon Digital Services LLC - KDP Print US.</w:t>
            </w:r>
          </w:p>
          <w:p w:rsidR="001A4DFE" w:rsidRDefault="001A4DFE" w:rsidP="001A4DFE">
            <w:pPr>
              <w:pStyle w:val="Bibliography"/>
            </w:pPr>
          </w:p>
          <w:p w:rsidR="001A4DFE" w:rsidRPr="008020B8" w:rsidRDefault="001A4DFE" w:rsidP="001A4DFE">
            <w:pPr>
              <w:pStyle w:val="Bibliography"/>
            </w:pPr>
            <w:r w:rsidRPr="008020B8">
              <w:t>Soon, J.M., 2020. ‘Food allergy? Ask before you eat’: Current food allergy training and future training needs in food services. Food Control 112, 107129.</w:t>
            </w:r>
          </w:p>
          <w:p w:rsidR="00375882" w:rsidRDefault="001A4DFE" w:rsidP="001A4DFE">
            <w:pPr>
              <w:spacing w:line="360" w:lineRule="auto"/>
              <w:jc w:val="both"/>
              <w:rPr>
                <w:rFonts w:ascii="Arial" w:hAnsi="Arial" w:cs="Arial"/>
              </w:rPr>
            </w:pPr>
            <w:r>
              <w:rPr>
                <w:color w:val="000000" w:themeColor="text1"/>
              </w:rPr>
              <w:fldChar w:fldCharType="end"/>
            </w: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Pr="003C3341" w:rsidRDefault="00375882" w:rsidP="007F6692">
            <w:pPr>
              <w:jc w:val="both"/>
              <w:rPr>
                <w:rFonts w:ascii="Tahoma" w:hAnsi="Tahoma" w:cs="Tahoma"/>
                <w:sz w:val="20"/>
                <w:szCs w:val="20"/>
              </w:rPr>
            </w:pP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95282" w:rsidRDefault="00895282">
      <w:r>
        <w:separator/>
      </w:r>
    </w:p>
  </w:endnote>
  <w:endnote w:type="continuationSeparator" w:id="0">
    <w:p w:rsidR="00895282" w:rsidRDefault="0089528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charset w:val="00"/>
    <w:family w:val="roman"/>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5E1B75">
        <w:pPr>
          <w:pStyle w:val="Footer"/>
          <w:jc w:val="right"/>
        </w:pPr>
        <w:r>
          <w:fldChar w:fldCharType="begin"/>
        </w:r>
        <w:r w:rsidR="00B44B68">
          <w:instrText xml:space="preserve"> PAGE   \* MERGEFORMAT </w:instrText>
        </w:r>
        <w:r>
          <w:fldChar w:fldCharType="separate"/>
        </w:r>
        <w:r w:rsidR="00414F02">
          <w:rPr>
            <w:noProof/>
          </w:rPr>
          <w:t>1</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95282" w:rsidRDefault="00895282">
      <w:r>
        <w:separator/>
      </w:r>
    </w:p>
  </w:footnote>
  <w:footnote w:type="continuationSeparator" w:id="0">
    <w:p w:rsidR="00895282" w:rsidRDefault="0089528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grammar="clean"/>
  <w:stylePaneFormatFilter w:val="3F01"/>
  <w:defaultTabStop w:val="720"/>
  <w:characterSpacingControl w:val="doNotCompress"/>
  <w:hdrShapeDefaults>
    <o:shapedefaults v:ext="edit" spidmax="15362"/>
  </w:hdrShapeDefaults>
  <w:footnotePr>
    <w:footnote w:id="-1"/>
    <w:footnote w:id="0"/>
  </w:footnotePr>
  <w:endnotePr>
    <w:endnote w:id="-1"/>
    <w:endnote w:id="0"/>
  </w:endnotePr>
  <w:compat/>
  <w:rsids>
    <w:rsidRoot w:val="00301AD0"/>
    <w:rsid w:val="000304DF"/>
    <w:rsid w:val="00040CE8"/>
    <w:rsid w:val="0004729E"/>
    <w:rsid w:val="00076F40"/>
    <w:rsid w:val="00077E55"/>
    <w:rsid w:val="00085CFD"/>
    <w:rsid w:val="000A0C53"/>
    <w:rsid w:val="000B2F4F"/>
    <w:rsid w:val="000D059D"/>
    <w:rsid w:val="000F2E7C"/>
    <w:rsid w:val="00112CE0"/>
    <w:rsid w:val="00162FE2"/>
    <w:rsid w:val="001703BD"/>
    <w:rsid w:val="00170A87"/>
    <w:rsid w:val="0018449A"/>
    <w:rsid w:val="00197F4A"/>
    <w:rsid w:val="001A4DFE"/>
    <w:rsid w:val="001A59E7"/>
    <w:rsid w:val="001B69C8"/>
    <w:rsid w:val="001B6DB4"/>
    <w:rsid w:val="001C5C4E"/>
    <w:rsid w:val="001D4719"/>
    <w:rsid w:val="001E720E"/>
    <w:rsid w:val="00202878"/>
    <w:rsid w:val="002314D4"/>
    <w:rsid w:val="002348A5"/>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D6EF3"/>
    <w:rsid w:val="005036DE"/>
    <w:rsid w:val="00517154"/>
    <w:rsid w:val="00522B05"/>
    <w:rsid w:val="00542C5B"/>
    <w:rsid w:val="00552EED"/>
    <w:rsid w:val="00566333"/>
    <w:rsid w:val="005C6352"/>
    <w:rsid w:val="005D0DDE"/>
    <w:rsid w:val="005D5D0B"/>
    <w:rsid w:val="005E1B75"/>
    <w:rsid w:val="005E2A92"/>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282"/>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Bibliography">
    <w:name w:val="Bibliography"/>
    <w:basedOn w:val="Normal"/>
    <w:next w:val="Normal"/>
    <w:uiPriority w:val="37"/>
    <w:semiHidden/>
    <w:unhideWhenUsed/>
    <w:rsid w:val="001A4DFE"/>
  </w:style>
</w:styles>
</file>

<file path=word/webSettings.xml><?xml version="1.0" encoding="utf-8"?>
<w:webSettings xmlns:r="http://schemas.openxmlformats.org/officeDocument/2006/relationships" xmlns:w="http://schemas.openxmlformats.org/wordprocessingml/2006/main">
  <w:divs>
    <w:div w:id="37166531">
      <w:bodyDiv w:val="1"/>
      <w:marLeft w:val="0"/>
      <w:marRight w:val="0"/>
      <w:marTop w:val="0"/>
      <w:marBottom w:val="0"/>
      <w:divBdr>
        <w:top w:val="none" w:sz="0" w:space="0" w:color="auto"/>
        <w:left w:val="none" w:sz="0" w:space="0" w:color="auto"/>
        <w:bottom w:val="none" w:sz="0" w:space="0" w:color="auto"/>
        <w:right w:val="none" w:sz="0" w:space="0" w:color="auto"/>
      </w:divBdr>
      <w:divsChild>
        <w:div w:id="651718794">
          <w:marLeft w:val="0"/>
          <w:marRight w:val="0"/>
          <w:marTop w:val="0"/>
          <w:marBottom w:val="0"/>
          <w:divBdr>
            <w:top w:val="none" w:sz="0" w:space="0" w:color="auto"/>
            <w:left w:val="none" w:sz="0" w:space="0" w:color="auto"/>
            <w:bottom w:val="none" w:sz="0" w:space="0" w:color="auto"/>
            <w:right w:val="none" w:sz="0" w:space="0" w:color="auto"/>
          </w:divBdr>
          <w:divsChild>
            <w:div w:id="153801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587739949">
      <w:bodyDiv w:val="1"/>
      <w:marLeft w:val="0"/>
      <w:marRight w:val="0"/>
      <w:marTop w:val="0"/>
      <w:marBottom w:val="0"/>
      <w:divBdr>
        <w:top w:val="none" w:sz="0" w:space="0" w:color="auto"/>
        <w:left w:val="none" w:sz="0" w:space="0" w:color="auto"/>
        <w:bottom w:val="none" w:sz="0" w:space="0" w:color="auto"/>
        <w:right w:val="none" w:sz="0" w:space="0" w:color="auto"/>
      </w:divBdr>
      <w:divsChild>
        <w:div w:id="1276135019">
          <w:marLeft w:val="0"/>
          <w:marRight w:val="0"/>
          <w:marTop w:val="0"/>
          <w:marBottom w:val="0"/>
          <w:divBdr>
            <w:top w:val="none" w:sz="0" w:space="0" w:color="auto"/>
            <w:left w:val="none" w:sz="0" w:space="0" w:color="auto"/>
            <w:bottom w:val="none" w:sz="0" w:space="0" w:color="auto"/>
            <w:right w:val="none" w:sz="0" w:space="0" w:color="auto"/>
          </w:divBdr>
          <w:divsChild>
            <w:div w:id="57855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98682352">
      <w:bodyDiv w:val="1"/>
      <w:marLeft w:val="0"/>
      <w:marRight w:val="0"/>
      <w:marTop w:val="0"/>
      <w:marBottom w:val="0"/>
      <w:divBdr>
        <w:top w:val="none" w:sz="0" w:space="0" w:color="auto"/>
        <w:left w:val="none" w:sz="0" w:space="0" w:color="auto"/>
        <w:bottom w:val="none" w:sz="0" w:space="0" w:color="auto"/>
        <w:right w:val="none" w:sz="0" w:space="0" w:color="auto"/>
      </w:divBdr>
      <w:divsChild>
        <w:div w:id="1331182402">
          <w:marLeft w:val="0"/>
          <w:marRight w:val="0"/>
          <w:marTop w:val="0"/>
          <w:marBottom w:val="0"/>
          <w:divBdr>
            <w:top w:val="none" w:sz="0" w:space="0" w:color="auto"/>
            <w:left w:val="none" w:sz="0" w:space="0" w:color="auto"/>
            <w:bottom w:val="none" w:sz="0" w:space="0" w:color="auto"/>
            <w:right w:val="none" w:sz="0" w:space="0" w:color="auto"/>
          </w:divBdr>
          <w:divsChild>
            <w:div w:id="151738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3</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18597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catalin dumitru</cp:lastModifiedBy>
  <cp:revision>4</cp:revision>
  <cp:lastPrinted>2020-09-28T20:53:00Z</cp:lastPrinted>
  <dcterms:created xsi:type="dcterms:W3CDTF">2022-05-18T22:38:00Z</dcterms:created>
  <dcterms:modified xsi:type="dcterms:W3CDTF">2022-06-02T16:33:00Z</dcterms:modified>
</cp:coreProperties>
</file>