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579F" w:rsidRPr="008819FC" w:rsidRDefault="0085579F">
      <w:pPr>
        <w:pStyle w:val="NormalWeb"/>
        <w:spacing w:before="0" w:beforeAutospacing="0" w:after="0" w:afterAutospacing="0"/>
        <w:jc w:val="center"/>
        <w:rPr>
          <w:sz w:val="28"/>
          <w:szCs w:val="28"/>
        </w:rPr>
      </w:pPr>
      <w:r w:rsidRPr="008819FC">
        <w:rPr>
          <w:b/>
          <w:bCs/>
          <w:color w:val="000000"/>
          <w:sz w:val="28"/>
          <w:szCs w:val="28"/>
          <w:u w:val="single"/>
        </w:rPr>
        <w:t xml:space="preserve">Explain why teacher subject knowledge is important in relation to teaching Language and Mathematics in primary schools in Wales. </w:t>
      </w:r>
    </w:p>
    <w:p w:rsidR="0085579F" w:rsidRPr="008819FC" w:rsidRDefault="0085579F">
      <w:pPr>
        <w:rPr>
          <w:rFonts w:ascii="Times New Roman" w:eastAsia="Times New Roman" w:hAnsi="Times New Roman" w:cs="Times New Roman"/>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In this essay, the importance of</w:t>
      </w:r>
      <w:bookmarkStart w:id="0" w:name="_GoBack"/>
      <w:bookmarkEnd w:id="0"/>
      <w:r w:rsidRPr="00B11FAA">
        <w:rPr>
          <w:color w:val="000000" w:themeColor="text1"/>
        </w:rPr>
        <w:t xml:space="preserve"> teacher subject knowledge will be discussed in relation to the teaching of one element of language and one element of mathematics. There are government guidelines in place that state that trainees must achieve ‘a standard equivalent to a grade four in the GCSE examinations in </w:t>
      </w:r>
      <w:r w:rsidR="007A23FA" w:rsidRPr="00B11FAA">
        <w:rPr>
          <w:color w:val="000000" w:themeColor="text1"/>
        </w:rPr>
        <w:t>E</w:t>
      </w:r>
      <w:r w:rsidRPr="00B11FAA">
        <w:rPr>
          <w:color w:val="000000" w:themeColor="text1"/>
        </w:rPr>
        <w:t xml:space="preserve">nglish and mathematics’ (Department for Education, 2019). This ensures that there is a certain understanding and knowledge of these core subjects that one must possess in order to teach pupils. Teacher subject knowledge is becoming more and more important, especially in language and mathematics. This is due to the large number of pupils not achieving the expected outcome. Out of the 28,195 children in year two, only 84% achieved the expected outcome in the Area of Learning ‘Language, Literacy and Communication’ (Welsh Government, 2018). In the Area of Learning ‘Mathematical Development’ only 86.6% of the 36,261 year two pupils achieved the expected outcome (Welsh Government, 2018). This leaves 4,511 pupils not achieving the expected outcome in ‘Language, Literacy and Communication’ and  4,859 pupils not  achieving the expected outcome in ‘Mathematical Development’. This creates a learning gap which, if left unaddressed, will widen. If underpinning academic skills such as reading, writing, etc. ‘are not acquired are not acquired by students early on in their education, it may be more difficult for them to learn these foundational skills later on’ </w:t>
      </w:r>
      <w:r w:rsidRPr="00B11FAA">
        <w:rPr>
          <w:color w:val="000000" w:themeColor="text1"/>
          <w:shd w:val="clear" w:color="auto" w:fill="FFFFFF"/>
        </w:rPr>
        <w:t xml:space="preserve">(Great Schools Partnership, 2013). </w:t>
      </w:r>
    </w:p>
    <w:p w:rsidR="0085579F" w:rsidRPr="00B11FAA" w:rsidRDefault="0085579F">
      <w:pPr>
        <w:pStyle w:val="NormalWeb"/>
        <w:spacing w:before="0" w:beforeAutospacing="0" w:after="0" w:afterAutospacing="0"/>
        <w:rPr>
          <w:color w:val="000000" w:themeColor="text1"/>
        </w:rPr>
      </w:pPr>
      <w:r w:rsidRPr="00B11FAA">
        <w:rPr>
          <w:color w:val="000000" w:themeColor="text1"/>
        </w:rPr>
        <w:t>Teachers must have a certain degree of knowledge of the subjects they are teaching. This is supported be Coe et al who state that ‘The most effective teachers have deep knowledge of the subjects they teach’ (Coe et al, 2014, p. 2).</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Within this essay, the trainee and class teacher’s subject knowledge will be discussed as well as their pedagogical knowledge. This will be done by reflecting on a number of lessons observed and taught by the trainee while taking part on a Professional Teaching Experience (PTE) at a local primary school. The lesson’s which will be evaluated took place in a class consisting of pupils in years one, two and three totalling twenty pupils. Within the ‘Language, Literacy and Communication’ Area of Learning, the strand being developed was reading, specifically focussing on the element of locating, selecting and using information, using the aspect of reading strategies. The curriculum states that pupils in year one should be able to;</w:t>
      </w:r>
    </w:p>
    <w:p w:rsidR="0085579F" w:rsidRPr="00B11FAA" w:rsidRDefault="0085579F">
      <w:pPr>
        <w:pStyle w:val="NormalWeb"/>
        <w:spacing w:before="0" w:beforeAutospacing="0" w:after="0" w:afterAutospacing="0"/>
        <w:ind w:firstLine="720"/>
        <w:rPr>
          <w:color w:val="000000" w:themeColor="text1"/>
        </w:rPr>
      </w:pPr>
      <w:r w:rsidRPr="00B11FAA">
        <w:rPr>
          <w:color w:val="000000" w:themeColor="text1"/>
        </w:rPr>
        <w:t>‘</w:t>
      </w:r>
      <w:r w:rsidRPr="00B11FAA">
        <w:rPr>
          <w:i/>
          <w:iCs/>
          <w:color w:val="000000" w:themeColor="text1"/>
        </w:rPr>
        <w:t>Apply the following reading strategies with increasing independence: – phonic strategies to decode words – recognition of high-frequency words – context clues, e.g. prior knowledge – graphic and syntactic clues – self-correction, including re-reading and reading ahead</w:t>
      </w:r>
      <w:r w:rsidRPr="00B11FAA">
        <w:rPr>
          <w:color w:val="000000" w:themeColor="text1"/>
        </w:rPr>
        <w:t>’ (Department for Education and Skills, 2015, p. 19).</w:t>
      </w:r>
    </w:p>
    <w:p w:rsidR="0085579F" w:rsidRPr="00B11FAA" w:rsidRDefault="0085579F">
      <w:pPr>
        <w:pStyle w:val="NormalWeb"/>
        <w:spacing w:before="0" w:beforeAutospacing="0" w:after="0" w:afterAutospacing="0"/>
        <w:rPr>
          <w:color w:val="000000" w:themeColor="text1"/>
        </w:rPr>
      </w:pPr>
      <w:r w:rsidRPr="00B11FAA">
        <w:rPr>
          <w:color w:val="000000" w:themeColor="text1"/>
        </w:rPr>
        <w:t>The curriculum also states that pupils in year two should be able to;</w:t>
      </w:r>
    </w:p>
    <w:p w:rsidR="0085579F" w:rsidRPr="00B11FAA" w:rsidRDefault="0085579F">
      <w:pPr>
        <w:pStyle w:val="NormalWeb"/>
        <w:spacing w:before="0" w:beforeAutospacing="0" w:after="0" w:afterAutospacing="0"/>
        <w:ind w:firstLine="720"/>
        <w:rPr>
          <w:color w:val="000000" w:themeColor="text1"/>
        </w:rPr>
      </w:pPr>
      <w:r w:rsidRPr="00B11FAA">
        <w:rPr>
          <w:color w:val="000000" w:themeColor="text1"/>
        </w:rPr>
        <w:t>‘</w:t>
      </w:r>
      <w:r w:rsidRPr="00B11FAA">
        <w:rPr>
          <w:i/>
          <w:iCs/>
          <w:color w:val="000000" w:themeColor="text1"/>
        </w:rPr>
        <w:t>Apply the following reading strategies with increasing independence to a range of familiar and unfamiliar texts: – phonic strategies – recognition of high-frequency words – context clues, e.g. prior knowledge – graphic and syntactic clues – self-correction, including re-reading and reading ahead</w:t>
      </w:r>
      <w:r w:rsidRPr="00B11FAA">
        <w:rPr>
          <w:color w:val="000000" w:themeColor="text1"/>
        </w:rPr>
        <w:t>’ (Department for Education and Skills, 2015, p. 19).</w:t>
      </w:r>
      <w:r w:rsidRPr="00B11FAA">
        <w:rPr>
          <w:i/>
          <w:iCs/>
          <w:color w:val="000000" w:themeColor="text1"/>
        </w:rPr>
        <w:t xml:space="preserve"> </w:t>
      </w:r>
    </w:p>
    <w:p w:rsidR="0085579F" w:rsidRPr="00B11FAA" w:rsidRDefault="0085579F">
      <w:pPr>
        <w:pStyle w:val="NormalWeb"/>
        <w:spacing w:before="0" w:beforeAutospacing="0" w:after="0" w:afterAutospacing="0"/>
        <w:rPr>
          <w:color w:val="000000" w:themeColor="text1"/>
        </w:rPr>
      </w:pPr>
      <w:r w:rsidRPr="00B11FAA">
        <w:rPr>
          <w:color w:val="000000" w:themeColor="text1"/>
        </w:rPr>
        <w:t xml:space="preserve">This shows that both year groups must continue to apply the same reading strategies however children in year two must apply this to a range of texts such as fictional, non-fictional, leaflets etc. Within the ‘Mathematical Development’ Area of Learning, the strand being developed was using measuring skills, specifically focussing on the elements of length, weight/mass and capacity. While in the class, the trainee observed and taught lessons focussing on length with only the years one and two involved in the session. According to the Foundation Phase Framework, children in year one should be able to ‘use non-standard units to measure length, height and distance’ (Department for Education and Skills, 2015, p. 33) while pupils in year </w:t>
      </w:r>
      <w:r w:rsidRPr="00B11FAA">
        <w:rPr>
          <w:color w:val="000000" w:themeColor="text1"/>
        </w:rPr>
        <w:lastRenderedPageBreak/>
        <w:t xml:space="preserve">two should be able to ‘use standard units to measure length, height and distance’ (Department for Education and Skills, 2015, p. 33).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Reading was the skill being developed in the Area of Learning ‘Language, Literacy and Communication’. When working with the year one children consisting of seven children, the focus was on phonics and consonant, vowel, consonant (CVC) words. Rather than learning the actual letters, the children were learning the sounds that the letters make. ‘</w:t>
      </w:r>
      <w:r w:rsidRPr="00B11FAA">
        <w:rPr>
          <w:color w:val="000000" w:themeColor="text1"/>
          <w:shd w:val="clear" w:color="auto" w:fill="FFFFFF"/>
        </w:rPr>
        <w:t>U.S. children were better at providing the names of letters than English children. English children outperformed U.S. children on letter-sound tasks’ (</w:t>
      </w:r>
      <w:proofErr w:type="spellStart"/>
      <w:r w:rsidRPr="00B11FAA">
        <w:rPr>
          <w:color w:val="000000" w:themeColor="text1"/>
          <w:shd w:val="clear" w:color="auto" w:fill="FFFFFF"/>
        </w:rPr>
        <w:t>Ellefson</w:t>
      </w:r>
      <w:proofErr w:type="spellEnd"/>
      <w:r w:rsidRPr="00B11FAA">
        <w:rPr>
          <w:color w:val="000000" w:themeColor="text1"/>
          <w:shd w:val="clear" w:color="auto" w:fill="FFFFFF"/>
        </w:rPr>
        <w:t xml:space="preserve"> et al, 2010)</w:t>
      </w:r>
      <w:r w:rsidRPr="00B11FAA">
        <w:rPr>
          <w:color w:val="000000" w:themeColor="text1"/>
        </w:rPr>
        <w:t>. This is a result of the education system in the two countries as children in America usually learn about the letters themselves e.g. learning the alphabet, whereas in the United Kingdom children usually learn about the sounds that letters make. Children who recognise letters ‘will have an easier time learning about letter sounds and word spellings than a child who does not know the letters of the alphabet’ (Wood and McLemore, 2001, p. 1). Contrary to this, Jarrell believes that teaching letter sounds is ‘</w:t>
      </w:r>
      <w:r w:rsidRPr="00B11FAA">
        <w:rPr>
          <w:color w:val="000000" w:themeColor="text1"/>
          <w:shd w:val="clear" w:color="auto" w:fill="FFFFFF"/>
        </w:rPr>
        <w:t>less confusing for children, and it enables them to more quickly begin to write and read’ (</w:t>
      </w:r>
      <w:r w:rsidRPr="00B11FAA">
        <w:rPr>
          <w:color w:val="000000" w:themeColor="text1"/>
        </w:rPr>
        <w:t>Jarrell, 2018</w:t>
      </w:r>
      <w:r w:rsidRPr="00B11FAA">
        <w:rPr>
          <w:color w:val="000000" w:themeColor="text1"/>
          <w:shd w:val="clear" w:color="auto" w:fill="FFFFFF"/>
        </w:rPr>
        <w:t xml:space="preserve">). During PTE, it was evident that the children were learning about the letter sounds rather than the alphabet. Consequently, the children were able to sound out the different letters and spell the words correctly.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shd w:val="clear" w:color="auto" w:fill="FFFFFF"/>
        </w:rPr>
        <w:t>In this lesson, the children were able to identify the sound a letter made when showed what it looked like. The lesson progressed when the children were shown CVC words. The pupils were able to sound out the different letters and put them together to work out the words. The children could also correctly write down a word which the trainee said by working out what sounds they could hear. The operant conditioning approach (positive reinforcement and negative reinforcement)</w:t>
      </w:r>
      <w:r w:rsidRPr="00B11FAA">
        <w:rPr>
          <w:color w:val="000000" w:themeColor="text1"/>
        </w:rPr>
        <w:t xml:space="preserve"> was utilised in the lesson through the use of verbal praise when the children completed a task correctly, and they were given immediate correction if something was incorrect because </w:t>
      </w:r>
      <w:r w:rsidRPr="00B11FAA">
        <w:rPr>
          <w:color w:val="000000" w:themeColor="text1"/>
          <w:shd w:val="clear" w:color="auto" w:fill="FFFFFF"/>
        </w:rPr>
        <w:t xml:space="preserve">‘rewards and punishments control the majority of human behaviours’ (Skinner, 1958, p. 9). The children continued to stay on task and were becoming more confident when given verbal praise. Constructivism is another approach which was used as the children learnt ‘new information [which was] built into and added onto an individual’s current structure of knowledge, understanding and skills’ (Pritchard, 2014, p. 18). It was evident that the children had prior knowledge on the sounds that letters make and could clearly distinguish between them. This provided a good level of base knowledge which allowed the children to build on their understanding and knowledge of phonics by reading and writing using letter sounds.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 xml:space="preserve">The trainee ensured that the children were working in their ‘Zone of Proximal Development’. Vygotsky’s ‘Zone of Proximal Development’ was implemented through the differentiation of the task. Children are said to be working in the ‘Zone of Proximal Development’ when they are completing ‘skills too difficult for a child to master on his/her own, but can be done with guidance and encouragement from a knowledgeable person’ (McLeod, 2019). The trainee ensured that the lower ability children were completing easier work than the more able and talented children, for example, the lower ability children were just writing the CVC words, the medium ability children were writing sentences using CVC words and the more able and talented were writing sentences including four letter words. By doing this, the trainee ensured that each child was being challenged but not so much that they could not do or enjoy the work.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lastRenderedPageBreak/>
        <w:t xml:space="preserve">The trainee’s knowledge on this subject was good as the trainee has a high standard of English. The activity was fairly simple and did not involve much research prior to the lesson. The trainee spent time looking over the children’s previous work to see what standard each child was working at. The trainee also worked with the Learning Support Assistant (LSA) to ensure that the work was suitable and built upon work which the children had previously completed. Although the trainee had suitable knowledge on the subject, the trainee had to research different ways in which it could be taught. To do this, the trainee observed a read, write, ink session taught to a group of seven year one pupils by the LSA. The trainee was able to see how the session was differentiated to suit the needs of each child and also help the trainee to plan a session as she could see the standard of each child. The trainee could also see how the children behaved as well as to make notes on the method in which this subject could be taught. This allowed the trainee to become more confident in the pedagogy of teaching a read, write ink session as well as to keep the format of the session the same so that it was familiar to the children. </w:t>
      </w:r>
      <w:r w:rsidRPr="00B11FAA">
        <w:rPr>
          <w:color w:val="000000" w:themeColor="text1"/>
          <w:shd w:val="clear" w:color="auto" w:fill="FFFFFF"/>
        </w:rPr>
        <w:t xml:space="preserve">The trainee wanted to keep the lesson as familiar as possible because </w:t>
      </w:r>
      <w:r w:rsidRPr="00B11FAA">
        <w:rPr>
          <w:color w:val="000000" w:themeColor="text1"/>
        </w:rPr>
        <w:t xml:space="preserve">‘As </w:t>
      </w:r>
      <w:r w:rsidRPr="00B11FAA">
        <w:rPr>
          <w:color w:val="000000" w:themeColor="text1"/>
          <w:shd w:val="clear" w:color="auto" w:fill="FFFFFF"/>
        </w:rPr>
        <w:t>soon as something disrupts that feeling of consistency, children are reluctant to embrace it’ (Cox, 2019).</w:t>
      </w:r>
      <w:r w:rsidRPr="00B11FAA">
        <w:rPr>
          <w:color w:val="000000" w:themeColor="text1"/>
        </w:rPr>
        <w:t xml:space="preserve"> It is important to ‘establish consistency in teaching and learning’ (Education Development Trust, 2014) because it allows children to feel comfortable and safe especially if the children lack consistency at home.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The trainee could have also included modelling into this session. As the saying goes, ‘monkey see, monkey do’. Mirror neurons are believed to ‘p</w:t>
      </w:r>
      <w:r w:rsidRPr="00B11FAA">
        <w:rPr>
          <w:color w:val="000000" w:themeColor="text1"/>
          <w:shd w:val="clear" w:color="auto" w:fill="FFFFFF"/>
        </w:rPr>
        <w:t>lay a critical role in how and why we understand other people’s actions’ (Association for Psychological Science, 2011). By modelling the writing, children can see what the letters and words look like and how they are drawn, developing their gross motor skills. The children can then copy this without needing to understand why the letters look the way they do.</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 xml:space="preserve">Measuring was the skill being developed in the Area of Learning ‘Mathematical Development’. When working with the year one and two children consisting of twelve children, the focus was on measuring using standard and non-standard units of measurements. The Foundation Phase Framework states that children in year one should be measuring using non-standard units of measurements while the year two children should be measuring using standard units of measurements (Welsh Government, 2015). Children at this age learn well through visual resources and concrete experiences therefore ‘by representing a maths concept with everyday objects, children can visualise, explore and manipulate them, giving easier access to mathematical knowledge and understanding’ (Todd, 2017). Using non-standard measurements of units allowed the children to compare the sizes of objects in the classroom to something that they are familiar with e.g. </w:t>
      </w:r>
      <w:proofErr w:type="spellStart"/>
      <w:r w:rsidRPr="00B11FAA">
        <w:rPr>
          <w:color w:val="000000" w:themeColor="text1"/>
        </w:rPr>
        <w:t>unifix</w:t>
      </w:r>
      <w:proofErr w:type="spellEnd"/>
      <w:r w:rsidRPr="00B11FAA">
        <w:rPr>
          <w:color w:val="000000" w:themeColor="text1"/>
        </w:rPr>
        <w:t xml:space="preserve">.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In this session, the trainee began by modelling how to measure using non-standard units of measurement. Modelling the work was an effective teaching method based on Bandura’s ‘Social Learning Theory’ which states;</w:t>
      </w:r>
    </w:p>
    <w:p w:rsidR="0085579F" w:rsidRPr="00B11FAA" w:rsidRDefault="0085579F">
      <w:pPr>
        <w:pStyle w:val="NormalWeb"/>
        <w:spacing w:before="0" w:beforeAutospacing="0" w:after="0" w:afterAutospacing="0"/>
        <w:ind w:firstLine="720"/>
        <w:rPr>
          <w:color w:val="000000" w:themeColor="text1"/>
        </w:rPr>
      </w:pPr>
      <w:r w:rsidRPr="00B11FAA">
        <w:rPr>
          <w:color w:val="000000" w:themeColor="text1"/>
        </w:rPr>
        <w:t>‘</w:t>
      </w:r>
      <w:r w:rsidRPr="00B11FAA">
        <w:rPr>
          <w:i/>
          <w:iCs/>
          <w:color w:val="000000" w:themeColor="text1"/>
          <w:shd w:val="clear" w:color="auto" w:fill="FFFFFF"/>
        </w:rPr>
        <w:t xml:space="preserve">Most human </w:t>
      </w:r>
      <w:proofErr w:type="spellStart"/>
      <w:r w:rsidRPr="00B11FAA">
        <w:rPr>
          <w:i/>
          <w:iCs/>
          <w:color w:val="000000" w:themeColor="text1"/>
          <w:shd w:val="clear" w:color="auto" w:fill="FFFFFF"/>
        </w:rPr>
        <w:t>behavior</w:t>
      </w:r>
      <w:proofErr w:type="spellEnd"/>
      <w:r w:rsidRPr="00B11FAA">
        <w:rPr>
          <w:i/>
          <w:iCs/>
          <w:color w:val="000000" w:themeColor="text1"/>
          <w:shd w:val="clear" w:color="auto" w:fill="FFFFFF"/>
        </w:rPr>
        <w:t xml:space="preserve"> is learned observationally through </w:t>
      </w:r>
      <w:proofErr w:type="spellStart"/>
      <w:r w:rsidRPr="00B11FAA">
        <w:rPr>
          <w:i/>
          <w:iCs/>
          <w:color w:val="000000" w:themeColor="text1"/>
          <w:shd w:val="clear" w:color="auto" w:fill="FFFFFF"/>
        </w:rPr>
        <w:t>modeling</w:t>
      </w:r>
      <w:proofErr w:type="spellEnd"/>
      <w:r w:rsidRPr="00B11FAA">
        <w:rPr>
          <w:i/>
          <w:iCs/>
          <w:color w:val="000000" w:themeColor="text1"/>
          <w:shd w:val="clear" w:color="auto" w:fill="FFFFFF"/>
        </w:rPr>
        <w:t xml:space="preserve">: from observing others, one forms an idea of how new </w:t>
      </w:r>
      <w:proofErr w:type="spellStart"/>
      <w:r w:rsidRPr="00B11FAA">
        <w:rPr>
          <w:i/>
          <w:iCs/>
          <w:color w:val="000000" w:themeColor="text1"/>
          <w:shd w:val="clear" w:color="auto" w:fill="FFFFFF"/>
        </w:rPr>
        <w:t>behaviors</w:t>
      </w:r>
      <w:proofErr w:type="spellEnd"/>
      <w:r w:rsidRPr="00B11FAA">
        <w:rPr>
          <w:i/>
          <w:iCs/>
          <w:color w:val="000000" w:themeColor="text1"/>
          <w:shd w:val="clear" w:color="auto" w:fill="FFFFFF"/>
        </w:rPr>
        <w:t xml:space="preserve"> are performed, and on later occasions this coded information serves as a guide for action</w:t>
      </w:r>
      <w:r w:rsidRPr="00B11FAA">
        <w:rPr>
          <w:color w:val="000000" w:themeColor="text1"/>
          <w:shd w:val="clear" w:color="auto" w:fill="FFFFFF"/>
        </w:rPr>
        <w:t xml:space="preserve">’ (Bandura, 1977, p. 22) </w:t>
      </w:r>
    </w:p>
    <w:p w:rsidR="0085579F" w:rsidRPr="00B11FAA" w:rsidRDefault="0085579F">
      <w:pPr>
        <w:pStyle w:val="NormalWeb"/>
        <w:spacing w:before="0" w:beforeAutospacing="0" w:after="0" w:afterAutospacing="0"/>
        <w:rPr>
          <w:color w:val="000000" w:themeColor="text1"/>
        </w:rPr>
      </w:pPr>
      <w:r w:rsidRPr="00B11FAA">
        <w:rPr>
          <w:color w:val="000000" w:themeColor="text1"/>
        </w:rPr>
        <w:t xml:space="preserve">The trainee used </w:t>
      </w:r>
      <w:proofErr w:type="spellStart"/>
      <w:r w:rsidRPr="00B11FAA">
        <w:rPr>
          <w:color w:val="000000" w:themeColor="text1"/>
        </w:rPr>
        <w:t>unifix</w:t>
      </w:r>
      <w:proofErr w:type="spellEnd"/>
      <w:r w:rsidRPr="00B11FAA">
        <w:rPr>
          <w:color w:val="000000" w:themeColor="text1"/>
        </w:rPr>
        <w:t xml:space="preserve"> to measure inanimate objects from around the classroom. </w:t>
      </w:r>
      <w:proofErr w:type="spellStart"/>
      <w:r w:rsidRPr="00B11FAA">
        <w:rPr>
          <w:color w:val="000000" w:themeColor="text1"/>
        </w:rPr>
        <w:t>Unifix</w:t>
      </w:r>
      <w:proofErr w:type="spellEnd"/>
      <w:r w:rsidRPr="00B11FAA">
        <w:rPr>
          <w:color w:val="000000" w:themeColor="text1"/>
        </w:rPr>
        <w:t xml:space="preserve"> was an ideal tool to use as the children were familiar with handling them. This not only developed the children’s understanding of non-standard units of measurement but also created an opportunity for the children to estimate and count meeting the criteria ‘</w:t>
      </w:r>
      <w:r w:rsidRPr="00B11FAA">
        <w:rPr>
          <w:color w:val="000000" w:themeColor="text1"/>
          <w:shd w:val="clear" w:color="auto" w:fill="FFFFFF"/>
        </w:rPr>
        <w:t xml:space="preserve">count reliably up to 20 objects’ and ‘make a sensible estimate of a number of objects that can be checked by counting’ (Welsh Government, 2014).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shd w:val="clear" w:color="auto" w:fill="FFFFFF"/>
        </w:rPr>
        <w:t xml:space="preserve">For the main session the trainee went on to question the children about how to use a ruler as this allowed the trainee to find out what knowledge the children already possessed. This again led to the trainee modelling how to use a ruler to ensure that all of the children understood and could do the task independently. This built upon the children’s knowledge on non-standard units of measurement as all of the children were now using standard units of measurement. This is a form of Vygotsky’s scaffolding approach as the children progressively moved towards a ‘stronger understanding and, ultimately, greater independence in the learning process’ (Great Schools Partnership, 2014). The trainee then lead the children outside to take part in a scavenger hunt where they had to find and measure the hidden rabbits. ‘Early math programs must be concrete, filled with play and exploration’ (Act for Libraries, 2017) to keep the children engaged. For this reason, the trainee planned and taught an exciting lesson basing the theme around something the children were interested in - Easter bunnies.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Another way in which the trainee could have taught this session is through Vygotsky’s social constructivism which ‘</w:t>
      </w:r>
      <w:r w:rsidRPr="00B11FAA">
        <w:rPr>
          <w:color w:val="000000" w:themeColor="text1"/>
          <w:shd w:val="clear" w:color="auto" w:fill="FFFFFF"/>
        </w:rPr>
        <w:t>comprises cognitive structures that are still in the process of maturing, but which can only mature under the guidance of or in collaboration with others’ (Berkeley Graduate Division, 2019). The trainee could have implemented this approach by splitting the children into mixed ability groups. The children could have then selected different objects from around the classroom to measure and record using non-standard units. The children could have then chosen between a ruler, metre rule, tape measure or a trundle wheel to measure each other. This would have allowed the children to practice measuring using a variety of tools. This is a form of child-led learning which can be seen in many forms from the ‘children [being] responsible for deciding what to learn ... [to deciding what] methods and materials are used for study’ (</w:t>
      </w:r>
      <w:proofErr w:type="spellStart"/>
      <w:r w:rsidRPr="00B11FAA">
        <w:rPr>
          <w:color w:val="000000" w:themeColor="text1"/>
          <w:shd w:val="clear" w:color="auto" w:fill="FFFFFF"/>
        </w:rPr>
        <w:t>Cicerchia</w:t>
      </w:r>
      <w:proofErr w:type="spellEnd"/>
      <w:r w:rsidRPr="00B11FAA">
        <w:rPr>
          <w:color w:val="000000" w:themeColor="text1"/>
          <w:shd w:val="clear" w:color="auto" w:fill="FFFFFF"/>
        </w:rPr>
        <w:t>, 2017).</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The level of subject knowledge required for this lesson was easy for the trainee as she already possessed a good level of understanding. As the trainee knew what skills needed to be taught, the trainee did not undertake much research prior to the lesson. The trainee ensured to look at the curriculum documents to ensure that the lesson met the correct curriculum for both year groups. The trainee researched different methods in which this lesson could be taught but could not find a lesson which she thought would engage all of the children. The trainee wanted to use the outdoor learning area as ‘it is essential that young children get frequent and regular opportunities to explore and learn in the outdoor environment’ (Council for Learning Outside the Classroom, 2009, p. 1). The trainee decided to create resources that would interest the children and as soon as the children saw one of the Easter bunnies, they were all excited and ready to begin the session. The trainee implemented the strategy of using Vygotsky’s more knowledgeable other which refers to</w:t>
      </w:r>
      <w:r w:rsidRPr="00B11FAA">
        <w:rPr>
          <w:color w:val="000000" w:themeColor="text1"/>
          <w:shd w:val="clear" w:color="auto" w:fill="FFFFFF"/>
        </w:rPr>
        <w:t xml:space="preserve"> someone who possesses a ‘better understanding or a higher ability level than the learner’ (McLeod, 2018). The trainee used this strategy by using mixed ability pairs. The higher ability child in the pairs would be able to do the task independently however, by pairing them with a lower ability child, they were able to describe how to measure and work on leadership skills. It is important to </w:t>
      </w:r>
      <w:proofErr w:type="spellStart"/>
      <w:r w:rsidRPr="00B11FAA">
        <w:rPr>
          <w:color w:val="000000" w:themeColor="text1"/>
          <w:shd w:val="clear" w:color="auto" w:fill="FFFFFF"/>
        </w:rPr>
        <w:t>instill</w:t>
      </w:r>
      <w:proofErr w:type="spellEnd"/>
      <w:r w:rsidRPr="00B11FAA">
        <w:rPr>
          <w:color w:val="000000" w:themeColor="text1"/>
          <w:shd w:val="clear" w:color="auto" w:fill="FFFFFF"/>
        </w:rPr>
        <w:t xml:space="preserve"> children with leadership skills as it will allow children to develop a number of skills including confidence, problem-solving and team work (</w:t>
      </w:r>
      <w:proofErr w:type="spellStart"/>
      <w:r w:rsidRPr="00B11FAA">
        <w:rPr>
          <w:color w:val="000000" w:themeColor="text1"/>
          <w:shd w:val="clear" w:color="auto" w:fill="FFFFFF"/>
        </w:rPr>
        <w:t>PennState</w:t>
      </w:r>
      <w:proofErr w:type="spellEnd"/>
      <w:r w:rsidRPr="00B11FAA">
        <w:rPr>
          <w:color w:val="000000" w:themeColor="text1"/>
          <w:shd w:val="clear" w:color="auto" w:fill="FFFFFF"/>
        </w:rPr>
        <w:t xml:space="preserve"> Extension, 2016). Furthermore, allowing the children to work independently causes</w:t>
      </w:r>
      <w:r w:rsidRPr="00B11FAA">
        <w:rPr>
          <w:color w:val="000000" w:themeColor="text1"/>
        </w:rPr>
        <w:t xml:space="preserve"> ‘improved motivation and better management of their learning’ (Meyer et al, 2008).</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lastRenderedPageBreak/>
        <w:t>In conclusion, it’s clear that teacher subject knowledge is important in relation to the teaching of not only language and mathematics but across all of the subjects/Areas of Learning. It is important to have a good level of subject knowledge because if the teacher does not understand the skills or the different methods in which the subject can be taught, it will be far more difficult for the children to understand and develop their knowledge. With the new curriculum being implemented it is more important than ever for teachers to have good subject knowledge as language and mathematics will have to be taught cross-</w:t>
      </w:r>
      <w:proofErr w:type="spellStart"/>
      <w:r w:rsidRPr="00B11FAA">
        <w:rPr>
          <w:color w:val="000000" w:themeColor="text1"/>
        </w:rPr>
        <w:t>curricularly</w:t>
      </w:r>
      <w:proofErr w:type="spellEnd"/>
      <w:r w:rsidRPr="00B11FAA">
        <w:rPr>
          <w:color w:val="000000" w:themeColor="text1"/>
        </w:rPr>
        <w:t xml:space="preserve">. As well as having good subject knowledge, it is also crucial that teachers have good pedagogical knowledge because teachers need a good understanding of how to teach pupils, not just what they teach. Shulman (1987) states, pedagogical subject knowledge ‘represents the blending of content and pedagogy’ to meet the diverse interests, abilities and needs of all pupils. The trainee has good subject knowledge on the lessons taught however the trainee needs to gain more knowledge and understanding on the methods in which these skills can be taught. Although the trainee had a good level of subject knowledge in the skills mentioned (reading and measuring), there are other aspects in language and mathematics which the trainee needs to develop and improve on the subject knowledge. By having an increased level of subject and pedagogical knowledge, the trainee will be able to deliver sessions/information more effectively allowing the children to learn more successfully. </w:t>
      </w:r>
    </w:p>
    <w:p w:rsidR="0085579F" w:rsidRPr="00B11FAA" w:rsidRDefault="0085579F">
      <w:pPr>
        <w:rPr>
          <w:rFonts w:ascii="Times New Roman" w:eastAsia="Times New Roman" w:hAnsi="Times New Roman" w:cs="Times New Roman"/>
          <w:color w:val="000000" w:themeColor="text1"/>
          <w:sz w:val="24"/>
          <w:szCs w:val="24"/>
        </w:rPr>
      </w:pPr>
    </w:p>
    <w:p w:rsidR="0085579F" w:rsidRPr="00B11FAA" w:rsidRDefault="0085579F">
      <w:pPr>
        <w:pStyle w:val="NormalWeb"/>
        <w:spacing w:before="0" w:beforeAutospacing="0" w:after="0" w:afterAutospacing="0"/>
        <w:rPr>
          <w:color w:val="000000" w:themeColor="text1"/>
        </w:rPr>
      </w:pPr>
      <w:r w:rsidRPr="00B11FAA">
        <w:rPr>
          <w:color w:val="000000" w:themeColor="text1"/>
        </w:rPr>
        <w:t>Word count: 2,757</w:t>
      </w:r>
    </w:p>
    <w:p w:rsidR="0085579F" w:rsidRDefault="0085579F">
      <w:pPr>
        <w:spacing w:after="240"/>
        <w:rPr>
          <w:rFonts w:ascii="Times New Roman" w:eastAsia="Times New Roman" w:hAnsi="Times New Roman" w:cs="Times New Roman"/>
          <w:sz w:val="24"/>
          <w:szCs w:val="24"/>
        </w:rPr>
      </w:pP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sz w:val="24"/>
          <w:szCs w:val="24"/>
        </w:rPr>
        <w:br/>
      </w:r>
    </w:p>
    <w:p w:rsidR="007A23FA" w:rsidRDefault="007A23FA">
      <w:pPr>
        <w:spacing w:after="240"/>
        <w:rPr>
          <w:rFonts w:ascii="Times New Roman" w:eastAsia="Times New Roman" w:hAnsi="Times New Roman" w:cs="Times New Roman"/>
          <w:sz w:val="24"/>
          <w:szCs w:val="24"/>
        </w:rPr>
      </w:pPr>
    </w:p>
    <w:p w:rsidR="007A23FA" w:rsidRDefault="007A23FA">
      <w:pPr>
        <w:spacing w:after="240"/>
        <w:rPr>
          <w:rFonts w:ascii="Times New Roman" w:eastAsia="Times New Roman" w:hAnsi="Times New Roman" w:cs="Times New Roman"/>
          <w:sz w:val="24"/>
          <w:szCs w:val="24"/>
        </w:rPr>
      </w:pPr>
    </w:p>
    <w:p w:rsidR="007A23FA" w:rsidRDefault="007A23FA">
      <w:pPr>
        <w:spacing w:after="240"/>
        <w:rPr>
          <w:rFonts w:ascii="Times New Roman" w:eastAsia="Times New Roman" w:hAnsi="Times New Roman" w:cs="Times New Roman"/>
          <w:sz w:val="24"/>
          <w:szCs w:val="24"/>
        </w:rPr>
      </w:pPr>
    </w:p>
    <w:p w:rsidR="007A23FA" w:rsidRPr="0085579F" w:rsidRDefault="007A23FA">
      <w:pPr>
        <w:spacing w:after="240"/>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lastRenderedPageBreak/>
        <w:t>Reference List</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shd w:val="clear" w:color="auto" w:fill="FFFFFF"/>
        </w:rPr>
        <w:t xml:space="preserve">Act for Libraries (2017). </w:t>
      </w:r>
      <w:r w:rsidRPr="0085579F">
        <w:rPr>
          <w:i/>
          <w:iCs/>
          <w:color w:val="000000"/>
          <w:shd w:val="clear" w:color="auto" w:fill="FFFFFF"/>
        </w:rPr>
        <w:t xml:space="preserve">Math Manipulatives </w:t>
      </w:r>
      <w:proofErr w:type="spellStart"/>
      <w:r w:rsidRPr="0085579F">
        <w:rPr>
          <w:i/>
          <w:iCs/>
          <w:color w:val="000000"/>
          <w:shd w:val="clear" w:color="auto" w:fill="FFFFFF"/>
        </w:rPr>
        <w:t>Unifix</w:t>
      </w:r>
      <w:proofErr w:type="spellEnd"/>
      <w:r w:rsidRPr="0085579F">
        <w:rPr>
          <w:i/>
          <w:iCs/>
          <w:color w:val="000000"/>
          <w:shd w:val="clear" w:color="auto" w:fill="FFFFFF"/>
        </w:rPr>
        <w:t xml:space="preserve"> Cubes value of Learning Educational Resources Geometric</w:t>
      </w:r>
      <w:r w:rsidRPr="0085579F">
        <w:rPr>
          <w:color w:val="000000"/>
          <w:shd w:val="clear" w:color="auto" w:fill="FFFFFF"/>
        </w:rPr>
        <w:t xml:space="preserve">. Available at: </w:t>
      </w:r>
      <w:hyperlink r:id="rId4" w:history="1">
        <w:r w:rsidRPr="0085579F">
          <w:rPr>
            <w:rStyle w:val="Hyperlink"/>
            <w:color w:val="1155CC"/>
            <w:shd w:val="clear" w:color="auto" w:fill="FFFFFF"/>
          </w:rPr>
          <w:t>http://www.actforlibraries.org/math-manipulatives-unifix-cubes-value-of-learning-educational-resources-geometric/</w:t>
        </w:r>
      </w:hyperlink>
      <w:r w:rsidRPr="0085579F">
        <w:rPr>
          <w:color w:val="1C425A"/>
          <w:shd w:val="clear" w:color="auto" w:fill="FFFFFF"/>
        </w:rPr>
        <w:t xml:space="preserve"> </w:t>
      </w:r>
      <w:r w:rsidRPr="0085579F">
        <w:rPr>
          <w:color w:val="000000"/>
          <w:shd w:val="clear" w:color="auto" w:fill="FFFFFF"/>
        </w:rPr>
        <w:t>(Accessed: 27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shd w:val="clear" w:color="auto" w:fill="FFFFFF"/>
        </w:rPr>
        <w:t xml:space="preserve">Association for Psychological Science (2011). </w:t>
      </w:r>
      <w:r w:rsidRPr="0085579F">
        <w:rPr>
          <w:i/>
          <w:iCs/>
          <w:color w:val="000000"/>
          <w:shd w:val="clear" w:color="auto" w:fill="FFFFFF"/>
        </w:rPr>
        <w:t xml:space="preserve">Monkey See, Monkey Do? The Role of Mirror Neurons in Human </w:t>
      </w:r>
      <w:proofErr w:type="spellStart"/>
      <w:r w:rsidRPr="0085579F">
        <w:rPr>
          <w:i/>
          <w:iCs/>
          <w:color w:val="000000"/>
          <w:shd w:val="clear" w:color="auto" w:fill="FFFFFF"/>
        </w:rPr>
        <w:t>Behavior</w:t>
      </w:r>
      <w:proofErr w:type="spellEnd"/>
      <w:r w:rsidRPr="0085579F">
        <w:rPr>
          <w:color w:val="000000"/>
          <w:shd w:val="clear" w:color="auto" w:fill="FFFFFF"/>
        </w:rPr>
        <w:t xml:space="preserve">. Available at: </w:t>
      </w:r>
      <w:hyperlink r:id="rId5" w:history="1">
        <w:r w:rsidRPr="0085579F">
          <w:rPr>
            <w:rStyle w:val="Hyperlink"/>
            <w:color w:val="1155CC"/>
            <w:shd w:val="clear" w:color="auto" w:fill="FFFFFF"/>
          </w:rPr>
          <w:t>https://www.psychologicalscience.org/news/releases/monkey-see-monkey-do-the-role-of-mirror-neurons-in-human-behavior.html</w:t>
        </w:r>
      </w:hyperlink>
      <w:r w:rsidRPr="0085579F">
        <w:rPr>
          <w:color w:val="000000"/>
          <w:shd w:val="clear" w:color="auto" w:fill="FFFFFF"/>
        </w:rPr>
        <w:t xml:space="preserve"> (Accessed: 29 April 2019)</w:t>
      </w:r>
    </w:p>
    <w:p w:rsidR="0085579F" w:rsidRPr="0085579F" w:rsidRDefault="0085579F">
      <w:pPr>
        <w:spacing w:after="240"/>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shd w:val="clear" w:color="auto" w:fill="FFFFFF"/>
        </w:rPr>
        <w:t xml:space="preserve">Bandura, A. (1997). </w:t>
      </w:r>
      <w:r w:rsidRPr="0085579F">
        <w:rPr>
          <w:i/>
          <w:iCs/>
          <w:color w:val="000000"/>
          <w:shd w:val="clear" w:color="auto" w:fill="FFFFFF"/>
        </w:rPr>
        <w:t>Self-efficacy: The exercise of control.</w:t>
      </w:r>
      <w:r w:rsidRPr="0085579F">
        <w:rPr>
          <w:color w:val="000000"/>
          <w:shd w:val="clear" w:color="auto" w:fill="FFFFFF"/>
        </w:rPr>
        <w:t xml:space="preserve"> New York: W.H. Freeman.</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Berkeley Graduate Division (2019). </w:t>
      </w:r>
      <w:r w:rsidRPr="0085579F">
        <w:rPr>
          <w:i/>
          <w:iCs/>
          <w:color w:val="000000"/>
        </w:rPr>
        <w:t>Social Constructivism</w:t>
      </w:r>
      <w:r w:rsidRPr="0085579F">
        <w:rPr>
          <w:color w:val="000000"/>
        </w:rPr>
        <w:t xml:space="preserve">. Available at: </w:t>
      </w:r>
      <w:hyperlink r:id="rId6" w:history="1">
        <w:r w:rsidRPr="0085579F">
          <w:rPr>
            <w:rStyle w:val="Hyperlink"/>
            <w:color w:val="1155CC"/>
          </w:rPr>
          <w:t>https://gsi.berkeley.edu/gsi-guide-contents/learning-theory-research/social-constructivism/</w:t>
        </w:r>
      </w:hyperlink>
      <w:r w:rsidRPr="0085579F">
        <w:rPr>
          <w:color w:val="000000"/>
        </w:rPr>
        <w:t xml:space="preserve"> (Accessed: 29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proofErr w:type="spellStart"/>
      <w:r w:rsidRPr="0085579F">
        <w:rPr>
          <w:color w:val="000000"/>
          <w:shd w:val="clear" w:color="auto" w:fill="FFFFFF"/>
        </w:rPr>
        <w:t>Cicerchia</w:t>
      </w:r>
      <w:proofErr w:type="spellEnd"/>
      <w:r w:rsidRPr="0085579F">
        <w:rPr>
          <w:color w:val="000000"/>
          <w:shd w:val="clear" w:color="auto" w:fill="FFFFFF"/>
        </w:rPr>
        <w:t xml:space="preserve">, M. (2017). </w:t>
      </w:r>
      <w:r w:rsidRPr="0085579F">
        <w:rPr>
          <w:i/>
          <w:iCs/>
          <w:color w:val="000000"/>
          <w:shd w:val="clear" w:color="auto" w:fill="FFFFFF"/>
        </w:rPr>
        <w:t>What is child-led learning?</w:t>
      </w:r>
      <w:r w:rsidRPr="0085579F">
        <w:rPr>
          <w:color w:val="000000"/>
          <w:shd w:val="clear" w:color="auto" w:fill="FFFFFF"/>
        </w:rPr>
        <w:t xml:space="preserve">. Available at: </w:t>
      </w:r>
      <w:hyperlink r:id="rId7" w:history="1">
        <w:r w:rsidRPr="0085579F">
          <w:rPr>
            <w:rStyle w:val="Hyperlink"/>
            <w:color w:val="1155CC"/>
            <w:shd w:val="clear" w:color="auto" w:fill="FFFFFF"/>
          </w:rPr>
          <w:t>https://www.readandspell.com/what-is-child-led-learning</w:t>
        </w:r>
      </w:hyperlink>
      <w:r w:rsidRPr="0085579F">
        <w:rPr>
          <w:color w:val="000000"/>
        </w:rPr>
        <w:t xml:space="preserve"> (Accessed: 29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Coe, R., </w:t>
      </w:r>
      <w:proofErr w:type="spellStart"/>
      <w:r w:rsidRPr="0085579F">
        <w:rPr>
          <w:color w:val="000000"/>
        </w:rPr>
        <w:t>Aloisi</w:t>
      </w:r>
      <w:proofErr w:type="spellEnd"/>
      <w:r w:rsidRPr="0085579F">
        <w:rPr>
          <w:color w:val="000000"/>
        </w:rPr>
        <w:t xml:space="preserve">, C., Higgins, S. and Major, L. E. (2014). </w:t>
      </w:r>
      <w:r w:rsidRPr="0085579F">
        <w:rPr>
          <w:i/>
          <w:iCs/>
          <w:color w:val="000000"/>
        </w:rPr>
        <w:t>What makes great teaching? Review of the underpinning research</w:t>
      </w:r>
      <w:r w:rsidRPr="0085579F">
        <w:rPr>
          <w:color w:val="000000"/>
        </w:rPr>
        <w:t>. Available at:</w:t>
      </w:r>
      <w:r w:rsidRPr="0085579F">
        <w:rPr>
          <w:i/>
          <w:iCs/>
          <w:color w:val="000000"/>
        </w:rPr>
        <w:t xml:space="preserve"> </w:t>
      </w:r>
      <w:hyperlink r:id="rId8" w:history="1">
        <w:r w:rsidRPr="0085579F">
          <w:rPr>
            <w:rStyle w:val="Hyperlink"/>
            <w:color w:val="1155CC"/>
          </w:rPr>
          <w:t>https://www.suttontrust.com/wp-content/uploads/2014/10/What-Makes-Great-Teaching-REPORT.pdf</w:t>
        </w:r>
      </w:hyperlink>
      <w:r w:rsidRPr="0085579F">
        <w:rPr>
          <w:color w:val="000000"/>
        </w:rPr>
        <w:t xml:space="preserve"> (Accessed: 24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Council for Learning Outside the Classroom (2009). </w:t>
      </w:r>
      <w:r w:rsidRPr="0085579F">
        <w:rPr>
          <w:i/>
          <w:iCs/>
          <w:color w:val="000000"/>
        </w:rPr>
        <w:t>Benefits for Early Years of Learning Outside the Classroom</w:t>
      </w:r>
      <w:r w:rsidRPr="0085579F">
        <w:rPr>
          <w:color w:val="000000"/>
        </w:rPr>
        <w:t xml:space="preserve">. Available at: </w:t>
      </w:r>
      <w:hyperlink r:id="rId9" w:history="1">
        <w:r w:rsidRPr="0085579F">
          <w:rPr>
            <w:rStyle w:val="Hyperlink"/>
            <w:color w:val="1155CC"/>
          </w:rPr>
          <w:t>https://www.lotc.org.uk/wp-content/uploads/2010/12/Benefits-for-Early-Years-LOtC-Final-5AUG09.pdf</w:t>
        </w:r>
      </w:hyperlink>
      <w:r w:rsidRPr="0085579F">
        <w:rPr>
          <w:color w:val="000000"/>
        </w:rPr>
        <w:t xml:space="preserve"> (Accessed: 27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Cox, J. (2019). </w:t>
      </w:r>
      <w:r w:rsidRPr="0085579F">
        <w:rPr>
          <w:i/>
          <w:iCs/>
          <w:color w:val="222222"/>
        </w:rPr>
        <w:t>Consistency is Key with Classroom Management</w:t>
      </w:r>
      <w:r w:rsidRPr="0085579F">
        <w:rPr>
          <w:color w:val="222222"/>
        </w:rPr>
        <w:t xml:space="preserve">. Available at: </w:t>
      </w:r>
      <w:hyperlink r:id="rId10" w:history="1">
        <w:r w:rsidRPr="0085579F">
          <w:rPr>
            <w:rStyle w:val="Hyperlink"/>
            <w:color w:val="1155CC"/>
          </w:rPr>
          <w:t>https://www.teachhub.com/consistency-key-classroom-management</w:t>
        </w:r>
      </w:hyperlink>
      <w:r w:rsidRPr="0085579F">
        <w:rPr>
          <w:color w:val="222222"/>
        </w:rPr>
        <w:t xml:space="preserve"> (Accessed: 25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Department for Education (2019). </w:t>
      </w:r>
      <w:r w:rsidRPr="0085579F">
        <w:rPr>
          <w:i/>
          <w:iCs/>
          <w:color w:val="000000"/>
        </w:rPr>
        <w:t xml:space="preserve">Initial teacher training (ITT): criteria and supporting advice. </w:t>
      </w:r>
      <w:r w:rsidRPr="0085579F">
        <w:rPr>
          <w:color w:val="000000"/>
        </w:rPr>
        <w:t xml:space="preserve">Available at: </w:t>
      </w:r>
      <w:hyperlink r:id="rId11" w:history="1">
        <w:r w:rsidRPr="0085579F">
          <w:rPr>
            <w:rStyle w:val="Hyperlink"/>
            <w:color w:val="1155CC"/>
          </w:rPr>
          <w:t>https://www.gov.uk/government/publications/initial-teacher-training-criteria/initial-teacher-training-itt-criteria-and-supporting-advice</w:t>
        </w:r>
      </w:hyperlink>
      <w:r w:rsidRPr="0085579F">
        <w:rPr>
          <w:color w:val="000000"/>
        </w:rPr>
        <w:t xml:space="preserve"> (Accessed: 24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Department for Education and Skills (2015). </w:t>
      </w:r>
      <w:r w:rsidRPr="0085579F">
        <w:rPr>
          <w:i/>
          <w:iCs/>
          <w:color w:val="000000"/>
        </w:rPr>
        <w:t>Curriculum for Wales Foundation Phase Framework (Revised 2015)</w:t>
      </w:r>
      <w:r w:rsidRPr="0085579F">
        <w:rPr>
          <w:color w:val="000000"/>
        </w:rPr>
        <w:t xml:space="preserve">. Cardiff: Welsh Government. Available at: </w:t>
      </w:r>
      <w:hyperlink r:id="rId12" w:history="1">
        <w:r w:rsidRPr="0085579F">
          <w:rPr>
            <w:rStyle w:val="Hyperlink"/>
            <w:color w:val="1155CC"/>
          </w:rPr>
          <w:t>http://gov.wales/docs/dcells/publications/150803-fp-framework-en.pdf</w:t>
        </w:r>
      </w:hyperlink>
      <w:r w:rsidRPr="0085579F">
        <w:rPr>
          <w:color w:val="000000"/>
        </w:rPr>
        <w:t xml:space="preserve"> (Accessed: 24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lastRenderedPageBreak/>
        <w:t xml:space="preserve">Education Development Trust (2014). </w:t>
      </w:r>
      <w:r w:rsidRPr="0085579F">
        <w:rPr>
          <w:i/>
          <w:iCs/>
          <w:color w:val="000000"/>
        </w:rPr>
        <w:t>Effective Teaching</w:t>
      </w:r>
      <w:r w:rsidRPr="0085579F">
        <w:rPr>
          <w:color w:val="000000"/>
        </w:rPr>
        <w:t xml:space="preserve">. Available at: </w:t>
      </w:r>
      <w:hyperlink r:id="rId13" w:history="1">
        <w:r w:rsidRPr="0085579F">
          <w:rPr>
            <w:rStyle w:val="Hyperlink"/>
            <w:color w:val="1155CC"/>
          </w:rPr>
          <w:t>https://www.educationdevelopmenttrust.com/EducationDevelopmentTrust/files/98/98ad6340-0ef6-4e1d-a541-db6018afce7d.pdf</w:t>
        </w:r>
      </w:hyperlink>
      <w:r w:rsidRPr="0085579F">
        <w:rPr>
          <w:color w:val="000000"/>
        </w:rPr>
        <w:t xml:space="preserve"> (Accessed: 25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proofErr w:type="spellStart"/>
      <w:r w:rsidRPr="0085579F">
        <w:rPr>
          <w:color w:val="000000"/>
        </w:rPr>
        <w:t>Ellefson</w:t>
      </w:r>
      <w:proofErr w:type="spellEnd"/>
      <w:r w:rsidRPr="0085579F">
        <w:rPr>
          <w:color w:val="000000"/>
        </w:rPr>
        <w:t xml:space="preserve">, M. R., </w:t>
      </w:r>
      <w:proofErr w:type="spellStart"/>
      <w:r w:rsidRPr="0085579F">
        <w:rPr>
          <w:color w:val="000000"/>
        </w:rPr>
        <w:t>Treiman</w:t>
      </w:r>
      <w:proofErr w:type="spellEnd"/>
      <w:r w:rsidRPr="0085579F">
        <w:rPr>
          <w:color w:val="000000"/>
        </w:rPr>
        <w:t xml:space="preserve">, R. and Kessler, B. (2019). </w:t>
      </w:r>
      <w:r w:rsidRPr="0085579F">
        <w:rPr>
          <w:i/>
          <w:iCs/>
          <w:color w:val="000000"/>
        </w:rPr>
        <w:t>Learning to Label Letters by Sounds or Names: A Comparison of England and the United States</w:t>
      </w:r>
      <w:r w:rsidRPr="0085579F">
        <w:rPr>
          <w:color w:val="000000"/>
        </w:rPr>
        <w:t xml:space="preserve">. Available at: </w:t>
      </w:r>
      <w:hyperlink r:id="rId14" w:history="1">
        <w:r w:rsidRPr="0085579F">
          <w:rPr>
            <w:rStyle w:val="Hyperlink"/>
            <w:color w:val="1155CC"/>
          </w:rPr>
          <w:t>https://www.ncbi.nlm.nih.gov/pmc/articles/PMC2671388/</w:t>
        </w:r>
      </w:hyperlink>
      <w:r w:rsidRPr="0085579F">
        <w:rPr>
          <w:color w:val="000000"/>
        </w:rPr>
        <w:t xml:space="preserve"> (Accessed: 25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Great Schools Partnership (2013). </w:t>
      </w:r>
      <w:r w:rsidRPr="0085579F">
        <w:rPr>
          <w:i/>
          <w:iCs/>
          <w:color w:val="000000"/>
        </w:rPr>
        <w:t>Learning Gap</w:t>
      </w:r>
      <w:r w:rsidRPr="0085579F">
        <w:rPr>
          <w:color w:val="000000"/>
        </w:rPr>
        <w:t xml:space="preserve">. Available at: </w:t>
      </w:r>
      <w:hyperlink r:id="rId15" w:history="1">
        <w:r w:rsidRPr="0085579F">
          <w:rPr>
            <w:rStyle w:val="Hyperlink"/>
            <w:color w:val="1155CC"/>
          </w:rPr>
          <w:t>https://www.edglossary.org/learning-gap/</w:t>
        </w:r>
      </w:hyperlink>
      <w:r w:rsidRPr="0085579F">
        <w:rPr>
          <w:color w:val="000000"/>
        </w:rPr>
        <w:t xml:space="preserve"> (Accessed: 24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Great Schools Partnership (2015). Scaffolding. Available at: </w:t>
      </w:r>
      <w:hyperlink r:id="rId16" w:history="1">
        <w:r w:rsidRPr="0085579F">
          <w:rPr>
            <w:rStyle w:val="Hyperlink"/>
            <w:color w:val="1155CC"/>
          </w:rPr>
          <w:t>https://www.edglossary.org/scaffolding/</w:t>
        </w:r>
      </w:hyperlink>
      <w:r w:rsidRPr="0085579F">
        <w:rPr>
          <w:color w:val="000000"/>
        </w:rPr>
        <w:t xml:space="preserve"> (Accessed: 27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Jarrell. M. (2018). </w:t>
      </w:r>
      <w:r w:rsidRPr="0085579F">
        <w:rPr>
          <w:i/>
          <w:iCs/>
          <w:color w:val="000000"/>
          <w:shd w:val="clear" w:color="auto" w:fill="FFFFFF"/>
        </w:rPr>
        <w:t>Why do you teach letter sounds rather than letter names? (And other good questions about language acquisition…)</w:t>
      </w:r>
      <w:r w:rsidRPr="0085579F">
        <w:rPr>
          <w:color w:val="000000"/>
          <w:shd w:val="clear" w:color="auto" w:fill="FFFFFF"/>
        </w:rPr>
        <w:t xml:space="preserve">. Available at: </w:t>
      </w:r>
      <w:hyperlink r:id="rId17" w:history="1">
        <w:r w:rsidRPr="0085579F">
          <w:rPr>
            <w:rStyle w:val="Hyperlink"/>
            <w:color w:val="1155CC"/>
            <w:shd w:val="clear" w:color="auto" w:fill="FFFFFF"/>
          </w:rPr>
          <w:t>https://greenspringmontessori.org/why-do-you-teach-letter-sounds/</w:t>
        </w:r>
      </w:hyperlink>
      <w:r w:rsidRPr="0085579F">
        <w:rPr>
          <w:color w:val="000000"/>
          <w:shd w:val="clear" w:color="auto" w:fill="FFFFFF"/>
        </w:rPr>
        <w:t xml:space="preserve"> (Accessed: 24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shd w:val="clear" w:color="auto" w:fill="FFFFFF"/>
        </w:rPr>
        <w:t xml:space="preserve">Meyer, B. , Haywood, N. , </w:t>
      </w:r>
      <w:proofErr w:type="spellStart"/>
      <w:r w:rsidRPr="0085579F">
        <w:rPr>
          <w:color w:val="000000"/>
          <w:shd w:val="clear" w:color="auto" w:fill="FFFFFF"/>
        </w:rPr>
        <w:t>Sachdev</w:t>
      </w:r>
      <w:proofErr w:type="spellEnd"/>
      <w:r w:rsidRPr="0085579F">
        <w:rPr>
          <w:color w:val="000000"/>
          <w:shd w:val="clear" w:color="auto" w:fill="FFFFFF"/>
        </w:rPr>
        <w:t xml:space="preserve">, D. and Faraday, S. (2008). </w:t>
      </w:r>
      <w:r w:rsidRPr="0085579F">
        <w:rPr>
          <w:i/>
          <w:iCs/>
          <w:color w:val="000000"/>
          <w:shd w:val="clear" w:color="auto" w:fill="FFFFFF"/>
        </w:rPr>
        <w:t>What is independent learning and what are the benefits for students?</w:t>
      </w:r>
      <w:r w:rsidRPr="0085579F">
        <w:rPr>
          <w:color w:val="000000"/>
          <w:shd w:val="clear" w:color="auto" w:fill="FFFFFF"/>
        </w:rPr>
        <w:t>. Department for Children, Schools and Families Research Report, London.</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shd w:val="clear" w:color="auto" w:fill="FFFFFF"/>
        </w:rPr>
        <w:t xml:space="preserve">McLeod, S. (2018). </w:t>
      </w:r>
      <w:r w:rsidRPr="0085579F">
        <w:rPr>
          <w:i/>
          <w:iCs/>
          <w:color w:val="000000"/>
          <w:shd w:val="clear" w:color="auto" w:fill="FFFFFF"/>
        </w:rPr>
        <w:t>Lev Vygotsky</w:t>
      </w:r>
      <w:r w:rsidRPr="0085579F">
        <w:rPr>
          <w:color w:val="000000"/>
          <w:shd w:val="clear" w:color="auto" w:fill="FFFFFF"/>
        </w:rPr>
        <w:t xml:space="preserve">. Available at: </w:t>
      </w:r>
      <w:hyperlink r:id="rId18" w:history="1">
        <w:r w:rsidRPr="0085579F">
          <w:rPr>
            <w:rStyle w:val="Hyperlink"/>
            <w:color w:val="1155CC"/>
            <w:shd w:val="clear" w:color="auto" w:fill="FFFFFF"/>
          </w:rPr>
          <w:t>https://www.simplypsychology.org/vygotsky.html</w:t>
        </w:r>
      </w:hyperlink>
      <w:r w:rsidRPr="0085579F">
        <w:rPr>
          <w:color w:val="000000"/>
          <w:shd w:val="clear" w:color="auto" w:fill="FFFFFF"/>
        </w:rPr>
        <w:t xml:space="preserve"> (Accessed: 27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shd w:val="clear" w:color="auto" w:fill="FFFFFF"/>
        </w:rPr>
        <w:t xml:space="preserve">McLeod, S. (2019). </w:t>
      </w:r>
      <w:r w:rsidRPr="0085579F">
        <w:rPr>
          <w:i/>
          <w:iCs/>
          <w:color w:val="000000"/>
          <w:shd w:val="clear" w:color="auto" w:fill="FFFFFF"/>
        </w:rPr>
        <w:t>What Is the Zone of Proximal Development?</w:t>
      </w:r>
      <w:r w:rsidRPr="0085579F">
        <w:rPr>
          <w:color w:val="000000"/>
          <w:shd w:val="clear" w:color="auto" w:fill="FFFFFF"/>
        </w:rPr>
        <w:t xml:space="preserve">. Available at: </w:t>
      </w:r>
      <w:hyperlink r:id="rId19" w:history="1">
        <w:r w:rsidRPr="0085579F">
          <w:rPr>
            <w:rStyle w:val="Hyperlink"/>
            <w:color w:val="1155CC"/>
            <w:shd w:val="clear" w:color="auto" w:fill="FFFFFF"/>
          </w:rPr>
          <w:t>https://www.simplypsychology.org/Zone-of-Proximal-Development.html</w:t>
        </w:r>
      </w:hyperlink>
      <w:r w:rsidRPr="0085579F">
        <w:rPr>
          <w:color w:val="000000"/>
          <w:shd w:val="clear" w:color="auto" w:fill="FFFFFF"/>
        </w:rPr>
        <w:t xml:space="preserve"> (Accessed: 29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proofErr w:type="spellStart"/>
      <w:r w:rsidRPr="0085579F">
        <w:rPr>
          <w:color w:val="000000"/>
          <w:shd w:val="clear" w:color="auto" w:fill="FFFFFF"/>
        </w:rPr>
        <w:t>PennState</w:t>
      </w:r>
      <w:proofErr w:type="spellEnd"/>
      <w:r w:rsidRPr="0085579F">
        <w:rPr>
          <w:color w:val="000000"/>
          <w:shd w:val="clear" w:color="auto" w:fill="FFFFFF"/>
        </w:rPr>
        <w:t xml:space="preserve"> Extension (2016). </w:t>
      </w:r>
      <w:r w:rsidRPr="0085579F">
        <w:rPr>
          <w:i/>
          <w:iCs/>
          <w:color w:val="000000"/>
          <w:shd w:val="clear" w:color="auto" w:fill="FFFFFF"/>
        </w:rPr>
        <w:t>Leadership and Children</w:t>
      </w:r>
      <w:r w:rsidRPr="0085579F">
        <w:rPr>
          <w:color w:val="000000"/>
          <w:shd w:val="clear" w:color="auto" w:fill="FFFFFF"/>
        </w:rPr>
        <w:t xml:space="preserve">. Available at: </w:t>
      </w:r>
      <w:hyperlink r:id="rId20" w:history="1">
        <w:r w:rsidRPr="0085579F">
          <w:rPr>
            <w:rStyle w:val="Hyperlink"/>
            <w:color w:val="1155CC"/>
            <w:shd w:val="clear" w:color="auto" w:fill="FFFFFF"/>
          </w:rPr>
          <w:t>http://bkc-od-media.vmhost.psu.edu/documents/tips1505.pdf</w:t>
        </w:r>
      </w:hyperlink>
      <w:r w:rsidRPr="0085579F">
        <w:rPr>
          <w:color w:val="000000"/>
          <w:shd w:val="clear" w:color="auto" w:fill="FFFFFF"/>
        </w:rPr>
        <w:t xml:space="preserve"> (Accessed: 27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shd w:val="clear" w:color="auto" w:fill="FFFFFF"/>
        </w:rPr>
        <w:t xml:space="preserve">Pritchard, A. (2014). </w:t>
      </w:r>
      <w:r w:rsidRPr="0085579F">
        <w:rPr>
          <w:i/>
          <w:iCs/>
          <w:color w:val="000000"/>
          <w:shd w:val="clear" w:color="auto" w:fill="FFFFFF"/>
        </w:rPr>
        <w:t>Ways of Learning: Learning Theories and Learning Styles in The Classroom</w:t>
      </w:r>
      <w:r w:rsidRPr="0085579F">
        <w:rPr>
          <w:color w:val="000000"/>
          <w:shd w:val="clear" w:color="auto" w:fill="FFFFFF"/>
        </w:rPr>
        <w:t xml:space="preserve">. 3rd ed. London: Routledge. Available at: </w:t>
      </w:r>
      <w:hyperlink r:id="rId21" w:history="1">
        <w:r w:rsidRPr="0085579F">
          <w:rPr>
            <w:rStyle w:val="Hyperlink"/>
            <w:color w:val="1155CC"/>
            <w:shd w:val="clear" w:color="auto" w:fill="FFFFFF"/>
          </w:rPr>
          <w:t>https://www-dawsonera-com.ezproxy.uwtsd.ac.uk/readonline/9781315852089</w:t>
        </w:r>
      </w:hyperlink>
      <w:r w:rsidRPr="0085579F">
        <w:rPr>
          <w:color w:val="000000"/>
        </w:rPr>
        <w:t xml:space="preserve"> (Accessed: 25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shd w:val="clear" w:color="auto" w:fill="FFFFFF"/>
        </w:rPr>
        <w:t xml:space="preserve">Shulman, L. (1987). Knowledge and Teaching: Foundations of the New Reform. </w:t>
      </w:r>
      <w:r w:rsidRPr="0085579F">
        <w:rPr>
          <w:i/>
          <w:iCs/>
          <w:color w:val="000000"/>
          <w:shd w:val="clear" w:color="auto" w:fill="FFFFFF"/>
        </w:rPr>
        <w:t>Harvard Educational Review</w:t>
      </w:r>
      <w:r w:rsidRPr="0085579F">
        <w:rPr>
          <w:color w:val="000000"/>
          <w:shd w:val="clear" w:color="auto" w:fill="FFFFFF"/>
        </w:rPr>
        <w:t>, 57(1), pp.1-23.</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Todd, J. (2017). </w:t>
      </w:r>
      <w:r w:rsidRPr="0085579F">
        <w:rPr>
          <w:i/>
          <w:iCs/>
          <w:color w:val="000000"/>
        </w:rPr>
        <w:t>The Value of Concrete Manipulatives is Maths</w:t>
      </w:r>
      <w:r w:rsidRPr="0085579F">
        <w:rPr>
          <w:color w:val="000000"/>
        </w:rPr>
        <w:t xml:space="preserve">. Available at: </w:t>
      </w:r>
      <w:hyperlink r:id="rId22" w:history="1">
        <w:r w:rsidRPr="0085579F">
          <w:rPr>
            <w:rStyle w:val="Hyperlink"/>
            <w:color w:val="1155CC"/>
          </w:rPr>
          <w:t>https://www.tts-group.co.uk/blog/2017/11/23/value-concrete-manipulatives-maths.html</w:t>
        </w:r>
      </w:hyperlink>
      <w:r w:rsidRPr="0085579F">
        <w:rPr>
          <w:color w:val="000000"/>
        </w:rPr>
        <w:t xml:space="preserve"> (Accessed: 26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lastRenderedPageBreak/>
        <w:t xml:space="preserve">Welsh Government (2014). </w:t>
      </w:r>
      <w:r w:rsidRPr="0085579F">
        <w:rPr>
          <w:i/>
          <w:iCs/>
          <w:color w:val="000000"/>
        </w:rPr>
        <w:t>National Literacy and Numeracy Framework</w:t>
      </w:r>
      <w:r w:rsidRPr="0085579F">
        <w:rPr>
          <w:color w:val="000000"/>
        </w:rPr>
        <w:t xml:space="preserve">. Available at: </w:t>
      </w:r>
      <w:hyperlink r:id="rId23" w:history="1">
        <w:r w:rsidRPr="0085579F">
          <w:rPr>
            <w:rStyle w:val="Hyperlink"/>
            <w:color w:val="1155CC"/>
          </w:rPr>
          <w:t>https://learning.gov.wales/resources/browse-all/nlnf/framework?component=numeracy&amp;year=6938344_2&amp;selectedYear=col_7&amp;lang=en</w:t>
        </w:r>
      </w:hyperlink>
      <w:r w:rsidRPr="0085579F">
        <w:rPr>
          <w:color w:val="000000"/>
        </w:rPr>
        <w:t xml:space="preserve"> (Accessed: 26 April 2019)</w:t>
      </w:r>
    </w:p>
    <w:p w:rsidR="0085579F" w:rsidRPr="0085579F" w:rsidRDefault="0085579F">
      <w:pPr>
        <w:rPr>
          <w:rFonts w:ascii="Times New Roman" w:eastAsia="Times New Roman" w:hAnsi="Times New Roman" w:cs="Times New Roman"/>
          <w:sz w:val="24"/>
          <w:szCs w:val="24"/>
        </w:rPr>
      </w:pPr>
    </w:p>
    <w:p w:rsidR="0085579F" w:rsidRPr="0085579F" w:rsidRDefault="0085579F">
      <w:pPr>
        <w:pStyle w:val="NormalWeb"/>
        <w:spacing w:before="0" w:beforeAutospacing="0" w:after="0" w:afterAutospacing="0"/>
      </w:pPr>
      <w:r w:rsidRPr="0085579F">
        <w:rPr>
          <w:color w:val="000000"/>
        </w:rPr>
        <w:t xml:space="preserve">Welsh Government (2018). </w:t>
      </w:r>
      <w:proofErr w:type="spellStart"/>
      <w:r w:rsidRPr="0085579F">
        <w:rPr>
          <w:i/>
          <w:iCs/>
          <w:color w:val="000000"/>
        </w:rPr>
        <w:t>StatsWales</w:t>
      </w:r>
      <w:proofErr w:type="spellEnd"/>
      <w:r w:rsidRPr="0085579F">
        <w:rPr>
          <w:color w:val="000000"/>
        </w:rPr>
        <w:t xml:space="preserve">. Available at: </w:t>
      </w:r>
      <w:hyperlink r:id="rId24" w:history="1">
        <w:r w:rsidRPr="0085579F">
          <w:rPr>
            <w:rStyle w:val="Hyperlink"/>
            <w:color w:val="1155CC"/>
          </w:rPr>
          <w:t>https://statswales.gov.wales/Catalogue/Education-and-Skills/Schools-and-Teachers/Examinations-and-Assessments/Foundation-Phase/nationallevelresults-by-areaoflearning-outcome</w:t>
        </w:r>
      </w:hyperlink>
      <w:r w:rsidRPr="0085579F">
        <w:rPr>
          <w:color w:val="000000"/>
        </w:rPr>
        <w:t xml:space="preserve"> (Accessed: 24 April 2019)</w:t>
      </w:r>
    </w:p>
    <w:p w:rsidR="0085579F" w:rsidRPr="0085579F" w:rsidRDefault="0085579F">
      <w:pPr>
        <w:rPr>
          <w:rFonts w:ascii="Times New Roman" w:hAnsi="Times New Roman" w:cs="Times New Roman"/>
          <w:sz w:val="24"/>
          <w:szCs w:val="24"/>
        </w:rPr>
      </w:pPr>
      <w:r w:rsidRPr="0085579F">
        <w:rPr>
          <w:rFonts w:ascii="Times New Roman" w:eastAsia="Times New Roman" w:hAnsi="Times New Roman" w:cs="Times New Roman"/>
          <w:sz w:val="24"/>
          <w:szCs w:val="24"/>
        </w:rPr>
        <w:br/>
      </w:r>
      <w:r w:rsidRPr="0085579F">
        <w:rPr>
          <w:rFonts w:ascii="Times New Roman" w:eastAsia="Times New Roman" w:hAnsi="Times New Roman" w:cs="Times New Roman"/>
          <w:color w:val="000000"/>
          <w:sz w:val="24"/>
          <w:szCs w:val="24"/>
        </w:rPr>
        <w:t xml:space="preserve">Wood, J. and McLemore, B. (2001). </w:t>
      </w:r>
      <w:r w:rsidRPr="0085579F">
        <w:rPr>
          <w:rFonts w:ascii="Times New Roman" w:eastAsia="Times New Roman" w:hAnsi="Times New Roman" w:cs="Times New Roman"/>
          <w:i/>
          <w:iCs/>
          <w:color w:val="000000"/>
          <w:sz w:val="24"/>
          <w:szCs w:val="24"/>
        </w:rPr>
        <w:t>Critical Components in Early Literacy — Knowledge of the Letters of the Alphabet and Phonics Instruction</w:t>
      </w:r>
      <w:r w:rsidRPr="0085579F">
        <w:rPr>
          <w:rFonts w:ascii="Times New Roman" w:eastAsia="Times New Roman" w:hAnsi="Times New Roman" w:cs="Times New Roman"/>
          <w:color w:val="000000"/>
          <w:sz w:val="24"/>
          <w:szCs w:val="24"/>
        </w:rPr>
        <w:t>. Available at:</w:t>
      </w:r>
      <w:r w:rsidRPr="0085579F">
        <w:rPr>
          <w:rFonts w:ascii="Times New Roman" w:eastAsia="Times New Roman" w:hAnsi="Times New Roman" w:cs="Times New Roman"/>
          <w:i/>
          <w:iCs/>
          <w:color w:val="000000"/>
          <w:sz w:val="24"/>
          <w:szCs w:val="24"/>
        </w:rPr>
        <w:t xml:space="preserve"> </w:t>
      </w:r>
      <w:hyperlink r:id="rId25" w:history="1">
        <w:r w:rsidRPr="0085579F">
          <w:rPr>
            <w:rStyle w:val="Hyperlink"/>
            <w:rFonts w:ascii="Times New Roman" w:eastAsia="Times New Roman" w:hAnsi="Times New Roman" w:cs="Times New Roman"/>
            <w:color w:val="1155CC"/>
            <w:sz w:val="24"/>
            <w:szCs w:val="24"/>
          </w:rPr>
          <w:t>https://www.unf.edu/uploadedFiles/aa/fie/Woodarticle.pdf</w:t>
        </w:r>
      </w:hyperlink>
      <w:r w:rsidRPr="0085579F">
        <w:rPr>
          <w:rFonts w:ascii="Times New Roman" w:eastAsia="Times New Roman" w:hAnsi="Times New Roman" w:cs="Times New Roman"/>
          <w:color w:val="000000"/>
          <w:sz w:val="24"/>
          <w:szCs w:val="24"/>
        </w:rPr>
        <w:t xml:space="preserve"> (Accessed: 24 April 2019)</w:t>
      </w:r>
    </w:p>
    <w:sectPr w:rsidR="0085579F" w:rsidRPr="008557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79F"/>
    <w:rsid w:val="007A23FA"/>
    <w:rsid w:val="0085579F"/>
    <w:rsid w:val="008819FC"/>
    <w:rsid w:val="00B11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36F714"/>
  <w15:chartTrackingRefBased/>
  <w15:docId w15:val="{AC6A0379-D542-7146-AE55-BDA670E2F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579F"/>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85579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ttontrust.com/wp-content/uploads/2014/10/What-Makes-Great-Teaching-REPORT.pdf" TargetMode="External" /><Relationship Id="rId13" Type="http://schemas.openxmlformats.org/officeDocument/2006/relationships/hyperlink" Target="https://www.educationdevelopmenttrust.com/EducationDevelopmentTrust/files/98/98ad6340-0ef6-4e1d-a541-db6018afce7d.pdf" TargetMode="External" /><Relationship Id="rId18" Type="http://schemas.openxmlformats.org/officeDocument/2006/relationships/hyperlink" Target="https://www.simplypsychology.org/vygotsky.html" TargetMode="External" /><Relationship Id="rId26" Type="http://schemas.openxmlformats.org/officeDocument/2006/relationships/fontTable" Target="fontTable.xml" /><Relationship Id="rId3" Type="http://schemas.openxmlformats.org/officeDocument/2006/relationships/webSettings" Target="webSettings.xml" /><Relationship Id="rId21" Type="http://schemas.openxmlformats.org/officeDocument/2006/relationships/hyperlink" Target="https://www-dawsonera-com.ezproxy.uwtsd.ac.uk/readonline/9781315852089" TargetMode="External" /><Relationship Id="rId7" Type="http://schemas.openxmlformats.org/officeDocument/2006/relationships/hyperlink" Target="https://www.readandspell.com/what-is-child-led-learning" TargetMode="External" /><Relationship Id="rId12" Type="http://schemas.openxmlformats.org/officeDocument/2006/relationships/hyperlink" Target="http://gov.wales/docs/dcells/publications/150803-fp-framework-en.pdf" TargetMode="External" /><Relationship Id="rId17" Type="http://schemas.openxmlformats.org/officeDocument/2006/relationships/hyperlink" Target="https://greenspringmontessori.org/why-do-you-teach-letter-sounds/" TargetMode="External" /><Relationship Id="rId25" Type="http://schemas.openxmlformats.org/officeDocument/2006/relationships/hyperlink" Target="https://www.unf.edu/uploadedFiles/aa/fie/Woodarticle.pdf" TargetMode="External" /><Relationship Id="rId2" Type="http://schemas.openxmlformats.org/officeDocument/2006/relationships/settings" Target="settings.xml" /><Relationship Id="rId16" Type="http://schemas.openxmlformats.org/officeDocument/2006/relationships/hyperlink" Target="https://www.edglossary.org/scaffolding/" TargetMode="External" /><Relationship Id="rId20" Type="http://schemas.openxmlformats.org/officeDocument/2006/relationships/hyperlink" Target="http://bkc-od-media.vmhost.psu.edu/documents/tips1505.pdf" TargetMode="External" /><Relationship Id="rId1" Type="http://schemas.openxmlformats.org/officeDocument/2006/relationships/styles" Target="styles.xml" /><Relationship Id="rId6" Type="http://schemas.openxmlformats.org/officeDocument/2006/relationships/hyperlink" Target="https://gsi.berkeley.edu/gsi-guide-contents/learning-theory-research/social-constructivism/" TargetMode="External" /><Relationship Id="rId11" Type="http://schemas.openxmlformats.org/officeDocument/2006/relationships/hyperlink" Target="https://www.gov.uk/government/publications/initial-teacher-training-criteria/initial-teacher-training-itt-criteria-and-supporting-advice" TargetMode="External" /><Relationship Id="rId24" Type="http://schemas.openxmlformats.org/officeDocument/2006/relationships/hyperlink" Target="https://statswales.gov.wales/Catalogue/Education-and-Skills/Schools-and-Teachers/Examinations-and-Assessments/Foundation-Phase/nationallevelresults-by-areaoflearning-outcome" TargetMode="External" /><Relationship Id="rId5" Type="http://schemas.openxmlformats.org/officeDocument/2006/relationships/hyperlink" Target="https://www.psychologicalscience.org/news/releases/monkey-see-monkey-do-the-role-of-mirror-neurons-in-human-behavior.html" TargetMode="External" /><Relationship Id="rId15" Type="http://schemas.openxmlformats.org/officeDocument/2006/relationships/hyperlink" Target="https://www.edglossary.org/learning-gap/" TargetMode="External" /><Relationship Id="rId23" Type="http://schemas.openxmlformats.org/officeDocument/2006/relationships/hyperlink" Target="https://learning.gov.wales/resources/browse-all/nlnf/framework?component=numeracy&amp;year=6938344_2&amp;selectedYear=col_7&amp;lang=en" TargetMode="External" /><Relationship Id="rId10" Type="http://schemas.openxmlformats.org/officeDocument/2006/relationships/hyperlink" Target="https://www.teachhub.com/consistency-key-classroom-management" TargetMode="External" /><Relationship Id="rId19" Type="http://schemas.openxmlformats.org/officeDocument/2006/relationships/hyperlink" Target="https://www.simplypsychology.org/Zone-of-Proximal-Development.html" TargetMode="External" /><Relationship Id="rId4" Type="http://schemas.openxmlformats.org/officeDocument/2006/relationships/hyperlink" Target="http://www.actforlibraries.org/math-manipulatives-unifix-cubes-value-of-learning-educational-resources-geometric/" TargetMode="External" /><Relationship Id="rId9" Type="http://schemas.openxmlformats.org/officeDocument/2006/relationships/hyperlink" Target="https://www.lotc.org.uk/wp-content/uploads/2010/12/Benefits-for-Early-Years-LOtC-Final-5AUG09.pdf" TargetMode="External" /><Relationship Id="rId14" Type="http://schemas.openxmlformats.org/officeDocument/2006/relationships/hyperlink" Target="https://www.ncbi.nlm.nih.gov/pmc/articles/PMC2671388/" TargetMode="External" /><Relationship Id="rId22" Type="http://schemas.openxmlformats.org/officeDocument/2006/relationships/hyperlink" Target="https://www.tts-group.co.uk/blog/2017/11/23/value-concrete-manipulatives-maths.html"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3674</Words>
  <Characters>20945</Characters>
  <Application>Microsoft Office Word</Application>
  <DocSecurity>0</DocSecurity>
  <Lines>174</Lines>
  <Paragraphs>49</Paragraphs>
  <ScaleCrop>false</ScaleCrop>
  <Company/>
  <LinksUpToDate>false</LinksUpToDate>
  <CharactersWithSpaces>24570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Chivers (1801265)</dc:creator>
  <cp:keywords/>
  <dc:description/>
  <cp:lastModifiedBy>Samuel Chivers (1801265)</cp:lastModifiedBy>
  <cp:revision>2</cp:revision>
  <dcterms:created xsi:type="dcterms:W3CDTF">2019-04-29T21:48:00Z</dcterms:created>
  <dcterms:modified xsi:type="dcterms:W3CDTF">2019-04-29T21:48:00Z</dcterms:modified>
</cp:coreProperties>
</file>