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0C14AD" w14:textId="77777777" w:rsidR="00C361D5" w:rsidRPr="00C361D5" w:rsidRDefault="00C361D5" w:rsidP="00C361D5">
      <w:pPr>
        <w:tabs>
          <w:tab w:val="left" w:pos="2556"/>
        </w:tabs>
        <w:spacing w:before="100" w:beforeAutospacing="1" w:after="100" w:afterAutospacing="1" w:line="240" w:lineRule="auto"/>
        <w:rPr>
          <w:rFonts w:ascii="Arial" w:eastAsia="Times New Roman" w:hAnsi="Arial" w:cs="Arial"/>
          <w:b/>
          <w:bCs/>
          <w:sz w:val="24"/>
          <w:szCs w:val="24"/>
          <w:lang w:eastAsia="en-GB"/>
        </w:rPr>
      </w:pPr>
      <w:r w:rsidRPr="00C361D5">
        <w:rPr>
          <w:rFonts w:ascii="Arial" w:eastAsia="Times New Roman" w:hAnsi="Arial" w:cs="Arial"/>
          <w:b/>
          <w:bCs/>
          <w:sz w:val="24"/>
          <w:szCs w:val="24"/>
          <w:lang w:eastAsia="en-GB"/>
        </w:rPr>
        <w:t>Email-1-AC1.1:</w:t>
      </w:r>
      <w:r w:rsidRPr="00C361D5">
        <w:rPr>
          <w:rFonts w:ascii="Arial" w:eastAsia="Times New Roman" w:hAnsi="Arial" w:cs="Arial"/>
          <w:b/>
          <w:bCs/>
          <w:sz w:val="24"/>
          <w:szCs w:val="24"/>
          <w:lang w:eastAsia="en-GB"/>
        </w:rPr>
        <w:tab/>
      </w:r>
    </w:p>
    <w:p w14:paraId="20820C56" w14:textId="5E4E20C2" w:rsidR="00C361D5" w:rsidRPr="00C361D5" w:rsidRDefault="00C361D5" w:rsidP="00C361D5">
      <w:pPr>
        <w:spacing w:before="100" w:beforeAutospacing="1" w:after="100" w:afterAutospacing="1" w:line="240" w:lineRule="auto"/>
        <w:rPr>
          <w:rFonts w:ascii="Arial" w:eastAsia="Times New Roman" w:hAnsi="Arial" w:cs="Arial"/>
          <w:sz w:val="24"/>
          <w:szCs w:val="24"/>
          <w:lang w:eastAsia="en-GB"/>
        </w:rPr>
      </w:pPr>
      <w:r w:rsidRPr="00C361D5">
        <w:rPr>
          <w:rFonts w:ascii="Arial" w:eastAsia="Times New Roman" w:hAnsi="Arial" w:cs="Arial"/>
          <w:sz w:val="24"/>
          <w:szCs w:val="24"/>
          <w:lang w:eastAsia="en-GB"/>
        </w:rPr>
        <w:t>Thank you for raising your concerns</w:t>
      </w:r>
      <w:r w:rsidR="00296A92">
        <w:rPr>
          <w:rFonts w:ascii="Arial" w:eastAsia="Times New Roman" w:hAnsi="Arial" w:cs="Arial"/>
          <w:sz w:val="24"/>
          <w:szCs w:val="24"/>
          <w:lang w:eastAsia="en-GB"/>
        </w:rPr>
        <w:t>.</w:t>
      </w:r>
      <w:r w:rsidRPr="00C361D5">
        <w:rPr>
          <w:rFonts w:ascii="Arial" w:eastAsia="Times New Roman" w:hAnsi="Arial" w:cs="Arial"/>
          <w:sz w:val="24"/>
          <w:szCs w:val="24"/>
          <w:lang w:eastAsia="en-GB"/>
        </w:rPr>
        <w:t xml:space="preserve"> I recognise the demands these place on managers and would like to explain their importance in protecting the Trust and its employees.  </w:t>
      </w:r>
    </w:p>
    <w:p w14:paraId="382010C4" w14:textId="71048D50" w:rsidR="00C361D5" w:rsidRPr="00C361D5" w:rsidRDefault="00C361D5" w:rsidP="00C361D5">
      <w:pPr>
        <w:spacing w:before="100" w:beforeAutospacing="1" w:after="100" w:afterAutospacing="1" w:line="240" w:lineRule="auto"/>
        <w:rPr>
          <w:rFonts w:ascii="Arial" w:eastAsia="Times New Roman" w:hAnsi="Arial" w:cs="Arial"/>
          <w:sz w:val="24"/>
          <w:szCs w:val="24"/>
          <w:lang w:eastAsia="en-GB"/>
        </w:rPr>
      </w:pPr>
      <w:r w:rsidRPr="00C361D5">
        <w:rPr>
          <w:rFonts w:ascii="Arial" w:eastAsia="Times New Roman" w:hAnsi="Arial" w:cs="Arial"/>
          <w:sz w:val="24"/>
          <w:szCs w:val="24"/>
          <w:lang w:eastAsia="en-GB"/>
        </w:rPr>
        <w:t>Employment regulations provide the legal framework for managing areas such as equality, pay, working time, health and safety and dismissal, ensuring a fair, safe and legally compliant workforce</w:t>
      </w:r>
      <w:r w:rsidR="00E9731B">
        <w:rPr>
          <w:rFonts w:ascii="Arial" w:eastAsia="Times New Roman" w:hAnsi="Arial" w:cs="Arial"/>
          <w:sz w:val="24"/>
          <w:szCs w:val="24"/>
          <w:lang w:eastAsia="en-GB"/>
        </w:rPr>
        <w:t xml:space="preserve">.  This </w:t>
      </w:r>
      <w:r w:rsidRPr="00C361D5">
        <w:rPr>
          <w:rFonts w:ascii="Arial" w:eastAsia="Times New Roman" w:hAnsi="Arial" w:cs="Arial"/>
          <w:sz w:val="24"/>
          <w:szCs w:val="24"/>
          <w:lang w:eastAsia="en-GB"/>
        </w:rPr>
        <w:t xml:space="preserve">is particularly important for the Trust given its size, duty of care and public </w:t>
      </w:r>
      <w:r w:rsidR="00E9731B" w:rsidRPr="00C361D5">
        <w:rPr>
          <w:rFonts w:ascii="Arial" w:eastAsia="Times New Roman" w:hAnsi="Arial" w:cs="Arial"/>
          <w:sz w:val="24"/>
          <w:szCs w:val="24"/>
          <w:lang w:eastAsia="en-GB"/>
        </w:rPr>
        <w:t>s</w:t>
      </w:r>
      <w:r w:rsidR="00E9731B">
        <w:rPr>
          <w:rFonts w:ascii="Arial" w:eastAsia="Times New Roman" w:hAnsi="Arial" w:cs="Arial"/>
          <w:sz w:val="24"/>
          <w:szCs w:val="24"/>
          <w:lang w:eastAsia="en-GB"/>
        </w:rPr>
        <w:t>crutiny</w:t>
      </w:r>
      <w:r w:rsidRPr="00C361D5">
        <w:rPr>
          <w:rFonts w:ascii="Arial" w:eastAsia="Times New Roman" w:hAnsi="Arial" w:cs="Arial"/>
          <w:sz w:val="24"/>
          <w:szCs w:val="24"/>
          <w:lang w:eastAsia="en-GB"/>
        </w:rPr>
        <w:t xml:space="preserve">.  </w:t>
      </w:r>
    </w:p>
    <w:p w14:paraId="412FFAA8" w14:textId="017B6471" w:rsidR="00C361D5" w:rsidRPr="00C361D5" w:rsidRDefault="00304213" w:rsidP="00C361D5">
      <w:pPr>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Th</w:t>
      </w:r>
      <w:r w:rsidR="00C648C3">
        <w:rPr>
          <w:rFonts w:ascii="Arial" w:eastAsia="Times New Roman" w:hAnsi="Arial" w:cs="Arial"/>
          <w:sz w:val="24"/>
          <w:szCs w:val="24"/>
          <w:lang w:eastAsia="en-GB"/>
        </w:rPr>
        <w:t>ese</w:t>
      </w:r>
      <w:r>
        <w:rPr>
          <w:rFonts w:ascii="Arial" w:eastAsia="Times New Roman" w:hAnsi="Arial" w:cs="Arial"/>
          <w:sz w:val="24"/>
          <w:szCs w:val="24"/>
          <w:lang w:eastAsia="en-GB"/>
        </w:rPr>
        <w:t xml:space="preserve"> regulations protect employees’ </w:t>
      </w:r>
      <w:r w:rsidR="00C361D5" w:rsidRPr="00C361D5">
        <w:rPr>
          <w:rFonts w:ascii="Arial" w:eastAsia="Times New Roman" w:hAnsi="Arial" w:cs="Arial"/>
          <w:sz w:val="24"/>
          <w:szCs w:val="24"/>
          <w:lang w:eastAsia="en-GB"/>
        </w:rPr>
        <w:t>rights by setting minimum standards that promote fair, lawful treatment, reduce inequality and support organisational effectiveness across the Trust. This is supported by proposed law reforms, which aim to strengthen employee protections, promote pay, equity and improve job security and wellbeing, reinforcing employment practices, Jacobs (2025).</w:t>
      </w:r>
    </w:p>
    <w:p w14:paraId="68AFD57F" w14:textId="15C426DC" w:rsidR="00C361D5" w:rsidRPr="00C361D5" w:rsidRDefault="00C361D5" w:rsidP="00C361D5">
      <w:pPr>
        <w:spacing w:before="100" w:beforeAutospacing="1" w:after="100" w:afterAutospacing="1" w:line="240" w:lineRule="auto"/>
        <w:rPr>
          <w:rFonts w:ascii="Arial" w:eastAsia="Times New Roman" w:hAnsi="Arial" w:cs="Arial"/>
          <w:sz w:val="24"/>
          <w:szCs w:val="24"/>
          <w:lang w:eastAsia="en-GB"/>
        </w:rPr>
      </w:pPr>
      <w:r w:rsidRPr="00C361D5">
        <w:rPr>
          <w:rFonts w:ascii="Arial" w:eastAsia="Times New Roman" w:hAnsi="Arial" w:cs="Arial"/>
          <w:sz w:val="24"/>
          <w:szCs w:val="24"/>
          <w:lang w:eastAsia="en-GB"/>
        </w:rPr>
        <w:t>One objective of the</w:t>
      </w:r>
      <w:r w:rsidR="00AF5A75">
        <w:rPr>
          <w:rFonts w:ascii="Arial" w:eastAsia="Times New Roman" w:hAnsi="Arial" w:cs="Arial"/>
          <w:sz w:val="24"/>
          <w:szCs w:val="24"/>
          <w:lang w:eastAsia="en-GB"/>
        </w:rPr>
        <w:t xml:space="preserve"> Equality Act 2010</w:t>
      </w:r>
      <w:r w:rsidRPr="00C361D5">
        <w:rPr>
          <w:rFonts w:ascii="Arial" w:eastAsia="Times New Roman" w:hAnsi="Arial" w:cs="Arial"/>
          <w:sz w:val="24"/>
          <w:szCs w:val="24"/>
          <w:lang w:eastAsia="en-GB"/>
        </w:rPr>
        <w:t xml:space="preserve"> is the prevention of discrimination.  This ensures fair recruitment, promotion and disciplinary processes</w:t>
      </w:r>
      <w:r w:rsidR="00314252">
        <w:rPr>
          <w:rFonts w:ascii="Arial" w:eastAsia="Times New Roman" w:hAnsi="Arial" w:cs="Arial"/>
          <w:sz w:val="24"/>
          <w:szCs w:val="24"/>
          <w:lang w:eastAsia="en-GB"/>
        </w:rPr>
        <w:t>,</w:t>
      </w:r>
      <w:r w:rsidRPr="00C361D5">
        <w:rPr>
          <w:rFonts w:ascii="Arial" w:eastAsia="Times New Roman" w:hAnsi="Arial" w:cs="Arial"/>
          <w:sz w:val="24"/>
          <w:szCs w:val="24"/>
          <w:lang w:eastAsia="en-GB"/>
        </w:rPr>
        <w:t xml:space="preserve"> support</w:t>
      </w:r>
      <w:r w:rsidR="00314252">
        <w:rPr>
          <w:rFonts w:ascii="Arial" w:eastAsia="Times New Roman" w:hAnsi="Arial" w:cs="Arial"/>
          <w:sz w:val="24"/>
          <w:szCs w:val="24"/>
          <w:lang w:eastAsia="en-GB"/>
        </w:rPr>
        <w:t>ing</w:t>
      </w:r>
      <w:r w:rsidRPr="00C361D5">
        <w:rPr>
          <w:rFonts w:ascii="Arial" w:eastAsia="Times New Roman" w:hAnsi="Arial" w:cs="Arial"/>
          <w:sz w:val="24"/>
          <w:szCs w:val="24"/>
          <w:lang w:eastAsia="en-GB"/>
        </w:rPr>
        <w:t xml:space="preserve"> an inclusive workplace and protecting minority groups from unequal treatment.  This helps balance power between the Trust and employees, particularly where representation is limited.    </w:t>
      </w:r>
    </w:p>
    <w:p w14:paraId="3C9E5A81" w14:textId="10ABC610" w:rsidR="00C361D5" w:rsidRPr="00C361D5" w:rsidRDefault="00C361D5" w:rsidP="00C361D5">
      <w:pPr>
        <w:spacing w:before="100" w:beforeAutospacing="1" w:after="100" w:afterAutospacing="1" w:line="240" w:lineRule="auto"/>
        <w:rPr>
          <w:rFonts w:ascii="Arial" w:eastAsia="Times New Roman" w:hAnsi="Arial" w:cs="Arial"/>
          <w:sz w:val="24"/>
          <w:szCs w:val="24"/>
          <w:lang w:eastAsia="en-GB"/>
        </w:rPr>
      </w:pPr>
      <w:r w:rsidRPr="00C361D5">
        <w:rPr>
          <w:rFonts w:ascii="Arial" w:eastAsia="Times New Roman" w:hAnsi="Arial" w:cs="Arial"/>
          <w:sz w:val="24"/>
          <w:szCs w:val="24"/>
          <w:lang w:eastAsia="en-GB"/>
        </w:rPr>
        <w:t>Another objective is to ensure fair pay and working conditions through legislation such a</w:t>
      </w:r>
      <w:r w:rsidR="009705B7">
        <w:rPr>
          <w:rFonts w:ascii="Arial" w:eastAsia="Times New Roman" w:hAnsi="Arial" w:cs="Arial"/>
          <w:sz w:val="24"/>
          <w:szCs w:val="24"/>
          <w:lang w:eastAsia="en-GB"/>
        </w:rPr>
        <w:t>s</w:t>
      </w:r>
      <w:r w:rsidRPr="00C361D5">
        <w:rPr>
          <w:rFonts w:ascii="Arial" w:eastAsia="Times New Roman" w:hAnsi="Arial" w:cs="Arial"/>
          <w:sz w:val="24"/>
          <w:szCs w:val="24"/>
          <w:lang w:eastAsia="en-GB"/>
        </w:rPr>
        <w:t xml:space="preserve"> the National Minimum Wage</w:t>
      </w:r>
      <w:r w:rsidR="00007EB0">
        <w:rPr>
          <w:rFonts w:ascii="Arial" w:eastAsia="Times New Roman" w:hAnsi="Arial" w:cs="Arial"/>
          <w:sz w:val="24"/>
          <w:szCs w:val="24"/>
          <w:lang w:eastAsia="en-GB"/>
        </w:rPr>
        <w:t xml:space="preserve"> Act 1998</w:t>
      </w:r>
      <w:r w:rsidRPr="00C361D5">
        <w:rPr>
          <w:rFonts w:ascii="Arial" w:eastAsia="Times New Roman" w:hAnsi="Arial" w:cs="Arial"/>
          <w:sz w:val="24"/>
          <w:szCs w:val="24"/>
          <w:lang w:eastAsia="en-GB"/>
        </w:rPr>
        <w:t xml:space="preserve"> and Working Time </w:t>
      </w:r>
      <w:r w:rsidR="00007EB0">
        <w:rPr>
          <w:rFonts w:ascii="Arial" w:eastAsia="Times New Roman" w:hAnsi="Arial" w:cs="Arial"/>
          <w:sz w:val="24"/>
          <w:szCs w:val="24"/>
          <w:lang w:eastAsia="en-GB"/>
        </w:rPr>
        <w:t>R</w:t>
      </w:r>
      <w:r w:rsidRPr="00C361D5">
        <w:rPr>
          <w:rFonts w:ascii="Arial" w:eastAsia="Times New Roman" w:hAnsi="Arial" w:cs="Arial"/>
          <w:sz w:val="24"/>
          <w:szCs w:val="24"/>
          <w:lang w:eastAsia="en-GB"/>
        </w:rPr>
        <w:t>egulations</w:t>
      </w:r>
      <w:r w:rsidR="00007EB0">
        <w:rPr>
          <w:rFonts w:ascii="Arial" w:eastAsia="Times New Roman" w:hAnsi="Arial" w:cs="Arial"/>
          <w:sz w:val="24"/>
          <w:szCs w:val="24"/>
          <w:lang w:eastAsia="en-GB"/>
        </w:rPr>
        <w:t xml:space="preserve"> 1998</w:t>
      </w:r>
      <w:r w:rsidR="00AE4365">
        <w:rPr>
          <w:rFonts w:ascii="Arial" w:eastAsia="Times New Roman" w:hAnsi="Arial" w:cs="Arial"/>
          <w:sz w:val="24"/>
          <w:szCs w:val="24"/>
          <w:lang w:eastAsia="en-GB"/>
        </w:rPr>
        <w:t>.  These</w:t>
      </w:r>
      <w:r w:rsidRPr="00C361D5">
        <w:rPr>
          <w:rFonts w:ascii="Arial" w:eastAsia="Times New Roman" w:hAnsi="Arial" w:cs="Arial"/>
          <w:sz w:val="24"/>
          <w:szCs w:val="24"/>
          <w:lang w:eastAsia="en-GB"/>
        </w:rPr>
        <w:t xml:space="preserve"> measures help the Trust to prevent excessive working hours and fatigue</w:t>
      </w:r>
      <w:r w:rsidR="004E6649">
        <w:rPr>
          <w:rFonts w:ascii="Arial" w:eastAsia="Times New Roman" w:hAnsi="Arial" w:cs="Arial"/>
          <w:sz w:val="24"/>
          <w:szCs w:val="24"/>
          <w:lang w:eastAsia="en-GB"/>
        </w:rPr>
        <w:t>, which</w:t>
      </w:r>
      <w:r w:rsidRPr="00C361D5">
        <w:rPr>
          <w:rFonts w:ascii="Arial" w:eastAsia="Times New Roman" w:hAnsi="Arial" w:cs="Arial"/>
          <w:sz w:val="24"/>
          <w:szCs w:val="24"/>
          <w:lang w:eastAsia="en-GB"/>
        </w:rPr>
        <w:t xml:space="preserve"> can reduce performance.  </w:t>
      </w:r>
    </w:p>
    <w:p w14:paraId="2202D9E3" w14:textId="3E6E0842" w:rsidR="00C361D5" w:rsidRPr="00C361D5" w:rsidRDefault="00C361D5" w:rsidP="00C361D5">
      <w:pPr>
        <w:spacing w:before="100" w:beforeAutospacing="1" w:after="100" w:afterAutospacing="1" w:line="240" w:lineRule="auto"/>
        <w:rPr>
          <w:rFonts w:ascii="Arial" w:eastAsia="Times New Roman" w:hAnsi="Arial" w:cs="Arial"/>
          <w:sz w:val="24"/>
          <w:szCs w:val="24"/>
          <w:lang w:eastAsia="en-GB"/>
        </w:rPr>
      </w:pPr>
      <w:r w:rsidRPr="00C361D5">
        <w:rPr>
          <w:rFonts w:ascii="Arial" w:eastAsia="Times New Roman" w:hAnsi="Arial" w:cs="Arial"/>
          <w:sz w:val="24"/>
          <w:szCs w:val="24"/>
          <w:lang w:eastAsia="en-GB"/>
        </w:rPr>
        <w:t>Employment law supports employee protection such as job security by ensuring the Trust has fair procedures in place for dismissal, protecting employees from unfair treatment.  The CIPD (2025</w:t>
      </w:r>
      <w:r w:rsidR="00FB0985">
        <w:rPr>
          <w:rFonts w:ascii="Arial" w:eastAsia="Times New Roman" w:hAnsi="Arial" w:cs="Arial"/>
          <w:sz w:val="24"/>
          <w:szCs w:val="24"/>
          <w:lang w:eastAsia="en-GB"/>
        </w:rPr>
        <w:t>a</w:t>
      </w:r>
      <w:r w:rsidRPr="00C361D5">
        <w:rPr>
          <w:rFonts w:ascii="Arial" w:eastAsia="Times New Roman" w:hAnsi="Arial" w:cs="Arial"/>
          <w:sz w:val="24"/>
          <w:szCs w:val="24"/>
          <w:lang w:eastAsia="en-GB"/>
        </w:rPr>
        <w:t>) provides guidance on employment law issues from recruitment through to disciplinary procedures, which would support you</w:t>
      </w:r>
      <w:r w:rsidR="0052549C">
        <w:rPr>
          <w:rFonts w:ascii="Arial" w:eastAsia="Times New Roman" w:hAnsi="Arial" w:cs="Arial"/>
          <w:sz w:val="24"/>
          <w:szCs w:val="24"/>
          <w:lang w:eastAsia="en-GB"/>
        </w:rPr>
        <w:t xml:space="preserve"> </w:t>
      </w:r>
      <w:r w:rsidRPr="00C361D5">
        <w:rPr>
          <w:rFonts w:ascii="Arial" w:eastAsia="Times New Roman" w:hAnsi="Arial" w:cs="Arial"/>
          <w:sz w:val="24"/>
          <w:szCs w:val="24"/>
          <w:lang w:eastAsia="en-GB"/>
        </w:rPr>
        <w:t xml:space="preserve">in applying these requirements consistently and lawfully.   Although such protections may discourage recruitment due to risks and costs, clear and consistent procedures help prevent disputes and support long-term stability. As Daniels (2025) explains, the formation and structure of employment law </w:t>
      </w:r>
      <w:r w:rsidR="005F38EA" w:rsidRPr="00C361D5">
        <w:rPr>
          <w:rFonts w:ascii="Arial" w:eastAsia="Times New Roman" w:hAnsi="Arial" w:cs="Arial"/>
          <w:sz w:val="24"/>
          <w:szCs w:val="24"/>
          <w:lang w:eastAsia="en-GB"/>
        </w:rPr>
        <w:t>underpin</w:t>
      </w:r>
      <w:r w:rsidRPr="00C361D5">
        <w:rPr>
          <w:rFonts w:ascii="Arial" w:eastAsia="Times New Roman" w:hAnsi="Arial" w:cs="Arial"/>
          <w:sz w:val="24"/>
          <w:szCs w:val="24"/>
          <w:lang w:eastAsia="en-GB"/>
        </w:rPr>
        <w:t xml:space="preserve"> fair treatment of employees and define the legal obligations of employee’s protection.  Furthermore, the CIPD</w:t>
      </w:r>
      <w:r w:rsidR="00853B71">
        <w:rPr>
          <w:rFonts w:ascii="Arial" w:eastAsia="Times New Roman" w:hAnsi="Arial" w:cs="Arial"/>
          <w:sz w:val="24"/>
          <w:szCs w:val="24"/>
          <w:lang w:eastAsia="en-GB"/>
        </w:rPr>
        <w:t xml:space="preserve"> (2025</w:t>
      </w:r>
      <w:r w:rsidR="00085F8D">
        <w:rPr>
          <w:rFonts w:ascii="Arial" w:eastAsia="Times New Roman" w:hAnsi="Arial" w:cs="Arial"/>
          <w:sz w:val="24"/>
          <w:szCs w:val="24"/>
          <w:lang w:eastAsia="en-GB"/>
        </w:rPr>
        <w:t>c)</w:t>
      </w:r>
      <w:r w:rsidRPr="00C361D5">
        <w:rPr>
          <w:rFonts w:ascii="Arial" w:eastAsia="Times New Roman" w:hAnsi="Arial" w:cs="Arial"/>
          <w:sz w:val="24"/>
          <w:szCs w:val="24"/>
          <w:lang w:eastAsia="en-GB"/>
        </w:rPr>
        <w:t xml:space="preserve"> highlights that clearly defining employment status is essential to ensure employees receive appropriate legal protection and employment rights applied consistently</w:t>
      </w:r>
      <w:r w:rsidR="00085F8D">
        <w:rPr>
          <w:rFonts w:ascii="Arial" w:eastAsia="Times New Roman" w:hAnsi="Arial" w:cs="Arial"/>
          <w:sz w:val="24"/>
          <w:szCs w:val="24"/>
          <w:lang w:eastAsia="en-GB"/>
        </w:rPr>
        <w:t>.</w:t>
      </w:r>
    </w:p>
    <w:p w14:paraId="626D96D4" w14:textId="7D63C02A" w:rsidR="00C361D5" w:rsidRPr="00C361D5" w:rsidRDefault="00C361D5" w:rsidP="00C361D5">
      <w:pPr>
        <w:spacing w:before="100" w:beforeAutospacing="1" w:after="100" w:afterAutospacing="1" w:line="240" w:lineRule="auto"/>
        <w:rPr>
          <w:rFonts w:ascii="Arial" w:eastAsia="Times New Roman" w:hAnsi="Arial" w:cs="Arial"/>
          <w:sz w:val="24"/>
          <w:szCs w:val="24"/>
          <w:lang w:eastAsia="en-GB"/>
        </w:rPr>
      </w:pPr>
      <w:r w:rsidRPr="00C361D5">
        <w:rPr>
          <w:rFonts w:ascii="Arial" w:eastAsia="Times New Roman" w:hAnsi="Arial" w:cs="Arial"/>
          <w:sz w:val="24"/>
          <w:szCs w:val="24"/>
          <w:lang w:eastAsia="en-GB"/>
        </w:rPr>
        <w:t xml:space="preserve">In the long term, compliance with employment regulations can reduce grievances and limit employment tribunal claims, both of which are time consuming and costly.  Although employment legislation can require time to administer and may limit some management flexibility, it should be viewed as an investment supporting effective management, performance and fair employment experience across the Trust. </w:t>
      </w:r>
    </w:p>
    <w:p w14:paraId="21403A27" w14:textId="77777777" w:rsidR="00C361D5" w:rsidRDefault="00C361D5" w:rsidP="00C361D5">
      <w:pPr>
        <w:spacing w:before="100" w:beforeAutospacing="1" w:after="100" w:afterAutospacing="1" w:line="240" w:lineRule="auto"/>
        <w:rPr>
          <w:rFonts w:ascii="Arial" w:eastAsia="Times New Roman" w:hAnsi="Arial" w:cs="Arial"/>
          <w:sz w:val="24"/>
          <w:szCs w:val="24"/>
          <w:lang w:eastAsia="en-GB"/>
        </w:rPr>
      </w:pPr>
    </w:p>
    <w:p w14:paraId="461DE475" w14:textId="77777777" w:rsidR="000361CF" w:rsidRPr="00C361D5" w:rsidRDefault="000361CF" w:rsidP="00C361D5">
      <w:pPr>
        <w:spacing w:before="100" w:beforeAutospacing="1" w:after="100" w:afterAutospacing="1" w:line="240" w:lineRule="auto"/>
        <w:rPr>
          <w:rFonts w:ascii="Arial" w:eastAsia="Times New Roman" w:hAnsi="Arial" w:cs="Arial"/>
          <w:sz w:val="24"/>
          <w:szCs w:val="24"/>
          <w:lang w:eastAsia="en-GB"/>
        </w:rPr>
      </w:pPr>
    </w:p>
    <w:p w14:paraId="06F1C72D" w14:textId="77777777" w:rsidR="00C361D5" w:rsidRPr="00C361D5" w:rsidRDefault="00C361D5" w:rsidP="00C361D5">
      <w:pPr>
        <w:rPr>
          <w:rFonts w:ascii="Arial" w:hAnsi="Arial" w:cs="Arial"/>
          <w:b/>
          <w:bCs/>
          <w:sz w:val="24"/>
          <w:szCs w:val="24"/>
          <w:u w:val="single"/>
        </w:rPr>
      </w:pPr>
      <w:r w:rsidRPr="00C361D5">
        <w:rPr>
          <w:rFonts w:ascii="Arial" w:hAnsi="Arial" w:cs="Arial"/>
          <w:b/>
          <w:bCs/>
          <w:sz w:val="24"/>
          <w:szCs w:val="24"/>
          <w:u w:val="single"/>
        </w:rPr>
        <w:lastRenderedPageBreak/>
        <w:t>Email-2-AC1.2:</w:t>
      </w:r>
    </w:p>
    <w:p w14:paraId="0472BE53" w14:textId="07F4F5B7" w:rsidR="00C361D5" w:rsidRPr="00C361D5" w:rsidRDefault="00C361D5" w:rsidP="00C361D5">
      <w:pPr>
        <w:rPr>
          <w:rFonts w:ascii="Arial" w:hAnsi="Arial" w:cs="Arial"/>
          <w:sz w:val="24"/>
          <w:szCs w:val="24"/>
        </w:rPr>
      </w:pPr>
      <w:r w:rsidRPr="00C361D5">
        <w:rPr>
          <w:rFonts w:ascii="Arial" w:hAnsi="Arial" w:cs="Arial"/>
          <w:sz w:val="24"/>
          <w:szCs w:val="24"/>
        </w:rPr>
        <w:t xml:space="preserve">ECJ judgments </w:t>
      </w:r>
      <w:r w:rsidR="00F0219C">
        <w:rPr>
          <w:rFonts w:ascii="Arial" w:hAnsi="Arial" w:cs="Arial"/>
          <w:sz w:val="24"/>
          <w:szCs w:val="24"/>
        </w:rPr>
        <w:t xml:space="preserve">continue to influence </w:t>
      </w:r>
      <w:r w:rsidRPr="00C361D5">
        <w:rPr>
          <w:rFonts w:ascii="Arial" w:hAnsi="Arial" w:cs="Arial"/>
          <w:sz w:val="24"/>
          <w:szCs w:val="24"/>
        </w:rPr>
        <w:t xml:space="preserve">decisions within our NHS Trust.  </w:t>
      </w:r>
      <w:r w:rsidR="00052EC4">
        <w:rPr>
          <w:rFonts w:ascii="Arial" w:hAnsi="Arial" w:cs="Arial"/>
          <w:sz w:val="24"/>
          <w:szCs w:val="24"/>
        </w:rPr>
        <w:t xml:space="preserve">Before </w:t>
      </w:r>
      <w:r w:rsidRPr="00C361D5">
        <w:rPr>
          <w:rFonts w:ascii="Arial" w:hAnsi="Arial" w:cs="Arial"/>
          <w:sz w:val="24"/>
          <w:szCs w:val="24"/>
        </w:rPr>
        <w:t>the UK le</w:t>
      </w:r>
      <w:r w:rsidR="00052EC4">
        <w:rPr>
          <w:rFonts w:ascii="Arial" w:hAnsi="Arial" w:cs="Arial"/>
          <w:sz w:val="24"/>
          <w:szCs w:val="24"/>
        </w:rPr>
        <w:t>ft</w:t>
      </w:r>
      <w:r w:rsidRPr="00C361D5">
        <w:rPr>
          <w:rFonts w:ascii="Arial" w:hAnsi="Arial" w:cs="Arial"/>
          <w:sz w:val="24"/>
          <w:szCs w:val="24"/>
        </w:rPr>
        <w:t xml:space="preserve"> the EU in December 2020, EU employment laws were retained in UK law. While parliament can amend or repeal this legislation it remains until it</w:t>
      </w:r>
      <w:r w:rsidR="0044763E">
        <w:rPr>
          <w:rFonts w:ascii="Arial" w:hAnsi="Arial" w:cs="Arial"/>
          <w:sz w:val="24"/>
          <w:szCs w:val="24"/>
        </w:rPr>
        <w:t xml:space="preserve"> i</w:t>
      </w:r>
      <w:r w:rsidRPr="00C361D5">
        <w:rPr>
          <w:rFonts w:ascii="Arial" w:hAnsi="Arial" w:cs="Arial"/>
          <w:sz w:val="24"/>
          <w:szCs w:val="24"/>
        </w:rPr>
        <w:t xml:space="preserve">s changed or successfully challenged through the courts, House of Commons Library (2020 p.15). </w:t>
      </w:r>
    </w:p>
    <w:p w14:paraId="40FC39BD" w14:textId="19CF1D9F" w:rsidR="00C361D5" w:rsidRPr="00C361D5" w:rsidRDefault="00EF5D20" w:rsidP="00C361D5">
      <w:pPr>
        <w:rPr>
          <w:rFonts w:ascii="Arial" w:hAnsi="Arial" w:cs="Arial"/>
          <w:sz w:val="24"/>
          <w:szCs w:val="24"/>
        </w:rPr>
      </w:pPr>
      <w:r>
        <w:rPr>
          <w:rFonts w:ascii="Arial" w:hAnsi="Arial" w:cs="Arial"/>
          <w:sz w:val="24"/>
          <w:szCs w:val="24"/>
        </w:rPr>
        <w:t xml:space="preserve">While the </w:t>
      </w:r>
      <w:r w:rsidR="00C361D5" w:rsidRPr="00C361D5">
        <w:rPr>
          <w:rFonts w:ascii="Arial" w:hAnsi="Arial" w:cs="Arial"/>
          <w:sz w:val="24"/>
          <w:szCs w:val="24"/>
        </w:rPr>
        <w:t>UK was an EU member, the European Court of Justice (ECJ) had authority in interpreting EU treaties and directives.  EU law had supremacy over domestic law and UK courts, including the Supreme Cou</w:t>
      </w:r>
      <w:r w:rsidR="008B689E">
        <w:rPr>
          <w:rFonts w:ascii="Arial" w:hAnsi="Arial" w:cs="Arial"/>
          <w:sz w:val="24"/>
          <w:szCs w:val="24"/>
        </w:rPr>
        <w:t xml:space="preserve">rt, </w:t>
      </w:r>
      <w:r w:rsidR="00C361D5" w:rsidRPr="00C361D5">
        <w:rPr>
          <w:rFonts w:ascii="Arial" w:hAnsi="Arial" w:cs="Arial"/>
          <w:sz w:val="24"/>
          <w:szCs w:val="24"/>
        </w:rPr>
        <w:t>were required to follow ECJ</w:t>
      </w:r>
      <w:r w:rsidR="008C3DB8">
        <w:rPr>
          <w:rFonts w:ascii="Arial" w:hAnsi="Arial" w:cs="Arial"/>
          <w:sz w:val="24"/>
          <w:szCs w:val="24"/>
        </w:rPr>
        <w:t xml:space="preserve"> rulings</w:t>
      </w:r>
      <w:r w:rsidR="00ED5E5C">
        <w:rPr>
          <w:rFonts w:ascii="Arial" w:hAnsi="Arial" w:cs="Arial"/>
          <w:sz w:val="24"/>
          <w:szCs w:val="24"/>
        </w:rPr>
        <w:t xml:space="preserve"> on issue</w:t>
      </w:r>
      <w:r w:rsidR="0044763E">
        <w:rPr>
          <w:rFonts w:ascii="Arial" w:hAnsi="Arial" w:cs="Arial"/>
          <w:sz w:val="24"/>
          <w:szCs w:val="24"/>
        </w:rPr>
        <w:t>s</w:t>
      </w:r>
      <w:r w:rsidR="00ED5E5C">
        <w:rPr>
          <w:rFonts w:ascii="Arial" w:hAnsi="Arial" w:cs="Arial"/>
          <w:sz w:val="24"/>
          <w:szCs w:val="24"/>
        </w:rPr>
        <w:t xml:space="preserve"> such as working time ad rest breaks, including </w:t>
      </w:r>
      <w:r w:rsidR="00C361D5" w:rsidRPr="00C361D5">
        <w:rPr>
          <w:rFonts w:ascii="Arial" w:hAnsi="Arial" w:cs="Arial"/>
          <w:sz w:val="24"/>
          <w:szCs w:val="24"/>
        </w:rPr>
        <w:t xml:space="preserve">the case SIMAP v </w:t>
      </w:r>
      <w:proofErr w:type="spellStart"/>
      <w:r w:rsidR="00C361D5" w:rsidRPr="00C361D5">
        <w:rPr>
          <w:rFonts w:ascii="Arial" w:hAnsi="Arial" w:cs="Arial"/>
          <w:sz w:val="24"/>
          <w:szCs w:val="24"/>
        </w:rPr>
        <w:t>Conselleria</w:t>
      </w:r>
      <w:proofErr w:type="spellEnd"/>
      <w:r w:rsidR="00C361D5" w:rsidRPr="00C361D5">
        <w:rPr>
          <w:rFonts w:ascii="Arial" w:hAnsi="Arial" w:cs="Arial"/>
          <w:sz w:val="24"/>
          <w:szCs w:val="24"/>
        </w:rPr>
        <w:t xml:space="preserve"> de Sanidad, continues to influence UK courts interpret on-call time and rest requirements, which is relevant for our Trust</w:t>
      </w:r>
      <w:r w:rsidR="00C76BB6">
        <w:rPr>
          <w:rFonts w:ascii="Arial" w:hAnsi="Arial" w:cs="Arial"/>
          <w:sz w:val="24"/>
          <w:szCs w:val="24"/>
        </w:rPr>
        <w:t xml:space="preserve">s </w:t>
      </w:r>
      <w:r w:rsidR="00A53AAA">
        <w:rPr>
          <w:rFonts w:ascii="Arial" w:hAnsi="Arial" w:cs="Arial"/>
          <w:sz w:val="24"/>
          <w:szCs w:val="24"/>
        </w:rPr>
        <w:t>on</w:t>
      </w:r>
      <w:r w:rsidR="00CB5BE9">
        <w:rPr>
          <w:rFonts w:ascii="Arial" w:hAnsi="Arial" w:cs="Arial"/>
          <w:sz w:val="24"/>
          <w:szCs w:val="24"/>
        </w:rPr>
        <w:t>-</w:t>
      </w:r>
      <w:r w:rsidR="00A53AAA">
        <w:rPr>
          <w:rFonts w:ascii="Arial" w:hAnsi="Arial" w:cs="Arial"/>
          <w:sz w:val="24"/>
          <w:szCs w:val="24"/>
        </w:rPr>
        <w:t xml:space="preserve">call rotas. </w:t>
      </w:r>
      <w:r w:rsidR="00C361D5" w:rsidRPr="00C361D5">
        <w:rPr>
          <w:rFonts w:ascii="Arial" w:hAnsi="Arial" w:cs="Arial"/>
          <w:sz w:val="24"/>
          <w:szCs w:val="24"/>
        </w:rPr>
        <w:t xml:space="preserve">     </w:t>
      </w:r>
    </w:p>
    <w:p w14:paraId="273FDB5B" w14:textId="7053B947" w:rsidR="00C361D5" w:rsidRPr="00C361D5" w:rsidRDefault="00C361D5" w:rsidP="00C361D5">
      <w:pPr>
        <w:rPr>
          <w:rFonts w:ascii="Arial" w:hAnsi="Arial" w:cs="Arial"/>
          <w:sz w:val="24"/>
          <w:szCs w:val="24"/>
        </w:rPr>
      </w:pPr>
      <w:r w:rsidRPr="00C361D5">
        <w:rPr>
          <w:rFonts w:ascii="Arial" w:hAnsi="Arial" w:cs="Arial"/>
          <w:sz w:val="24"/>
          <w:szCs w:val="24"/>
        </w:rPr>
        <w:t xml:space="preserve">In 2020, the UK </w:t>
      </w:r>
      <w:r w:rsidR="00CB5BE9">
        <w:rPr>
          <w:rFonts w:ascii="Arial" w:hAnsi="Arial" w:cs="Arial"/>
          <w:sz w:val="24"/>
          <w:szCs w:val="24"/>
        </w:rPr>
        <w:t>was</w:t>
      </w:r>
      <w:r w:rsidRPr="00C361D5">
        <w:rPr>
          <w:rFonts w:ascii="Arial" w:hAnsi="Arial" w:cs="Arial"/>
          <w:sz w:val="24"/>
          <w:szCs w:val="24"/>
        </w:rPr>
        <w:t xml:space="preserve"> no longer bound by </w:t>
      </w:r>
      <w:r w:rsidR="005E7681">
        <w:rPr>
          <w:rFonts w:ascii="Arial" w:hAnsi="Arial" w:cs="Arial"/>
          <w:sz w:val="24"/>
          <w:szCs w:val="24"/>
        </w:rPr>
        <w:t>post-Brexit ECJ judg</w:t>
      </w:r>
      <w:r w:rsidR="00F9696F">
        <w:rPr>
          <w:rFonts w:ascii="Arial" w:hAnsi="Arial" w:cs="Arial"/>
          <w:sz w:val="24"/>
          <w:szCs w:val="24"/>
        </w:rPr>
        <w:t>e</w:t>
      </w:r>
      <w:r w:rsidR="005E7681">
        <w:rPr>
          <w:rFonts w:ascii="Arial" w:hAnsi="Arial" w:cs="Arial"/>
          <w:sz w:val="24"/>
          <w:szCs w:val="24"/>
        </w:rPr>
        <w:t xml:space="preserve">ments.  </w:t>
      </w:r>
      <w:r w:rsidRPr="00C361D5">
        <w:rPr>
          <w:rFonts w:ascii="Arial" w:hAnsi="Arial" w:cs="Arial"/>
          <w:sz w:val="24"/>
          <w:szCs w:val="24"/>
        </w:rPr>
        <w:t>However, many EU derived employment laws were retained in domestic legislation following Brexit, CIPD (2025).  While the UK gained greater freedom to amend its law, significant change from EU employment standards could risk disputes under the EU-UK Trade and Cooperation Agreement, particularly where changes could affect fair competition and trade.  For example, the Working Time Regulations were retained following Brexit, and substantial amendments could risk breaching the “level playing field” provisions contained in the Trade and Cooperation Agreement, CIPD (2025</w:t>
      </w:r>
      <w:r w:rsidR="000E5C9B">
        <w:rPr>
          <w:rFonts w:ascii="Arial" w:hAnsi="Arial" w:cs="Arial"/>
          <w:sz w:val="24"/>
          <w:szCs w:val="24"/>
        </w:rPr>
        <w:t>b</w:t>
      </w:r>
      <w:r w:rsidRPr="00C361D5">
        <w:rPr>
          <w:rFonts w:ascii="Arial" w:hAnsi="Arial" w:cs="Arial"/>
          <w:sz w:val="24"/>
          <w:szCs w:val="24"/>
        </w:rPr>
        <w:t xml:space="preserve">).    </w:t>
      </w:r>
    </w:p>
    <w:p w14:paraId="57CF07C7" w14:textId="60DA8607" w:rsidR="00C361D5" w:rsidRPr="00C361D5" w:rsidRDefault="00715441" w:rsidP="00C361D5">
      <w:pPr>
        <w:rPr>
          <w:rFonts w:ascii="Arial" w:hAnsi="Arial" w:cs="Arial"/>
          <w:sz w:val="24"/>
          <w:szCs w:val="24"/>
        </w:rPr>
      </w:pPr>
      <w:r>
        <w:rPr>
          <w:rFonts w:ascii="Arial" w:hAnsi="Arial" w:cs="Arial"/>
          <w:sz w:val="24"/>
          <w:szCs w:val="24"/>
        </w:rPr>
        <w:t>On the</w:t>
      </w:r>
      <w:r w:rsidR="00C361D5" w:rsidRPr="00C361D5">
        <w:rPr>
          <w:rFonts w:ascii="Arial" w:hAnsi="Arial" w:cs="Arial"/>
          <w:sz w:val="24"/>
          <w:szCs w:val="24"/>
        </w:rPr>
        <w:t xml:space="preserve"> </w:t>
      </w:r>
      <w:r w:rsidR="00F9696F">
        <w:rPr>
          <w:rFonts w:ascii="Arial" w:hAnsi="Arial" w:cs="Arial"/>
          <w:sz w:val="24"/>
          <w:szCs w:val="24"/>
        </w:rPr>
        <w:t>1</w:t>
      </w:r>
      <w:r>
        <w:rPr>
          <w:rFonts w:ascii="Arial" w:hAnsi="Arial" w:cs="Arial"/>
          <w:sz w:val="24"/>
          <w:szCs w:val="24"/>
          <w:vertAlign w:val="superscript"/>
        </w:rPr>
        <w:t xml:space="preserve"> </w:t>
      </w:r>
      <w:r w:rsidR="00C361D5" w:rsidRPr="00C361D5">
        <w:rPr>
          <w:rFonts w:ascii="Arial" w:hAnsi="Arial" w:cs="Arial"/>
          <w:sz w:val="24"/>
          <w:szCs w:val="24"/>
        </w:rPr>
        <w:t xml:space="preserve">January 2024, pre-existing rulings of the ECJ have become challengeable in the UK courts and are determined through the court hierarchy.  Employment claims usually begin in the Employment Tribunal, however some cases, such as wrongful dismissal claims valued at £25,000 or more, may be brought in the County or High Court, Daniels (2025, p.7)  Appeals may proceed to the Employment Appeal Tribunal on a point of law, with further appeals to the Court of Appeal and, in exceptional cases involving issues of general public importance, to the Supreme Court.  A key example is </w:t>
      </w:r>
      <w:r w:rsidR="00C361D5" w:rsidRPr="00C361D5">
        <w:rPr>
          <w:rFonts w:ascii="Arial" w:hAnsi="Arial" w:cs="Arial"/>
          <w:i/>
          <w:iCs/>
          <w:sz w:val="24"/>
          <w:szCs w:val="24"/>
        </w:rPr>
        <w:t>‘</w:t>
      </w:r>
      <w:r w:rsidR="00C361D5" w:rsidRPr="00C361D5">
        <w:rPr>
          <w:rFonts w:ascii="Arial" w:hAnsi="Arial" w:cs="Arial"/>
          <w:sz w:val="24"/>
          <w:szCs w:val="24"/>
        </w:rPr>
        <w:t>Uber BV v Aslam’, in which the Supreme Court held that Uber drivers were workers</w:t>
      </w:r>
      <w:r w:rsidR="009F23F2">
        <w:rPr>
          <w:rFonts w:ascii="Arial" w:hAnsi="Arial" w:cs="Arial"/>
          <w:sz w:val="24"/>
          <w:szCs w:val="24"/>
        </w:rPr>
        <w:t xml:space="preserve">, not </w:t>
      </w:r>
      <w:r w:rsidR="00C361D5" w:rsidRPr="00C361D5">
        <w:rPr>
          <w:rFonts w:ascii="Arial" w:hAnsi="Arial" w:cs="Arial"/>
          <w:sz w:val="24"/>
          <w:szCs w:val="24"/>
        </w:rPr>
        <w:t xml:space="preserve">self-employed contractors, </w:t>
      </w:r>
      <w:r w:rsidR="00D873C2">
        <w:rPr>
          <w:rFonts w:ascii="Arial" w:hAnsi="Arial" w:cs="Arial"/>
          <w:sz w:val="24"/>
          <w:szCs w:val="24"/>
        </w:rPr>
        <w:t xml:space="preserve">giving </w:t>
      </w:r>
      <w:r w:rsidR="00C361D5" w:rsidRPr="00C361D5">
        <w:rPr>
          <w:rFonts w:ascii="Arial" w:hAnsi="Arial" w:cs="Arial"/>
          <w:sz w:val="24"/>
          <w:szCs w:val="24"/>
        </w:rPr>
        <w:t xml:space="preserve">them to rights such as National Minimum Wage and paid annual leave.  Leapfrog appeals are rare and occur where a case raises a point of law public importance that warrants direct consideration by the Supreme court.  Since leaving the EU, the </w:t>
      </w:r>
      <w:r w:rsidR="00806FAA">
        <w:rPr>
          <w:rFonts w:ascii="Arial" w:hAnsi="Arial" w:cs="Arial"/>
          <w:sz w:val="24"/>
          <w:szCs w:val="24"/>
        </w:rPr>
        <w:t>S</w:t>
      </w:r>
      <w:r w:rsidR="00C361D5" w:rsidRPr="00C361D5">
        <w:rPr>
          <w:rFonts w:ascii="Arial" w:hAnsi="Arial" w:cs="Arial"/>
          <w:sz w:val="24"/>
          <w:szCs w:val="24"/>
        </w:rPr>
        <w:t>upreme Court is the UK’s final court of appeal, Daniels (2025, p.11)</w:t>
      </w:r>
      <w:r w:rsidR="00C75628">
        <w:rPr>
          <w:rFonts w:ascii="Arial" w:hAnsi="Arial" w:cs="Arial"/>
          <w:sz w:val="24"/>
          <w:szCs w:val="24"/>
        </w:rPr>
        <w:t>.</w:t>
      </w:r>
      <w:r w:rsidR="00C361D5" w:rsidRPr="00C361D5">
        <w:rPr>
          <w:rFonts w:ascii="Arial" w:hAnsi="Arial" w:cs="Arial"/>
          <w:sz w:val="24"/>
          <w:szCs w:val="24"/>
        </w:rPr>
        <w:t xml:space="preserve"> </w:t>
      </w:r>
    </w:p>
    <w:p w14:paraId="3C6A2F57" w14:textId="3C5ECFD7" w:rsidR="00C361D5" w:rsidRPr="00C361D5" w:rsidRDefault="00C361D5" w:rsidP="00C361D5">
      <w:pPr>
        <w:rPr>
          <w:rFonts w:ascii="Arial" w:hAnsi="Arial" w:cs="Arial"/>
          <w:sz w:val="24"/>
          <w:szCs w:val="24"/>
        </w:rPr>
      </w:pPr>
      <w:r w:rsidRPr="00C361D5">
        <w:rPr>
          <w:rFonts w:ascii="Arial" w:hAnsi="Arial" w:cs="Arial"/>
          <w:sz w:val="24"/>
          <w:szCs w:val="24"/>
        </w:rPr>
        <w:t>In summary</w:t>
      </w:r>
      <w:r w:rsidR="00465C67">
        <w:rPr>
          <w:rFonts w:ascii="Arial" w:hAnsi="Arial" w:cs="Arial"/>
          <w:sz w:val="24"/>
          <w:szCs w:val="24"/>
        </w:rPr>
        <w:t>,</w:t>
      </w:r>
      <w:r w:rsidRPr="00C361D5">
        <w:rPr>
          <w:rFonts w:ascii="Arial" w:hAnsi="Arial" w:cs="Arial"/>
          <w:sz w:val="24"/>
          <w:szCs w:val="24"/>
        </w:rPr>
        <w:t xml:space="preserve"> established princip</w:t>
      </w:r>
      <w:r w:rsidR="002A42C2">
        <w:rPr>
          <w:rFonts w:ascii="Arial" w:hAnsi="Arial" w:cs="Arial"/>
          <w:sz w:val="24"/>
          <w:szCs w:val="24"/>
        </w:rPr>
        <w:t>l</w:t>
      </w:r>
      <w:r w:rsidRPr="00C361D5">
        <w:rPr>
          <w:rFonts w:ascii="Arial" w:hAnsi="Arial" w:cs="Arial"/>
          <w:sz w:val="24"/>
          <w:szCs w:val="24"/>
        </w:rPr>
        <w:t>es such as working time and rest breaks remain part of UK law unless changed by Parliament or overturned by UK court</w:t>
      </w:r>
      <w:r w:rsidR="00A876AF">
        <w:rPr>
          <w:rFonts w:ascii="Arial" w:hAnsi="Arial" w:cs="Arial"/>
          <w:sz w:val="24"/>
          <w:szCs w:val="24"/>
        </w:rPr>
        <w:t xml:space="preserve"> supporting compliance and fair treatment within the Trust. </w:t>
      </w:r>
    </w:p>
    <w:p w14:paraId="5E7721D5" w14:textId="77777777" w:rsidR="00F34844" w:rsidRDefault="00F34844" w:rsidP="00C361D5">
      <w:pPr>
        <w:rPr>
          <w:rFonts w:ascii="Arial" w:hAnsi="Arial" w:cs="Arial"/>
          <w:b/>
          <w:bCs/>
          <w:sz w:val="24"/>
          <w:szCs w:val="24"/>
          <w:u w:val="single"/>
        </w:rPr>
      </w:pPr>
    </w:p>
    <w:p w14:paraId="1B39FA81" w14:textId="0DC87682" w:rsidR="00C361D5" w:rsidRPr="00C361D5" w:rsidRDefault="00C361D5" w:rsidP="00C361D5">
      <w:pPr>
        <w:rPr>
          <w:rFonts w:ascii="Arial" w:hAnsi="Arial" w:cs="Arial"/>
          <w:b/>
          <w:bCs/>
          <w:sz w:val="24"/>
          <w:szCs w:val="24"/>
          <w:u w:val="single"/>
        </w:rPr>
      </w:pPr>
      <w:r w:rsidRPr="00C361D5">
        <w:rPr>
          <w:rFonts w:ascii="Arial" w:hAnsi="Arial" w:cs="Arial"/>
          <w:b/>
          <w:bCs/>
          <w:sz w:val="24"/>
          <w:szCs w:val="24"/>
          <w:u w:val="single"/>
        </w:rPr>
        <w:t>Email-3-AC2.1:</w:t>
      </w:r>
    </w:p>
    <w:p w14:paraId="1A4BF145" w14:textId="086EE9D4" w:rsidR="00C361D5" w:rsidRPr="00C361D5" w:rsidRDefault="00C361D5" w:rsidP="00C361D5">
      <w:pPr>
        <w:rPr>
          <w:rFonts w:ascii="Arial" w:hAnsi="Arial" w:cs="Arial"/>
          <w:sz w:val="24"/>
          <w:szCs w:val="24"/>
        </w:rPr>
      </w:pPr>
      <w:r w:rsidRPr="00C361D5">
        <w:rPr>
          <w:rFonts w:ascii="Arial" w:hAnsi="Arial" w:cs="Arial"/>
          <w:sz w:val="24"/>
          <w:szCs w:val="24"/>
        </w:rPr>
        <w:t xml:space="preserve">Thank you for </w:t>
      </w:r>
      <w:r w:rsidR="00344BFA">
        <w:rPr>
          <w:rFonts w:ascii="Arial" w:hAnsi="Arial" w:cs="Arial"/>
          <w:sz w:val="24"/>
          <w:szCs w:val="24"/>
        </w:rPr>
        <w:t>your inquiry</w:t>
      </w:r>
      <w:r w:rsidRPr="00C361D5">
        <w:rPr>
          <w:rFonts w:ascii="Arial" w:hAnsi="Arial" w:cs="Arial"/>
          <w:sz w:val="24"/>
          <w:szCs w:val="24"/>
        </w:rPr>
        <w:t xml:space="preserve"> about when </w:t>
      </w:r>
      <w:r w:rsidR="00A36DD5">
        <w:rPr>
          <w:rFonts w:ascii="Arial" w:hAnsi="Arial" w:cs="Arial"/>
          <w:sz w:val="24"/>
          <w:szCs w:val="24"/>
        </w:rPr>
        <w:t>a role</w:t>
      </w:r>
      <w:r w:rsidR="00C65967">
        <w:rPr>
          <w:rFonts w:ascii="Arial" w:hAnsi="Arial" w:cs="Arial"/>
          <w:sz w:val="24"/>
          <w:szCs w:val="24"/>
        </w:rPr>
        <w:t xml:space="preserve"> can be </w:t>
      </w:r>
      <w:r w:rsidR="00A36DD5">
        <w:rPr>
          <w:rFonts w:ascii="Arial" w:hAnsi="Arial" w:cs="Arial"/>
          <w:sz w:val="24"/>
          <w:szCs w:val="24"/>
        </w:rPr>
        <w:t xml:space="preserve">lawfully </w:t>
      </w:r>
      <w:r w:rsidR="00C65967">
        <w:rPr>
          <w:rFonts w:ascii="Arial" w:hAnsi="Arial" w:cs="Arial"/>
          <w:sz w:val="24"/>
          <w:szCs w:val="24"/>
        </w:rPr>
        <w:t>r</w:t>
      </w:r>
      <w:r w:rsidR="00A36DD5">
        <w:rPr>
          <w:rFonts w:ascii="Arial" w:hAnsi="Arial" w:cs="Arial"/>
          <w:sz w:val="24"/>
          <w:szCs w:val="24"/>
        </w:rPr>
        <w:t>estricted to a man or woman.</w:t>
      </w:r>
      <w:r w:rsidR="008809E9">
        <w:rPr>
          <w:rFonts w:ascii="Arial" w:hAnsi="Arial" w:cs="Arial"/>
          <w:sz w:val="24"/>
          <w:szCs w:val="24"/>
        </w:rPr>
        <w:t xml:space="preserve">  Below is an </w:t>
      </w:r>
      <w:r w:rsidRPr="00C361D5">
        <w:rPr>
          <w:rFonts w:ascii="Arial" w:hAnsi="Arial" w:cs="Arial"/>
          <w:sz w:val="24"/>
          <w:szCs w:val="24"/>
        </w:rPr>
        <w:t>outline of how discrimination law applies in recruitment</w:t>
      </w:r>
      <w:r w:rsidR="009F40C9">
        <w:rPr>
          <w:rFonts w:ascii="Arial" w:hAnsi="Arial" w:cs="Arial"/>
          <w:sz w:val="24"/>
          <w:szCs w:val="24"/>
        </w:rPr>
        <w:t>.</w:t>
      </w:r>
    </w:p>
    <w:p w14:paraId="6E73A5B3" w14:textId="722A01A7" w:rsidR="00C361D5" w:rsidRPr="00C361D5" w:rsidRDefault="00C361D5" w:rsidP="00C361D5">
      <w:pPr>
        <w:rPr>
          <w:rFonts w:ascii="Arial" w:hAnsi="Arial" w:cs="Arial"/>
          <w:sz w:val="24"/>
          <w:szCs w:val="24"/>
        </w:rPr>
      </w:pPr>
      <w:r w:rsidRPr="00C361D5">
        <w:rPr>
          <w:rFonts w:ascii="Arial" w:hAnsi="Arial" w:cs="Arial"/>
          <w:sz w:val="24"/>
          <w:szCs w:val="24"/>
        </w:rPr>
        <w:t xml:space="preserve">The Equality Act 2010 protects </w:t>
      </w:r>
      <w:r w:rsidR="004E29D6">
        <w:rPr>
          <w:rFonts w:ascii="Arial" w:hAnsi="Arial" w:cs="Arial"/>
          <w:sz w:val="24"/>
          <w:szCs w:val="24"/>
        </w:rPr>
        <w:t>employees</w:t>
      </w:r>
      <w:r w:rsidRPr="00C361D5">
        <w:rPr>
          <w:rFonts w:ascii="Arial" w:hAnsi="Arial" w:cs="Arial"/>
          <w:sz w:val="24"/>
          <w:szCs w:val="24"/>
        </w:rPr>
        <w:t xml:space="preserve"> from discrimination at work.  As someone working in people management it is important to understand these legal duties, ACAS (2025).  Discrimination refers to treating someone with a protected </w:t>
      </w:r>
      <w:r w:rsidRPr="00C361D5">
        <w:rPr>
          <w:rFonts w:ascii="Arial" w:hAnsi="Arial" w:cs="Arial"/>
          <w:sz w:val="24"/>
          <w:szCs w:val="24"/>
        </w:rPr>
        <w:lastRenderedPageBreak/>
        <w:t xml:space="preserve">characteristic less favourably than someone </w:t>
      </w:r>
      <w:r w:rsidR="000F3DCF">
        <w:rPr>
          <w:rFonts w:ascii="Arial" w:hAnsi="Arial" w:cs="Arial"/>
          <w:sz w:val="24"/>
          <w:szCs w:val="24"/>
        </w:rPr>
        <w:t xml:space="preserve">who </w:t>
      </w:r>
      <w:r w:rsidRPr="00C361D5">
        <w:rPr>
          <w:rFonts w:ascii="Arial" w:hAnsi="Arial" w:cs="Arial"/>
          <w:sz w:val="24"/>
          <w:szCs w:val="24"/>
        </w:rPr>
        <w:t>doesn’t have that characteristic.  There are nine protected characteristic</w:t>
      </w:r>
      <w:r w:rsidR="009B72B6">
        <w:rPr>
          <w:rFonts w:ascii="Arial" w:hAnsi="Arial" w:cs="Arial"/>
          <w:sz w:val="24"/>
          <w:szCs w:val="24"/>
        </w:rPr>
        <w:t>s</w:t>
      </w:r>
      <w:r w:rsidRPr="00C361D5">
        <w:rPr>
          <w:rFonts w:ascii="Arial" w:hAnsi="Arial" w:cs="Arial"/>
          <w:sz w:val="24"/>
          <w:szCs w:val="24"/>
        </w:rPr>
        <w:t xml:space="preserve"> including “sex” defined in section 11 of the Equality Act 2010. We therefore cannot advertise or appoint to a role based on whether someone is male or female.  Treating an applicant less favourably because of their sex would normally be unlawful</w:t>
      </w:r>
      <w:r w:rsidR="008B2EC8">
        <w:rPr>
          <w:rFonts w:ascii="Arial" w:hAnsi="Arial" w:cs="Arial"/>
          <w:sz w:val="24"/>
          <w:szCs w:val="24"/>
        </w:rPr>
        <w:t>,</w:t>
      </w:r>
      <w:r w:rsidRPr="00C361D5">
        <w:rPr>
          <w:rFonts w:ascii="Arial" w:hAnsi="Arial" w:cs="Arial"/>
          <w:sz w:val="24"/>
          <w:szCs w:val="24"/>
        </w:rPr>
        <w:t xml:space="preserve"> direct discrimination.  The Employment Statutory Code of Practice explains that any exception must be applied lawfully. </w:t>
      </w:r>
    </w:p>
    <w:p w14:paraId="65A8C8B9" w14:textId="0D6AA3F1" w:rsidR="00C361D5" w:rsidRPr="00C361D5" w:rsidRDefault="008B2EC8" w:rsidP="00C361D5">
      <w:pPr>
        <w:rPr>
          <w:rFonts w:ascii="Arial" w:hAnsi="Arial" w:cs="Arial"/>
          <w:sz w:val="24"/>
          <w:szCs w:val="24"/>
        </w:rPr>
      </w:pPr>
      <w:r>
        <w:rPr>
          <w:rFonts w:ascii="Arial" w:hAnsi="Arial" w:cs="Arial"/>
          <w:sz w:val="24"/>
          <w:szCs w:val="24"/>
        </w:rPr>
        <w:t>T</w:t>
      </w:r>
      <w:r w:rsidR="00C361D5" w:rsidRPr="00C361D5">
        <w:rPr>
          <w:rFonts w:ascii="Arial" w:hAnsi="Arial" w:cs="Arial"/>
          <w:sz w:val="24"/>
          <w:szCs w:val="24"/>
        </w:rPr>
        <w:t>here are exceptions where there is a reason for needing someone of a specific protected characteristic because of the role, known as</w:t>
      </w:r>
      <w:r w:rsidR="00E359D2">
        <w:rPr>
          <w:rFonts w:ascii="Arial" w:hAnsi="Arial" w:cs="Arial"/>
          <w:sz w:val="24"/>
          <w:szCs w:val="24"/>
        </w:rPr>
        <w:t xml:space="preserve"> an</w:t>
      </w:r>
      <w:r w:rsidR="00C361D5" w:rsidRPr="00C361D5">
        <w:rPr>
          <w:rFonts w:ascii="Arial" w:hAnsi="Arial" w:cs="Arial"/>
          <w:sz w:val="24"/>
          <w:szCs w:val="24"/>
        </w:rPr>
        <w:t xml:space="preserve"> occupational requirement, which is defined in schedule 9 of the Act (Equality Act 2010).  According to Daniels (2025, p.120) a genuine occupational requirement may apply where the role involves a special level of care, making it inappropriate for the care to be provided by the opposite sex. The Employment Code of Practice (2010, Section 13)) further explains that an employer may apply an occupational requirement only where it is genuine</w:t>
      </w:r>
      <w:r w:rsidR="00E83EEE">
        <w:rPr>
          <w:rFonts w:ascii="Arial" w:hAnsi="Arial" w:cs="Arial"/>
          <w:sz w:val="24"/>
          <w:szCs w:val="24"/>
        </w:rPr>
        <w:t>ly</w:t>
      </w:r>
      <w:r w:rsidR="00C361D5" w:rsidRPr="00C361D5">
        <w:rPr>
          <w:rFonts w:ascii="Arial" w:hAnsi="Arial" w:cs="Arial"/>
          <w:sz w:val="24"/>
          <w:szCs w:val="24"/>
        </w:rPr>
        <w:t xml:space="preserve"> necessary, and proportionate part of the role.  It must be assessed case by case.  As the NHS provides intimate care and works with vulnerable people, this exception can be used in specific situations, however this can only be used if fully justified. CIPD (2025</w:t>
      </w:r>
      <w:r w:rsidR="00427287">
        <w:rPr>
          <w:rFonts w:ascii="Arial" w:hAnsi="Arial" w:cs="Arial"/>
          <w:sz w:val="24"/>
          <w:szCs w:val="24"/>
        </w:rPr>
        <w:t>f</w:t>
      </w:r>
      <w:r w:rsidR="00C361D5" w:rsidRPr="00C361D5">
        <w:rPr>
          <w:rFonts w:ascii="Arial" w:hAnsi="Arial" w:cs="Arial"/>
          <w:sz w:val="24"/>
          <w:szCs w:val="24"/>
        </w:rPr>
        <w:t xml:space="preserve">) guidance </w:t>
      </w:r>
      <w:r w:rsidR="00E83EEE" w:rsidRPr="00C361D5">
        <w:rPr>
          <w:rFonts w:ascii="Arial" w:hAnsi="Arial" w:cs="Arial"/>
          <w:sz w:val="24"/>
          <w:szCs w:val="24"/>
        </w:rPr>
        <w:t>emph</w:t>
      </w:r>
      <w:r w:rsidR="00E83EEE">
        <w:rPr>
          <w:rFonts w:ascii="Arial" w:hAnsi="Arial" w:cs="Arial"/>
          <w:sz w:val="24"/>
          <w:szCs w:val="24"/>
        </w:rPr>
        <w:t>asises</w:t>
      </w:r>
      <w:r w:rsidR="00C361D5" w:rsidRPr="00C361D5">
        <w:rPr>
          <w:rFonts w:ascii="Arial" w:hAnsi="Arial" w:cs="Arial"/>
          <w:sz w:val="24"/>
          <w:szCs w:val="24"/>
        </w:rPr>
        <w:t xml:space="preserve"> that occupational requirements are very limited, must be essential to the core duties and demonstrate th</w:t>
      </w:r>
      <w:r w:rsidR="002D6131">
        <w:rPr>
          <w:rFonts w:ascii="Arial" w:hAnsi="Arial" w:cs="Arial"/>
          <w:sz w:val="24"/>
          <w:szCs w:val="24"/>
        </w:rPr>
        <w:t xml:space="preserve">at they are </w:t>
      </w:r>
      <w:r w:rsidR="00C361D5" w:rsidRPr="00C361D5">
        <w:rPr>
          <w:rFonts w:ascii="Arial" w:hAnsi="Arial" w:cs="Arial"/>
          <w:sz w:val="24"/>
          <w:szCs w:val="24"/>
        </w:rPr>
        <w:t xml:space="preserve">proportionate and necessary. </w:t>
      </w:r>
    </w:p>
    <w:p w14:paraId="1729556C" w14:textId="7A52E748" w:rsidR="00C361D5" w:rsidRPr="00C361D5" w:rsidRDefault="00C361D5" w:rsidP="00C361D5">
      <w:pPr>
        <w:rPr>
          <w:rFonts w:ascii="Arial" w:hAnsi="Arial" w:cs="Arial"/>
          <w:sz w:val="24"/>
          <w:szCs w:val="24"/>
        </w:rPr>
      </w:pPr>
      <w:r w:rsidRPr="00C361D5">
        <w:rPr>
          <w:rFonts w:ascii="Arial" w:hAnsi="Arial" w:cs="Arial"/>
          <w:sz w:val="24"/>
          <w:szCs w:val="24"/>
        </w:rPr>
        <w:t>An example of when a GOR may be appropriate is when “the role involves intimate personal care” where the patient’s dignity, privacy or cultural needs require same sex care.  For example, a female support worker providing intimate care on a woman</w:t>
      </w:r>
      <w:r w:rsidR="00F30E1F">
        <w:rPr>
          <w:rFonts w:ascii="Arial" w:hAnsi="Arial" w:cs="Arial"/>
          <w:sz w:val="24"/>
          <w:szCs w:val="24"/>
        </w:rPr>
        <w:t>-</w:t>
      </w:r>
      <w:r w:rsidRPr="00C361D5">
        <w:rPr>
          <w:rFonts w:ascii="Arial" w:hAnsi="Arial" w:cs="Arial"/>
          <w:sz w:val="24"/>
          <w:szCs w:val="24"/>
        </w:rPr>
        <w:t>only ward.  However, a GOR cannot be used where intimate care is not required or the restriction is based on personal preference.  For example, an administrative role in a maternity ward cannot be restricted to women, as the work does not involve intimate care or core duties.</w:t>
      </w:r>
    </w:p>
    <w:p w14:paraId="27BEDF83" w14:textId="4DB8F601" w:rsidR="00C361D5" w:rsidRPr="00C361D5" w:rsidRDefault="00C361D5" w:rsidP="00C361D5">
      <w:pPr>
        <w:rPr>
          <w:rFonts w:ascii="Arial" w:hAnsi="Arial" w:cs="Arial"/>
          <w:sz w:val="24"/>
          <w:szCs w:val="24"/>
        </w:rPr>
      </w:pPr>
      <w:r w:rsidRPr="00C361D5">
        <w:rPr>
          <w:rFonts w:ascii="Arial" w:hAnsi="Arial" w:cs="Arial"/>
          <w:sz w:val="24"/>
          <w:szCs w:val="24"/>
        </w:rPr>
        <w:t xml:space="preserve">In summary a sex-based role requirement </w:t>
      </w:r>
      <w:r w:rsidR="000F3875">
        <w:rPr>
          <w:rFonts w:ascii="Arial" w:hAnsi="Arial" w:cs="Arial"/>
          <w:sz w:val="24"/>
          <w:szCs w:val="24"/>
        </w:rPr>
        <w:t xml:space="preserve">should be used </w:t>
      </w:r>
      <w:r w:rsidRPr="00C361D5">
        <w:rPr>
          <w:rFonts w:ascii="Arial" w:hAnsi="Arial" w:cs="Arial"/>
          <w:sz w:val="24"/>
          <w:szCs w:val="24"/>
        </w:rPr>
        <w:t xml:space="preserve">only when essential to the role and </w:t>
      </w:r>
      <w:r w:rsidR="005C09E9">
        <w:rPr>
          <w:rFonts w:ascii="Arial" w:hAnsi="Arial" w:cs="Arial"/>
          <w:sz w:val="24"/>
          <w:szCs w:val="24"/>
        </w:rPr>
        <w:t xml:space="preserve">necessary to protect </w:t>
      </w:r>
      <w:r w:rsidRPr="00C361D5">
        <w:rPr>
          <w:rFonts w:ascii="Arial" w:hAnsi="Arial" w:cs="Arial"/>
          <w:sz w:val="24"/>
          <w:szCs w:val="24"/>
        </w:rPr>
        <w:t>patient dignity, privacy or safety.  Applying th</w:t>
      </w:r>
      <w:r w:rsidR="005C09E9">
        <w:rPr>
          <w:rFonts w:ascii="Arial" w:hAnsi="Arial" w:cs="Arial"/>
          <w:sz w:val="24"/>
          <w:szCs w:val="24"/>
        </w:rPr>
        <w:t xml:space="preserve">is ensures fair, </w:t>
      </w:r>
      <w:r w:rsidR="006513AA">
        <w:rPr>
          <w:rFonts w:ascii="Arial" w:hAnsi="Arial" w:cs="Arial"/>
          <w:sz w:val="24"/>
          <w:szCs w:val="24"/>
        </w:rPr>
        <w:t xml:space="preserve">lawful and consistent recruitment within the Trust. </w:t>
      </w:r>
      <w:r w:rsidRPr="00C361D5">
        <w:rPr>
          <w:rFonts w:ascii="Arial" w:hAnsi="Arial" w:cs="Arial"/>
          <w:sz w:val="24"/>
          <w:szCs w:val="24"/>
        </w:rPr>
        <w:t xml:space="preserve"> </w:t>
      </w:r>
    </w:p>
    <w:p w14:paraId="43B2FFCF" w14:textId="77777777" w:rsidR="00C361D5" w:rsidRPr="00C361D5" w:rsidRDefault="00C361D5" w:rsidP="00C361D5">
      <w:pPr>
        <w:rPr>
          <w:rFonts w:ascii="Arial" w:hAnsi="Arial" w:cs="Arial"/>
          <w:b/>
          <w:bCs/>
          <w:sz w:val="24"/>
          <w:szCs w:val="24"/>
          <w:u w:val="single"/>
        </w:rPr>
      </w:pPr>
      <w:r w:rsidRPr="00C361D5">
        <w:rPr>
          <w:rFonts w:ascii="Arial" w:hAnsi="Arial" w:cs="Arial"/>
          <w:b/>
          <w:bCs/>
          <w:sz w:val="24"/>
          <w:szCs w:val="24"/>
          <w:u w:val="single"/>
        </w:rPr>
        <w:t>Email-4-AC2.2:</w:t>
      </w:r>
    </w:p>
    <w:p w14:paraId="450C70E1" w14:textId="77777777" w:rsidR="00C361D5" w:rsidRPr="00C361D5" w:rsidRDefault="00C361D5" w:rsidP="00C361D5">
      <w:pPr>
        <w:rPr>
          <w:rFonts w:ascii="Arial" w:hAnsi="Arial" w:cs="Arial"/>
          <w:sz w:val="24"/>
          <w:szCs w:val="24"/>
        </w:rPr>
      </w:pPr>
      <w:r w:rsidRPr="00C361D5">
        <w:rPr>
          <w:rFonts w:ascii="Arial" w:hAnsi="Arial" w:cs="Arial"/>
          <w:sz w:val="24"/>
          <w:szCs w:val="24"/>
        </w:rPr>
        <w:t>Thank you for your email.  After reviewing the proposal, I have identified significant risks under the Equality Act 2010, relating to equal pay and sex discrimination.</w:t>
      </w:r>
    </w:p>
    <w:p w14:paraId="095348ED" w14:textId="38B075DC" w:rsidR="00C361D5" w:rsidRPr="00C361D5" w:rsidRDefault="00C361D5" w:rsidP="00C361D5">
      <w:pPr>
        <w:rPr>
          <w:rFonts w:ascii="Arial" w:hAnsi="Arial" w:cs="Arial"/>
          <w:sz w:val="24"/>
          <w:szCs w:val="24"/>
        </w:rPr>
      </w:pPr>
      <w:r w:rsidRPr="00C361D5">
        <w:rPr>
          <w:rFonts w:ascii="Arial" w:hAnsi="Arial" w:cs="Arial"/>
          <w:sz w:val="24"/>
          <w:szCs w:val="24"/>
        </w:rPr>
        <w:t>According to ACAS</w:t>
      </w:r>
      <w:r w:rsidR="008043F5">
        <w:rPr>
          <w:rFonts w:ascii="Arial" w:hAnsi="Arial" w:cs="Arial"/>
          <w:sz w:val="24"/>
          <w:szCs w:val="24"/>
        </w:rPr>
        <w:t xml:space="preserve"> </w:t>
      </w:r>
      <w:r w:rsidR="00B1453B">
        <w:rPr>
          <w:rFonts w:ascii="Arial" w:hAnsi="Arial" w:cs="Arial"/>
          <w:sz w:val="24"/>
          <w:szCs w:val="24"/>
        </w:rPr>
        <w:t>(no date</w:t>
      </w:r>
      <w:r w:rsidR="000361CF">
        <w:rPr>
          <w:rFonts w:ascii="Arial" w:hAnsi="Arial" w:cs="Arial"/>
          <w:sz w:val="24"/>
          <w:szCs w:val="24"/>
        </w:rPr>
        <w:t>-</w:t>
      </w:r>
      <w:r w:rsidR="00B1453B">
        <w:rPr>
          <w:rFonts w:ascii="Arial" w:hAnsi="Arial" w:cs="Arial"/>
          <w:sz w:val="24"/>
          <w:szCs w:val="24"/>
        </w:rPr>
        <w:t>b)</w:t>
      </w:r>
      <w:r w:rsidRPr="00C361D5">
        <w:rPr>
          <w:rFonts w:ascii="Arial" w:hAnsi="Arial" w:cs="Arial"/>
          <w:sz w:val="24"/>
          <w:szCs w:val="24"/>
        </w:rPr>
        <w:t xml:space="preserve"> by law men and women must receive equal pay for doing equal work</w:t>
      </w:r>
      <w:r w:rsidR="00117484">
        <w:rPr>
          <w:rFonts w:ascii="Arial" w:hAnsi="Arial" w:cs="Arial"/>
          <w:sz w:val="24"/>
          <w:szCs w:val="24"/>
        </w:rPr>
        <w:t>,</w:t>
      </w:r>
      <w:r w:rsidRPr="00C361D5">
        <w:rPr>
          <w:rFonts w:ascii="Arial" w:hAnsi="Arial" w:cs="Arial"/>
          <w:sz w:val="24"/>
          <w:szCs w:val="24"/>
        </w:rPr>
        <w:t xml:space="preserve"> meaning work that is the same, similar, equivalent or of equal value.  This is covered by Section 64 of the Equality Act 2010, which sets out the statutory right to equal pay for men and women.  If the two male HCAs that you are wishing to upgrade from Grade A to B, are performing </w:t>
      </w:r>
      <w:r w:rsidR="00DE4E26">
        <w:rPr>
          <w:rFonts w:ascii="Arial" w:hAnsi="Arial" w:cs="Arial"/>
          <w:sz w:val="24"/>
          <w:szCs w:val="24"/>
        </w:rPr>
        <w:t xml:space="preserve">the </w:t>
      </w:r>
      <w:r w:rsidRPr="00C361D5">
        <w:rPr>
          <w:rFonts w:ascii="Arial" w:hAnsi="Arial" w:cs="Arial"/>
          <w:sz w:val="24"/>
          <w:szCs w:val="24"/>
        </w:rPr>
        <w:t xml:space="preserve">same or similar duties as other HCAs, </w:t>
      </w:r>
      <w:r w:rsidR="00DE4E26">
        <w:rPr>
          <w:rFonts w:ascii="Arial" w:hAnsi="Arial" w:cs="Arial"/>
          <w:sz w:val="24"/>
          <w:szCs w:val="24"/>
        </w:rPr>
        <w:t xml:space="preserve">the </w:t>
      </w:r>
      <w:r w:rsidRPr="00C361D5">
        <w:rPr>
          <w:rFonts w:ascii="Arial" w:hAnsi="Arial" w:cs="Arial"/>
          <w:sz w:val="24"/>
          <w:szCs w:val="24"/>
        </w:rPr>
        <w:t xml:space="preserve">majority of whom are women, upgrading and increasing their pay could expose the Trust to equal pay claims.      </w:t>
      </w:r>
    </w:p>
    <w:p w14:paraId="5B214FC3" w14:textId="60A11E97" w:rsidR="00C361D5" w:rsidRPr="00C361D5" w:rsidRDefault="00C361D5" w:rsidP="00C361D5">
      <w:pPr>
        <w:rPr>
          <w:rFonts w:ascii="Arial" w:hAnsi="Arial" w:cs="Arial"/>
          <w:sz w:val="24"/>
          <w:szCs w:val="24"/>
        </w:rPr>
      </w:pPr>
      <w:r w:rsidRPr="00C361D5">
        <w:rPr>
          <w:rFonts w:ascii="Arial" w:hAnsi="Arial" w:cs="Arial"/>
          <w:sz w:val="24"/>
          <w:szCs w:val="24"/>
        </w:rPr>
        <w:t xml:space="preserve">A female HCA could argue that an employee of the opposite sex (known as a comparator) employed by the Trust is performing like work but receiving a higher rate of pay.  To defend the claim, the Trust must show that there is a genuine operational reason for the upgrade and the approach taken is appropriate and </w:t>
      </w:r>
      <w:r w:rsidRPr="00C361D5">
        <w:rPr>
          <w:rFonts w:ascii="Arial" w:hAnsi="Arial" w:cs="Arial"/>
          <w:sz w:val="24"/>
          <w:szCs w:val="24"/>
        </w:rPr>
        <w:lastRenderedPageBreak/>
        <w:t>necessary.  The Trust would need to show that the pay difference is due to a legitimate factor unrelated to sex, ideally supported by a bona fide non-discriminatory job evaluation scheme.  Daniel</w:t>
      </w:r>
      <w:r w:rsidR="00B134D9">
        <w:rPr>
          <w:rFonts w:ascii="Arial" w:hAnsi="Arial" w:cs="Arial"/>
          <w:sz w:val="24"/>
          <w:szCs w:val="24"/>
        </w:rPr>
        <w:t>s</w:t>
      </w:r>
      <w:r w:rsidRPr="00C361D5">
        <w:rPr>
          <w:rFonts w:ascii="Arial" w:hAnsi="Arial" w:cs="Arial"/>
          <w:sz w:val="24"/>
          <w:szCs w:val="24"/>
        </w:rPr>
        <w:t xml:space="preserve"> (2025, p.132) explains that equal pay claims arise from where a woman’s contractual terms are less favourable than those of a man (or vice versa) for like work, work related as equivalent, or work of equal value, but these provisions do not apply where comparisons are made within the same gender group.  An example is Ms M Thandi v Next Retail Ltd shows that unjustified pay differences disadvantaging women can amount to indirect discrimination, highlighting the need for clear evidence-based pay structures.    </w:t>
      </w:r>
    </w:p>
    <w:p w14:paraId="27FDD75D" w14:textId="346973CF" w:rsidR="00C361D5" w:rsidRPr="00C361D5" w:rsidRDefault="00C361D5" w:rsidP="00C361D5">
      <w:pPr>
        <w:rPr>
          <w:rFonts w:ascii="Arial" w:hAnsi="Arial" w:cs="Arial"/>
          <w:sz w:val="24"/>
          <w:szCs w:val="24"/>
        </w:rPr>
      </w:pPr>
      <w:r w:rsidRPr="00C361D5">
        <w:rPr>
          <w:rFonts w:ascii="Arial" w:hAnsi="Arial" w:cs="Arial"/>
          <w:sz w:val="24"/>
          <w:szCs w:val="24"/>
        </w:rPr>
        <w:t>As a man</w:t>
      </w:r>
      <w:r w:rsidR="0074255E">
        <w:rPr>
          <w:rFonts w:ascii="Arial" w:hAnsi="Arial" w:cs="Arial"/>
          <w:sz w:val="24"/>
          <w:szCs w:val="24"/>
        </w:rPr>
        <w:t>a</w:t>
      </w:r>
      <w:r w:rsidRPr="00C361D5">
        <w:rPr>
          <w:rFonts w:ascii="Arial" w:hAnsi="Arial" w:cs="Arial"/>
          <w:sz w:val="24"/>
          <w:szCs w:val="24"/>
        </w:rPr>
        <w:t>ger, you will need to identify whether the two HCAs are undertaking duties that fall within Grade B through a formal job evaluation process.  The CIPD (202</w:t>
      </w:r>
      <w:r w:rsidR="0095441E">
        <w:rPr>
          <w:rFonts w:ascii="Arial" w:hAnsi="Arial" w:cs="Arial"/>
          <w:sz w:val="24"/>
          <w:szCs w:val="24"/>
        </w:rPr>
        <w:t>5d</w:t>
      </w:r>
      <w:r w:rsidRPr="00C361D5">
        <w:rPr>
          <w:rFonts w:ascii="Arial" w:hAnsi="Arial" w:cs="Arial"/>
          <w:sz w:val="24"/>
          <w:szCs w:val="24"/>
        </w:rPr>
        <w:t>) states that pay differences may be lawful where they are objectively justified by additional responsibilities or supervisory duties.  The CIPD (202</w:t>
      </w:r>
      <w:r w:rsidR="0095441E">
        <w:rPr>
          <w:rFonts w:ascii="Arial" w:hAnsi="Arial" w:cs="Arial"/>
          <w:sz w:val="24"/>
          <w:szCs w:val="24"/>
        </w:rPr>
        <w:t>5d</w:t>
      </w:r>
      <w:r w:rsidRPr="00C361D5">
        <w:rPr>
          <w:rFonts w:ascii="Arial" w:hAnsi="Arial" w:cs="Arial"/>
          <w:sz w:val="24"/>
          <w:szCs w:val="24"/>
        </w:rPr>
        <w:t>) also refers to the Equality and Human Rights Commission where employe</w:t>
      </w:r>
      <w:r w:rsidR="00565FED">
        <w:rPr>
          <w:rFonts w:ascii="Arial" w:hAnsi="Arial" w:cs="Arial"/>
          <w:sz w:val="24"/>
          <w:szCs w:val="24"/>
        </w:rPr>
        <w:t>rs</w:t>
      </w:r>
      <w:r w:rsidRPr="00C361D5">
        <w:rPr>
          <w:rFonts w:ascii="Arial" w:hAnsi="Arial" w:cs="Arial"/>
          <w:sz w:val="24"/>
          <w:szCs w:val="24"/>
        </w:rPr>
        <w:t xml:space="preserve"> are advised to use job evaluation and equal pay audits to identify “equal work” and prevent discrimination.  Any decision to award Grade B must therefore be evidence-based and objectively justified.</w:t>
      </w:r>
    </w:p>
    <w:p w14:paraId="5AED4CBE" w14:textId="57262287" w:rsidR="00C361D5" w:rsidRPr="00C361D5" w:rsidRDefault="00C361D5" w:rsidP="00C361D5">
      <w:pPr>
        <w:rPr>
          <w:rFonts w:ascii="Arial" w:hAnsi="Arial" w:cs="Arial"/>
          <w:sz w:val="24"/>
          <w:szCs w:val="24"/>
        </w:rPr>
      </w:pPr>
      <w:r w:rsidRPr="00C361D5">
        <w:rPr>
          <w:rFonts w:ascii="Arial" w:hAnsi="Arial" w:cs="Arial"/>
          <w:sz w:val="24"/>
          <w:szCs w:val="24"/>
        </w:rPr>
        <w:t xml:space="preserve">In conclusion, approving the upgrade without evaluation and objective justification would expose the Trust to potential equal pay and sex discrimination claims under the Equality Act 2010.  Careful assessment and HR involvement </w:t>
      </w:r>
      <w:r w:rsidR="00547C30">
        <w:rPr>
          <w:rFonts w:ascii="Arial" w:hAnsi="Arial" w:cs="Arial"/>
          <w:sz w:val="24"/>
          <w:szCs w:val="24"/>
        </w:rPr>
        <w:t>are</w:t>
      </w:r>
      <w:r w:rsidRPr="00C361D5">
        <w:rPr>
          <w:rFonts w:ascii="Arial" w:hAnsi="Arial" w:cs="Arial"/>
          <w:sz w:val="24"/>
          <w:szCs w:val="24"/>
        </w:rPr>
        <w:t xml:space="preserve"> essential before any approval is given. </w:t>
      </w:r>
    </w:p>
    <w:p w14:paraId="5CA60869" w14:textId="77777777" w:rsidR="00C361D5" w:rsidRPr="00C361D5" w:rsidRDefault="00C361D5" w:rsidP="00C361D5">
      <w:pPr>
        <w:rPr>
          <w:rFonts w:ascii="Arial" w:hAnsi="Arial" w:cs="Arial"/>
          <w:b/>
          <w:bCs/>
          <w:sz w:val="24"/>
          <w:szCs w:val="24"/>
          <w:u w:val="single"/>
        </w:rPr>
      </w:pPr>
      <w:r w:rsidRPr="00C361D5">
        <w:rPr>
          <w:rFonts w:ascii="Arial" w:hAnsi="Arial" w:cs="Arial"/>
          <w:b/>
          <w:bCs/>
          <w:sz w:val="24"/>
          <w:szCs w:val="24"/>
          <w:u w:val="single"/>
        </w:rPr>
        <w:t>Email-5-AC3.1:</w:t>
      </w:r>
    </w:p>
    <w:p w14:paraId="689D99DB" w14:textId="506ACB99" w:rsidR="00C361D5" w:rsidRPr="00C361D5" w:rsidRDefault="00C361D5" w:rsidP="00C361D5">
      <w:pPr>
        <w:spacing w:line="240" w:lineRule="auto"/>
        <w:rPr>
          <w:rFonts w:ascii="Arial" w:hAnsi="Arial" w:cs="Arial"/>
          <w:sz w:val="24"/>
          <w:szCs w:val="24"/>
        </w:rPr>
      </w:pPr>
      <w:r w:rsidRPr="00C361D5">
        <w:rPr>
          <w:rFonts w:ascii="Arial" w:hAnsi="Arial" w:cs="Arial"/>
          <w:sz w:val="24"/>
          <w:szCs w:val="24"/>
        </w:rPr>
        <w:t xml:space="preserve">In response to your email, I have outlined when changes to working hours can lead to constructive dismissal, and the preventive steps to avoid similar issues in the future. </w:t>
      </w:r>
    </w:p>
    <w:p w14:paraId="01244E1D" w14:textId="7186CA7E" w:rsidR="00C361D5" w:rsidRPr="00C361D5" w:rsidRDefault="00C361D5" w:rsidP="00C361D5">
      <w:pPr>
        <w:spacing w:line="240" w:lineRule="auto"/>
        <w:rPr>
          <w:rFonts w:ascii="Arial" w:hAnsi="Arial" w:cs="Arial"/>
          <w:sz w:val="24"/>
          <w:szCs w:val="24"/>
        </w:rPr>
      </w:pPr>
      <w:r w:rsidRPr="00C361D5">
        <w:rPr>
          <w:rFonts w:ascii="Arial" w:hAnsi="Arial" w:cs="Arial"/>
          <w:sz w:val="24"/>
          <w:szCs w:val="24"/>
        </w:rPr>
        <w:t>Constructive dismissal is defined under s.95(1)(c) of the Employment Rights Act 1996, as a situation where an employee is treated as dismissed when they resign without notice because of the employer</w:t>
      </w:r>
      <w:r w:rsidR="00C67E42">
        <w:rPr>
          <w:rFonts w:ascii="Arial" w:hAnsi="Arial" w:cs="Arial"/>
          <w:sz w:val="24"/>
          <w:szCs w:val="24"/>
        </w:rPr>
        <w:t>’</w:t>
      </w:r>
      <w:r w:rsidRPr="00C361D5">
        <w:rPr>
          <w:rFonts w:ascii="Arial" w:hAnsi="Arial" w:cs="Arial"/>
          <w:sz w:val="24"/>
          <w:szCs w:val="24"/>
        </w:rPr>
        <w:t xml:space="preserve">s conduct.  In Mrs D Hart v St Mary’s School (Colchester) Ltd. (UKEAT/0305/14/DM), the Employment Appeal Tribunal held that a substantive unilateral change to an employee’s working pattern without agreement, can </w:t>
      </w:r>
      <w:r w:rsidR="00064499">
        <w:rPr>
          <w:rFonts w:ascii="Arial" w:hAnsi="Arial" w:cs="Arial"/>
          <w:sz w:val="24"/>
          <w:szCs w:val="24"/>
        </w:rPr>
        <w:t xml:space="preserve">be a </w:t>
      </w:r>
      <w:r w:rsidRPr="00C361D5">
        <w:rPr>
          <w:rFonts w:ascii="Arial" w:hAnsi="Arial" w:cs="Arial"/>
          <w:sz w:val="24"/>
          <w:szCs w:val="24"/>
        </w:rPr>
        <w:t xml:space="preserve">breach of contract and that resigning in response may constitute constructive dismissal. </w:t>
      </w:r>
    </w:p>
    <w:p w14:paraId="68D5630F" w14:textId="73782DEC" w:rsidR="00C361D5" w:rsidRPr="00C361D5" w:rsidRDefault="00C361D5" w:rsidP="00C361D5">
      <w:pPr>
        <w:spacing w:line="240" w:lineRule="auto"/>
        <w:rPr>
          <w:rFonts w:ascii="Arial" w:hAnsi="Arial" w:cs="Arial"/>
          <w:sz w:val="24"/>
          <w:szCs w:val="24"/>
        </w:rPr>
      </w:pPr>
      <w:r w:rsidRPr="00C361D5">
        <w:rPr>
          <w:rFonts w:ascii="Arial" w:hAnsi="Arial" w:cs="Arial"/>
          <w:sz w:val="24"/>
          <w:szCs w:val="24"/>
        </w:rPr>
        <w:t>If the Trust makes changes that significantly affect an employee</w:t>
      </w:r>
      <w:r w:rsidR="00941AD0">
        <w:rPr>
          <w:rFonts w:ascii="Arial" w:hAnsi="Arial" w:cs="Arial"/>
          <w:sz w:val="24"/>
          <w:szCs w:val="24"/>
        </w:rPr>
        <w:t>’</w:t>
      </w:r>
      <w:r w:rsidRPr="00C361D5">
        <w:rPr>
          <w:rFonts w:ascii="Arial" w:hAnsi="Arial" w:cs="Arial"/>
          <w:sz w:val="24"/>
          <w:szCs w:val="24"/>
        </w:rPr>
        <w:t>s work-life balance, pay or established working arrangements without consultation or consent, tribunals may view this as a breach of contract.  Daniels (2025, p.182) notes that to show constructive dismissal, the employee must demonstrate a breach of contract, that the breach caused their resignation, and they resigned without delay. ACAS</w:t>
      </w:r>
      <w:r w:rsidR="00244358">
        <w:rPr>
          <w:rFonts w:ascii="Arial" w:hAnsi="Arial" w:cs="Arial"/>
          <w:sz w:val="24"/>
          <w:szCs w:val="24"/>
        </w:rPr>
        <w:t xml:space="preserve"> (no date-a)</w:t>
      </w:r>
      <w:r w:rsidRPr="00C361D5">
        <w:rPr>
          <w:rFonts w:ascii="Arial" w:hAnsi="Arial" w:cs="Arial"/>
          <w:sz w:val="24"/>
          <w:szCs w:val="24"/>
        </w:rPr>
        <w:t xml:space="preserve"> guidance also supports that unreasonable changes to working patterns or pay without agreement can amount to a breach of contract and create a risk of constructive dismissal claims.  </w:t>
      </w:r>
    </w:p>
    <w:p w14:paraId="5D461CF3" w14:textId="5A761FC9" w:rsidR="00C361D5" w:rsidRPr="00C361D5" w:rsidRDefault="00C361D5" w:rsidP="00C361D5">
      <w:pPr>
        <w:spacing w:line="240" w:lineRule="auto"/>
        <w:rPr>
          <w:rFonts w:ascii="Arial" w:hAnsi="Arial" w:cs="Arial"/>
          <w:sz w:val="24"/>
          <w:szCs w:val="24"/>
        </w:rPr>
      </w:pPr>
      <w:r w:rsidRPr="00C361D5">
        <w:rPr>
          <w:rFonts w:ascii="Arial" w:hAnsi="Arial" w:cs="Arial"/>
          <w:sz w:val="24"/>
          <w:szCs w:val="24"/>
        </w:rPr>
        <w:t>ACAS</w:t>
      </w:r>
      <w:r w:rsidR="00244358">
        <w:rPr>
          <w:rFonts w:ascii="Arial" w:hAnsi="Arial" w:cs="Arial"/>
          <w:sz w:val="24"/>
          <w:szCs w:val="24"/>
        </w:rPr>
        <w:t xml:space="preserve"> (no date-a)</w:t>
      </w:r>
      <w:r w:rsidRPr="00C361D5">
        <w:rPr>
          <w:rFonts w:ascii="Arial" w:hAnsi="Arial" w:cs="Arial"/>
          <w:sz w:val="24"/>
          <w:szCs w:val="24"/>
        </w:rPr>
        <w:t xml:space="preserve"> confirms that an individual can bring a constructive dismissal claim if they have employee status for example by receiving statutory paid holidays or working regular contracted hours</w:t>
      </w:r>
      <w:r w:rsidR="001C3004">
        <w:rPr>
          <w:rFonts w:ascii="Arial" w:hAnsi="Arial" w:cs="Arial"/>
          <w:sz w:val="24"/>
          <w:szCs w:val="24"/>
        </w:rPr>
        <w:t>,</w:t>
      </w:r>
      <w:r w:rsidRPr="00C361D5">
        <w:rPr>
          <w:rFonts w:ascii="Arial" w:hAnsi="Arial" w:cs="Arial"/>
          <w:sz w:val="24"/>
          <w:szCs w:val="24"/>
        </w:rPr>
        <w:t xml:space="preserve"> and worked for the Trust for at least two continuous years.  There are strict limits for making a claim, in most cases, the </w:t>
      </w:r>
      <w:r w:rsidRPr="00C361D5">
        <w:rPr>
          <w:rFonts w:ascii="Arial" w:hAnsi="Arial" w:cs="Arial"/>
          <w:sz w:val="24"/>
          <w:szCs w:val="24"/>
        </w:rPr>
        <w:lastRenderedPageBreak/>
        <w:t xml:space="preserve">individual has three months, less one day from either last day of their notice period or the date they resigned.   </w:t>
      </w:r>
    </w:p>
    <w:p w14:paraId="65D18E29" w14:textId="5D0D1430" w:rsidR="00C361D5" w:rsidRPr="00C361D5" w:rsidRDefault="00C361D5" w:rsidP="00C361D5">
      <w:pPr>
        <w:spacing w:line="240" w:lineRule="auto"/>
        <w:rPr>
          <w:rFonts w:ascii="Arial" w:hAnsi="Arial" w:cs="Arial"/>
          <w:sz w:val="24"/>
          <w:szCs w:val="24"/>
        </w:rPr>
      </w:pPr>
      <w:r w:rsidRPr="00C361D5">
        <w:rPr>
          <w:rFonts w:ascii="Arial" w:hAnsi="Arial" w:cs="Arial"/>
          <w:sz w:val="24"/>
          <w:szCs w:val="24"/>
        </w:rPr>
        <w:t>The Trust may, in the future, need to make a change to employees</w:t>
      </w:r>
      <w:r w:rsidR="001C3004">
        <w:rPr>
          <w:rFonts w:ascii="Arial" w:hAnsi="Arial" w:cs="Arial"/>
          <w:sz w:val="24"/>
          <w:szCs w:val="24"/>
        </w:rPr>
        <w:t>’</w:t>
      </w:r>
      <w:r w:rsidRPr="00C361D5">
        <w:rPr>
          <w:rFonts w:ascii="Arial" w:hAnsi="Arial" w:cs="Arial"/>
          <w:sz w:val="24"/>
          <w:szCs w:val="24"/>
        </w:rPr>
        <w:t xml:space="preserve"> contracts to ensure continued operational effectiveness, for example during restructuring.  However, this does not mean the Trust can alter contracts unilaterally. As Daniels (2025, p.74) explains, a contract of employment is a legal agreement between</w:t>
      </w:r>
      <w:r w:rsidR="00E6168E">
        <w:rPr>
          <w:rFonts w:ascii="Arial" w:hAnsi="Arial" w:cs="Arial"/>
          <w:sz w:val="24"/>
          <w:szCs w:val="24"/>
        </w:rPr>
        <w:t xml:space="preserve"> the</w:t>
      </w:r>
      <w:r w:rsidRPr="00C361D5">
        <w:rPr>
          <w:rFonts w:ascii="Arial" w:hAnsi="Arial" w:cs="Arial"/>
          <w:sz w:val="24"/>
          <w:szCs w:val="24"/>
        </w:rPr>
        <w:t xml:space="preserve"> employer and employee and cannot be varied without consent.  </w:t>
      </w:r>
    </w:p>
    <w:p w14:paraId="46458008" w14:textId="24E3EF5B" w:rsidR="00C361D5" w:rsidRPr="00C361D5" w:rsidRDefault="00C361D5" w:rsidP="00904461">
      <w:pPr>
        <w:spacing w:line="240" w:lineRule="auto"/>
        <w:rPr>
          <w:rFonts w:ascii="Arial" w:hAnsi="Arial" w:cs="Arial"/>
          <w:sz w:val="24"/>
          <w:szCs w:val="24"/>
        </w:rPr>
      </w:pPr>
      <w:r w:rsidRPr="00C361D5">
        <w:rPr>
          <w:rFonts w:ascii="Arial" w:hAnsi="Arial" w:cs="Arial"/>
          <w:sz w:val="24"/>
          <w:szCs w:val="24"/>
        </w:rPr>
        <w:t>To protect the Trust, any proposed contractual change should go through a period of consultation.  Daniels (2025, p.74) supports</w:t>
      </w:r>
      <w:r w:rsidR="003A78F6">
        <w:rPr>
          <w:rFonts w:ascii="Arial" w:hAnsi="Arial" w:cs="Arial"/>
          <w:sz w:val="24"/>
          <w:szCs w:val="24"/>
        </w:rPr>
        <w:t xml:space="preserve"> this</w:t>
      </w:r>
      <w:r w:rsidRPr="00C361D5">
        <w:rPr>
          <w:rFonts w:ascii="Arial" w:hAnsi="Arial" w:cs="Arial"/>
          <w:sz w:val="24"/>
          <w:szCs w:val="24"/>
        </w:rPr>
        <w:t xml:space="preserve">, noting that consultation allows employees to raise concerns and gives the Trust an opportunity to reflect on its approach, reducing the risk of future claims.  Landy (2017) similarly emphasises the importance of taking constructive dismissal risks seriously to avoid unnecessary time and costs.  He further advises that contractual changes must be handled properly, with appropriate legal advice, staff consultation and robust internal processes in place.        </w:t>
      </w:r>
    </w:p>
    <w:p w14:paraId="734D8C38" w14:textId="77777777" w:rsidR="00C361D5" w:rsidRPr="00C361D5" w:rsidRDefault="00C361D5" w:rsidP="00C361D5">
      <w:pPr>
        <w:rPr>
          <w:rFonts w:ascii="Arial" w:hAnsi="Arial" w:cs="Arial"/>
          <w:b/>
          <w:bCs/>
          <w:sz w:val="24"/>
          <w:szCs w:val="24"/>
          <w:u w:val="single"/>
        </w:rPr>
      </w:pPr>
      <w:r w:rsidRPr="00C361D5">
        <w:rPr>
          <w:rFonts w:ascii="Arial" w:hAnsi="Arial" w:cs="Arial"/>
          <w:b/>
          <w:bCs/>
          <w:sz w:val="24"/>
          <w:szCs w:val="24"/>
          <w:u w:val="single"/>
        </w:rPr>
        <w:t>Email-6-AC3.2:</w:t>
      </w:r>
    </w:p>
    <w:p w14:paraId="01092DF8" w14:textId="2481CD37" w:rsidR="00C361D5" w:rsidRPr="00C361D5" w:rsidRDefault="00C361D5" w:rsidP="00C361D5">
      <w:pPr>
        <w:rPr>
          <w:rFonts w:ascii="Arial" w:hAnsi="Arial" w:cs="Arial"/>
          <w:sz w:val="24"/>
          <w:szCs w:val="24"/>
        </w:rPr>
      </w:pPr>
      <w:r w:rsidRPr="00C361D5">
        <w:rPr>
          <w:rFonts w:ascii="Arial" w:hAnsi="Arial" w:cs="Arial"/>
          <w:sz w:val="24"/>
          <w:szCs w:val="24"/>
        </w:rPr>
        <w:t>I understand that you wish to move the process forward quickly, however, the Trust must</w:t>
      </w:r>
      <w:r w:rsidR="00C17DC3">
        <w:rPr>
          <w:rFonts w:ascii="Arial" w:hAnsi="Arial" w:cs="Arial"/>
          <w:sz w:val="24"/>
          <w:szCs w:val="24"/>
        </w:rPr>
        <w:t xml:space="preserve"> follow</w:t>
      </w:r>
      <w:r w:rsidRPr="00C361D5">
        <w:rPr>
          <w:rFonts w:ascii="Arial" w:hAnsi="Arial" w:cs="Arial"/>
          <w:sz w:val="24"/>
          <w:szCs w:val="24"/>
        </w:rPr>
        <w:t xml:space="preserve"> legal redundancy requirements</w:t>
      </w:r>
      <w:r w:rsidR="00D232FD">
        <w:rPr>
          <w:rFonts w:ascii="Arial" w:hAnsi="Arial" w:cs="Arial"/>
          <w:sz w:val="24"/>
          <w:szCs w:val="24"/>
        </w:rPr>
        <w:t xml:space="preserve">, as moving too quickly creates </w:t>
      </w:r>
      <w:r w:rsidRPr="00C361D5">
        <w:rPr>
          <w:rFonts w:ascii="Arial" w:hAnsi="Arial" w:cs="Arial"/>
          <w:sz w:val="24"/>
          <w:szCs w:val="24"/>
        </w:rPr>
        <w:t>significant legal and procedural risk</w:t>
      </w:r>
      <w:r w:rsidR="00D232FD">
        <w:rPr>
          <w:rFonts w:ascii="Arial" w:hAnsi="Arial" w:cs="Arial"/>
          <w:sz w:val="24"/>
          <w:szCs w:val="24"/>
        </w:rPr>
        <w:t>s</w:t>
      </w:r>
      <w:r w:rsidRPr="00C361D5">
        <w:rPr>
          <w:rFonts w:ascii="Arial" w:hAnsi="Arial" w:cs="Arial"/>
          <w:sz w:val="24"/>
          <w:szCs w:val="24"/>
        </w:rPr>
        <w:t xml:space="preserve">.  </w:t>
      </w:r>
    </w:p>
    <w:p w14:paraId="58352CAE" w14:textId="768959C9" w:rsidR="00C361D5" w:rsidRPr="00C361D5" w:rsidRDefault="00C361D5" w:rsidP="00C361D5">
      <w:pPr>
        <w:rPr>
          <w:rFonts w:ascii="Arial" w:hAnsi="Arial" w:cs="Arial"/>
          <w:sz w:val="24"/>
          <w:szCs w:val="24"/>
        </w:rPr>
      </w:pPr>
      <w:r w:rsidRPr="00C361D5">
        <w:rPr>
          <w:rFonts w:ascii="Arial" w:hAnsi="Arial" w:cs="Arial"/>
          <w:sz w:val="24"/>
          <w:szCs w:val="24"/>
        </w:rPr>
        <w:t>In considering your proposal, it is important to note that Section 139 of the Employment Rights Act 1996</w:t>
      </w:r>
      <w:r w:rsidR="00144FB1">
        <w:rPr>
          <w:rFonts w:ascii="Arial" w:hAnsi="Arial" w:cs="Arial"/>
          <w:sz w:val="24"/>
          <w:szCs w:val="24"/>
        </w:rPr>
        <w:t xml:space="preserve"> states that</w:t>
      </w:r>
      <w:r w:rsidRPr="00C361D5">
        <w:rPr>
          <w:rFonts w:ascii="Arial" w:hAnsi="Arial" w:cs="Arial"/>
          <w:sz w:val="24"/>
          <w:szCs w:val="24"/>
        </w:rPr>
        <w:t xml:space="preserve"> a redundancy exists where the employer’s need for employees to perform work </w:t>
      </w:r>
      <w:r w:rsidR="00E15396">
        <w:rPr>
          <w:rFonts w:ascii="Arial" w:hAnsi="Arial" w:cs="Arial"/>
          <w:sz w:val="24"/>
          <w:szCs w:val="24"/>
        </w:rPr>
        <w:t>of</w:t>
      </w:r>
      <w:r w:rsidRPr="00C361D5">
        <w:rPr>
          <w:rFonts w:ascii="Arial" w:hAnsi="Arial" w:cs="Arial"/>
          <w:sz w:val="24"/>
          <w:szCs w:val="24"/>
        </w:rPr>
        <w:t xml:space="preserve"> a particular kind has diminished, Section 98(4) requires the Trust to act reasonably when dismissing for redundancy, which includes following a fair and objective selection process.  This includes using transparent, evidence-based criteria</w:t>
      </w:r>
      <w:r w:rsidR="009B3D82">
        <w:rPr>
          <w:rFonts w:ascii="Arial" w:hAnsi="Arial" w:cs="Arial"/>
          <w:sz w:val="24"/>
          <w:szCs w:val="24"/>
        </w:rPr>
        <w:t>,</w:t>
      </w:r>
      <w:r w:rsidRPr="00C361D5">
        <w:rPr>
          <w:rFonts w:ascii="Arial" w:hAnsi="Arial" w:cs="Arial"/>
          <w:sz w:val="24"/>
          <w:szCs w:val="24"/>
        </w:rPr>
        <w:t xml:space="preserve"> avoiding discriminatory practices.  The case Mr J Lee v CC Cousins Ltd (2022) supports this, as the tribunal examined whether the employer had used reasonable selection criteria and consultation when determining the fairness of the dismissal.       </w:t>
      </w:r>
    </w:p>
    <w:p w14:paraId="0AFFE1C9" w14:textId="71B9AB8E" w:rsidR="00C361D5" w:rsidRPr="00C361D5" w:rsidRDefault="00C361D5" w:rsidP="00C361D5">
      <w:pPr>
        <w:rPr>
          <w:rFonts w:ascii="Arial" w:hAnsi="Arial" w:cs="Arial"/>
          <w:sz w:val="24"/>
          <w:szCs w:val="24"/>
        </w:rPr>
      </w:pPr>
      <w:r w:rsidRPr="00C361D5">
        <w:rPr>
          <w:rFonts w:ascii="Arial" w:hAnsi="Arial" w:cs="Arial"/>
          <w:sz w:val="24"/>
          <w:szCs w:val="24"/>
        </w:rPr>
        <w:t>A selection pool must be identified whenever more than one employee is at risk of redundancy.  As the Trust intends to make fifty posts redundant, the CIPD</w:t>
      </w:r>
      <w:r w:rsidR="00674818">
        <w:rPr>
          <w:rFonts w:ascii="Arial" w:hAnsi="Arial" w:cs="Arial"/>
          <w:sz w:val="24"/>
          <w:szCs w:val="24"/>
        </w:rPr>
        <w:t xml:space="preserve"> (2026)</w:t>
      </w:r>
      <w:r w:rsidRPr="00C361D5">
        <w:rPr>
          <w:rFonts w:ascii="Arial" w:hAnsi="Arial" w:cs="Arial"/>
          <w:sz w:val="24"/>
          <w:szCs w:val="24"/>
        </w:rPr>
        <w:t xml:space="preserve"> recommends that this pool should include employees who undertake similar types of work within the same department or location.  Selecting employees solely</w:t>
      </w:r>
      <w:r w:rsidR="003A1EBC">
        <w:rPr>
          <w:rFonts w:ascii="Arial" w:hAnsi="Arial" w:cs="Arial"/>
          <w:sz w:val="24"/>
          <w:szCs w:val="24"/>
        </w:rPr>
        <w:t xml:space="preserve"> based on</w:t>
      </w:r>
      <w:r w:rsidRPr="00C361D5">
        <w:rPr>
          <w:rFonts w:ascii="Arial" w:hAnsi="Arial" w:cs="Arial"/>
          <w:sz w:val="24"/>
          <w:szCs w:val="24"/>
        </w:rPr>
        <w:t xml:space="preserve"> underperformance could put the Trust at risk of unfair dismissal claims.  Daniels (2025, p.203) explains that once the pool has been identified the Trust must apply fair and objective criteria</w:t>
      </w:r>
      <w:r w:rsidR="003A1EBC">
        <w:rPr>
          <w:rFonts w:ascii="Arial" w:hAnsi="Arial" w:cs="Arial"/>
          <w:sz w:val="24"/>
          <w:szCs w:val="24"/>
        </w:rPr>
        <w:t>,</w:t>
      </w:r>
      <w:r w:rsidRPr="00C361D5">
        <w:rPr>
          <w:rFonts w:ascii="Arial" w:hAnsi="Arial" w:cs="Arial"/>
          <w:sz w:val="24"/>
          <w:szCs w:val="24"/>
        </w:rPr>
        <w:t xml:space="preserve"> such as attendance, qualifications and performance.  </w:t>
      </w:r>
    </w:p>
    <w:p w14:paraId="1585A168" w14:textId="54DBCFAA" w:rsidR="00C361D5" w:rsidRPr="00C361D5" w:rsidRDefault="00C361D5" w:rsidP="00C361D5">
      <w:pPr>
        <w:rPr>
          <w:rFonts w:ascii="Arial" w:hAnsi="Arial" w:cs="Arial"/>
          <w:sz w:val="24"/>
          <w:szCs w:val="24"/>
        </w:rPr>
      </w:pPr>
      <w:r w:rsidRPr="00C361D5">
        <w:rPr>
          <w:rFonts w:ascii="Arial" w:hAnsi="Arial" w:cs="Arial"/>
          <w:sz w:val="24"/>
          <w:szCs w:val="24"/>
        </w:rPr>
        <w:t>The Trust must also carry out a consultation process, which is legally required where an organisation proposes 20 or more redundancies within a 90-day period.  The required consultation period for 20-99 employees is 30 days.  Consultation provides an opportunity for the Trust to speak with affected employees as part of the collective consultation period.  ACAS</w:t>
      </w:r>
      <w:r w:rsidR="00D91537">
        <w:rPr>
          <w:rFonts w:ascii="Arial" w:hAnsi="Arial" w:cs="Arial"/>
          <w:sz w:val="24"/>
          <w:szCs w:val="24"/>
        </w:rPr>
        <w:t xml:space="preserve"> (no date-</w:t>
      </w:r>
      <w:r w:rsidR="006542AE">
        <w:rPr>
          <w:rFonts w:ascii="Arial" w:hAnsi="Arial" w:cs="Arial"/>
          <w:sz w:val="24"/>
          <w:szCs w:val="24"/>
        </w:rPr>
        <w:t>e)</w:t>
      </w:r>
      <w:r w:rsidRPr="00C361D5">
        <w:rPr>
          <w:rFonts w:ascii="Arial" w:hAnsi="Arial" w:cs="Arial"/>
          <w:sz w:val="24"/>
          <w:szCs w:val="24"/>
        </w:rPr>
        <w:t xml:space="preserve"> guidance says </w:t>
      </w:r>
      <w:r w:rsidR="0015563D">
        <w:rPr>
          <w:rFonts w:ascii="Arial" w:hAnsi="Arial" w:cs="Arial"/>
          <w:sz w:val="24"/>
          <w:szCs w:val="24"/>
        </w:rPr>
        <w:t xml:space="preserve">that, </w:t>
      </w:r>
      <w:r w:rsidRPr="00C361D5">
        <w:rPr>
          <w:rFonts w:ascii="Arial" w:hAnsi="Arial" w:cs="Arial"/>
          <w:sz w:val="24"/>
          <w:szCs w:val="24"/>
        </w:rPr>
        <w:t>as a Trust</w:t>
      </w:r>
      <w:r w:rsidR="00190682">
        <w:rPr>
          <w:rFonts w:ascii="Arial" w:hAnsi="Arial" w:cs="Arial"/>
          <w:sz w:val="24"/>
          <w:szCs w:val="24"/>
        </w:rPr>
        <w:t>,</w:t>
      </w:r>
      <w:r w:rsidRPr="00C361D5">
        <w:rPr>
          <w:rFonts w:ascii="Arial" w:hAnsi="Arial" w:cs="Arial"/>
          <w:sz w:val="24"/>
          <w:szCs w:val="24"/>
        </w:rPr>
        <w:t xml:space="preserve"> we will need to consult with employees’ representatives which will include engaging with the Trade unions or elected employee representatives and provide key information such as the proposed timetable and selection criteria, listen to concerns raised and identify any support required including time off to attend interviews.  Although the </w:t>
      </w:r>
      <w:r w:rsidRPr="00C361D5">
        <w:rPr>
          <w:rFonts w:ascii="Arial" w:hAnsi="Arial" w:cs="Arial"/>
          <w:sz w:val="24"/>
          <w:szCs w:val="24"/>
        </w:rPr>
        <w:lastRenderedPageBreak/>
        <w:t xml:space="preserve">process can be lengthy, it ensures the Trust meets its obligations under the Employment Rights Act 1996 to act reasonably and helps reduce the risk for unfair dismissal claims, particularly where employees argue that the process lacked communication and transparency. </w:t>
      </w:r>
    </w:p>
    <w:p w14:paraId="428DCDE6" w14:textId="4D16A6A1" w:rsidR="00C361D5" w:rsidRPr="00C361D5" w:rsidRDefault="00C361D5" w:rsidP="00C361D5">
      <w:pPr>
        <w:rPr>
          <w:rFonts w:ascii="Arial" w:hAnsi="Arial" w:cs="Arial"/>
          <w:sz w:val="24"/>
          <w:szCs w:val="24"/>
        </w:rPr>
      </w:pPr>
      <w:r w:rsidRPr="00C361D5">
        <w:rPr>
          <w:rFonts w:ascii="Arial" w:hAnsi="Arial" w:cs="Arial"/>
          <w:sz w:val="24"/>
          <w:szCs w:val="24"/>
        </w:rPr>
        <w:t>The Trust will need to act reasonabl</w:t>
      </w:r>
      <w:r w:rsidR="00405C66">
        <w:rPr>
          <w:rFonts w:ascii="Arial" w:hAnsi="Arial" w:cs="Arial"/>
          <w:sz w:val="24"/>
          <w:szCs w:val="24"/>
        </w:rPr>
        <w:t>y</w:t>
      </w:r>
      <w:r w:rsidRPr="00C361D5">
        <w:rPr>
          <w:rFonts w:ascii="Arial" w:hAnsi="Arial" w:cs="Arial"/>
          <w:sz w:val="24"/>
          <w:szCs w:val="24"/>
        </w:rPr>
        <w:t xml:space="preserve"> when issuing notice, which will mean providing the correct notice period.  </w:t>
      </w:r>
      <w:r w:rsidR="00576CC8">
        <w:rPr>
          <w:rFonts w:ascii="Arial" w:hAnsi="Arial" w:cs="Arial"/>
          <w:sz w:val="24"/>
          <w:szCs w:val="24"/>
        </w:rPr>
        <w:t>All e</w:t>
      </w:r>
      <w:r w:rsidRPr="00C361D5">
        <w:rPr>
          <w:rFonts w:ascii="Arial" w:hAnsi="Arial" w:cs="Arial"/>
          <w:sz w:val="24"/>
          <w:szCs w:val="24"/>
        </w:rPr>
        <w:t xml:space="preserve">mployees with two or more </w:t>
      </w:r>
      <w:r w:rsidR="00BD2A8A" w:rsidRPr="00C361D5">
        <w:rPr>
          <w:rFonts w:ascii="Arial" w:hAnsi="Arial" w:cs="Arial"/>
          <w:sz w:val="24"/>
          <w:szCs w:val="24"/>
        </w:rPr>
        <w:t>years</w:t>
      </w:r>
      <w:r w:rsidRPr="00C361D5">
        <w:rPr>
          <w:rFonts w:ascii="Arial" w:hAnsi="Arial" w:cs="Arial"/>
          <w:sz w:val="24"/>
          <w:szCs w:val="24"/>
        </w:rPr>
        <w:t xml:space="preserve"> </w:t>
      </w:r>
      <w:r w:rsidR="00BD2A8A">
        <w:rPr>
          <w:rFonts w:ascii="Arial" w:hAnsi="Arial" w:cs="Arial"/>
          <w:sz w:val="24"/>
          <w:szCs w:val="24"/>
        </w:rPr>
        <w:t xml:space="preserve">of </w:t>
      </w:r>
      <w:r w:rsidRPr="00C361D5">
        <w:rPr>
          <w:rFonts w:ascii="Arial" w:hAnsi="Arial" w:cs="Arial"/>
          <w:sz w:val="24"/>
          <w:szCs w:val="24"/>
        </w:rPr>
        <w:t xml:space="preserve">service are also entitled to statutory redundancy pay. </w:t>
      </w:r>
    </w:p>
    <w:p w14:paraId="6937C4B1" w14:textId="15909E55" w:rsidR="00C361D5" w:rsidRPr="004770C7" w:rsidRDefault="00C361D5" w:rsidP="00C361D5">
      <w:pPr>
        <w:rPr>
          <w:rFonts w:ascii="Arial" w:hAnsi="Arial" w:cs="Arial"/>
          <w:sz w:val="24"/>
          <w:szCs w:val="24"/>
        </w:rPr>
      </w:pPr>
      <w:r w:rsidRPr="00C361D5">
        <w:rPr>
          <w:rFonts w:ascii="Arial" w:hAnsi="Arial" w:cs="Arial"/>
          <w:sz w:val="24"/>
          <w:szCs w:val="24"/>
        </w:rPr>
        <w:t xml:space="preserve">To ensure </w:t>
      </w:r>
      <w:r w:rsidR="003C0A23">
        <w:rPr>
          <w:rFonts w:ascii="Arial" w:hAnsi="Arial" w:cs="Arial"/>
          <w:sz w:val="24"/>
          <w:szCs w:val="24"/>
        </w:rPr>
        <w:t>a lawful r</w:t>
      </w:r>
      <w:r w:rsidRPr="00C361D5">
        <w:rPr>
          <w:rFonts w:ascii="Arial" w:hAnsi="Arial" w:cs="Arial"/>
          <w:sz w:val="24"/>
          <w:szCs w:val="24"/>
        </w:rPr>
        <w:t>edundancy process and reduce future claims</w:t>
      </w:r>
      <w:r w:rsidR="005111F8">
        <w:rPr>
          <w:rFonts w:ascii="Arial" w:hAnsi="Arial" w:cs="Arial"/>
          <w:sz w:val="24"/>
          <w:szCs w:val="24"/>
        </w:rPr>
        <w:t xml:space="preserve"> risks, the </w:t>
      </w:r>
      <w:r w:rsidRPr="00C361D5">
        <w:rPr>
          <w:rFonts w:ascii="Arial" w:hAnsi="Arial" w:cs="Arial"/>
          <w:sz w:val="24"/>
          <w:szCs w:val="24"/>
        </w:rPr>
        <w:t>Trust must follow</w:t>
      </w:r>
      <w:r w:rsidR="005111F8">
        <w:rPr>
          <w:rFonts w:ascii="Arial" w:hAnsi="Arial" w:cs="Arial"/>
          <w:sz w:val="24"/>
          <w:szCs w:val="24"/>
        </w:rPr>
        <w:t xml:space="preserve"> </w:t>
      </w:r>
      <w:r w:rsidRPr="00C361D5">
        <w:rPr>
          <w:rFonts w:ascii="Arial" w:hAnsi="Arial" w:cs="Arial"/>
          <w:sz w:val="24"/>
          <w:szCs w:val="24"/>
        </w:rPr>
        <w:t>fair selection, meaningful consultation</w:t>
      </w:r>
      <w:r w:rsidR="005111F8">
        <w:rPr>
          <w:rFonts w:ascii="Arial" w:hAnsi="Arial" w:cs="Arial"/>
          <w:sz w:val="24"/>
          <w:szCs w:val="24"/>
        </w:rPr>
        <w:t xml:space="preserve"> </w:t>
      </w:r>
      <w:r w:rsidRPr="00C361D5">
        <w:rPr>
          <w:rFonts w:ascii="Arial" w:hAnsi="Arial" w:cs="Arial"/>
          <w:sz w:val="24"/>
          <w:szCs w:val="24"/>
        </w:rPr>
        <w:t xml:space="preserve">and meet statutory rights. </w:t>
      </w:r>
    </w:p>
    <w:p w14:paraId="1B81B1D0" w14:textId="77777777" w:rsidR="00C361D5" w:rsidRPr="00C361D5" w:rsidRDefault="00C361D5" w:rsidP="00C361D5">
      <w:pPr>
        <w:rPr>
          <w:rFonts w:ascii="Arial" w:hAnsi="Arial" w:cs="Arial"/>
          <w:b/>
          <w:bCs/>
          <w:sz w:val="24"/>
          <w:szCs w:val="24"/>
          <w:u w:val="single"/>
        </w:rPr>
      </w:pPr>
      <w:r w:rsidRPr="00C361D5">
        <w:rPr>
          <w:rFonts w:ascii="Arial" w:hAnsi="Arial" w:cs="Arial"/>
          <w:b/>
          <w:bCs/>
          <w:sz w:val="24"/>
          <w:szCs w:val="24"/>
          <w:u w:val="single"/>
        </w:rPr>
        <w:t>Email-7-AC3.3:</w:t>
      </w:r>
    </w:p>
    <w:p w14:paraId="598F4789" w14:textId="1E89812C" w:rsidR="00C361D5" w:rsidRPr="00C361D5" w:rsidRDefault="00C361D5" w:rsidP="00C361D5">
      <w:r w:rsidRPr="00C361D5">
        <w:rPr>
          <w:rFonts w:ascii="Arial" w:hAnsi="Arial" w:cs="Arial"/>
          <w:sz w:val="24"/>
          <w:szCs w:val="24"/>
        </w:rPr>
        <w:t xml:space="preserve">I have outlined the rights </w:t>
      </w:r>
      <w:r w:rsidR="00422E2F">
        <w:rPr>
          <w:rFonts w:ascii="Arial" w:hAnsi="Arial" w:cs="Arial"/>
          <w:sz w:val="24"/>
          <w:szCs w:val="24"/>
        </w:rPr>
        <w:t>that</w:t>
      </w:r>
      <w:r w:rsidRPr="00C361D5">
        <w:rPr>
          <w:rFonts w:ascii="Arial" w:hAnsi="Arial" w:cs="Arial"/>
          <w:sz w:val="24"/>
          <w:szCs w:val="24"/>
        </w:rPr>
        <w:t xml:space="preserve"> employees may have under the Transfer of Undertakings (Protection of Employment) Regulations 2006 (TUPE) </w:t>
      </w:r>
      <w:r w:rsidR="00422E2F">
        <w:rPr>
          <w:rFonts w:ascii="Arial" w:hAnsi="Arial" w:cs="Arial"/>
          <w:sz w:val="24"/>
          <w:szCs w:val="24"/>
        </w:rPr>
        <w:t xml:space="preserve">during </w:t>
      </w:r>
      <w:r w:rsidRPr="00C361D5">
        <w:rPr>
          <w:rFonts w:ascii="Arial" w:hAnsi="Arial" w:cs="Arial"/>
          <w:sz w:val="24"/>
          <w:szCs w:val="24"/>
        </w:rPr>
        <w:t xml:space="preserve">the proposed merger process. </w:t>
      </w:r>
    </w:p>
    <w:p w14:paraId="68B83DD7" w14:textId="6C9EC2E8" w:rsidR="00C361D5" w:rsidRPr="00C361D5" w:rsidRDefault="00C361D5" w:rsidP="00C361D5">
      <w:pPr>
        <w:rPr>
          <w:rFonts w:ascii="Arial" w:hAnsi="Arial" w:cs="Arial"/>
          <w:sz w:val="24"/>
          <w:szCs w:val="24"/>
        </w:rPr>
      </w:pPr>
      <w:r w:rsidRPr="00C361D5">
        <w:rPr>
          <w:rFonts w:ascii="Arial" w:hAnsi="Arial" w:cs="Arial"/>
          <w:sz w:val="24"/>
          <w:szCs w:val="24"/>
        </w:rPr>
        <w:t>TUPE refers to the Transfer of Undertakings (Protection of Employment) Regulations 2006.  According to the CIPD (2025</w:t>
      </w:r>
      <w:r w:rsidR="00236466">
        <w:rPr>
          <w:rFonts w:ascii="Arial" w:hAnsi="Arial" w:cs="Arial"/>
          <w:sz w:val="24"/>
          <w:szCs w:val="24"/>
        </w:rPr>
        <w:t>g</w:t>
      </w:r>
      <w:r w:rsidRPr="00C361D5">
        <w:rPr>
          <w:rFonts w:ascii="Arial" w:hAnsi="Arial" w:cs="Arial"/>
          <w:sz w:val="24"/>
          <w:szCs w:val="24"/>
        </w:rPr>
        <w:t xml:space="preserve">), TUPE applies where there is a business transfer or a service provision change.  In this case, centralising pharmacy services is likely to be a service provision change.  Daniels (2025, p.209) explains that </w:t>
      </w:r>
      <w:r w:rsidR="00FA20D2">
        <w:rPr>
          <w:rFonts w:ascii="Arial" w:hAnsi="Arial" w:cs="Arial"/>
          <w:sz w:val="24"/>
          <w:szCs w:val="24"/>
        </w:rPr>
        <w:t xml:space="preserve">this </w:t>
      </w:r>
      <w:r w:rsidRPr="00C361D5">
        <w:rPr>
          <w:rFonts w:ascii="Arial" w:hAnsi="Arial" w:cs="Arial"/>
          <w:sz w:val="24"/>
          <w:szCs w:val="24"/>
        </w:rPr>
        <w:t xml:space="preserve">occurs when activities currently carried out by one employer transfer to another. Here, one Trust would stop providing its own pharmacy services, which would instead be delivered by our Trust.  While the activities remain the same, the provider changes and therefore TUPE protections would apply.    </w:t>
      </w:r>
    </w:p>
    <w:p w14:paraId="7F295098" w14:textId="30C63218" w:rsidR="00C361D5" w:rsidRPr="00C361D5" w:rsidRDefault="00C361D5" w:rsidP="00C361D5">
      <w:pPr>
        <w:rPr>
          <w:rFonts w:ascii="Arial" w:hAnsi="Arial" w:cs="Arial"/>
          <w:sz w:val="24"/>
          <w:szCs w:val="24"/>
        </w:rPr>
      </w:pPr>
      <w:r w:rsidRPr="00C361D5">
        <w:rPr>
          <w:rFonts w:ascii="Arial" w:hAnsi="Arial" w:cs="Arial"/>
          <w:sz w:val="24"/>
          <w:szCs w:val="24"/>
        </w:rPr>
        <w:t xml:space="preserve">TUPE protects employees by </w:t>
      </w:r>
      <w:r w:rsidR="00654058">
        <w:rPr>
          <w:rFonts w:ascii="Arial" w:hAnsi="Arial" w:cs="Arial"/>
          <w:sz w:val="24"/>
          <w:szCs w:val="24"/>
        </w:rPr>
        <w:t xml:space="preserve">automatically </w:t>
      </w:r>
      <w:r w:rsidR="00992CBA">
        <w:rPr>
          <w:rFonts w:ascii="Arial" w:hAnsi="Arial" w:cs="Arial"/>
          <w:sz w:val="24"/>
          <w:szCs w:val="24"/>
        </w:rPr>
        <w:t>transferring their contracts</w:t>
      </w:r>
      <w:r w:rsidRPr="00C361D5">
        <w:rPr>
          <w:rFonts w:ascii="Arial" w:hAnsi="Arial" w:cs="Arial"/>
          <w:sz w:val="24"/>
          <w:szCs w:val="24"/>
        </w:rPr>
        <w:t xml:space="preserve"> to the new employer on their existing terms and conditions. Continuity of employment is protected, and employees are treated as though their employment had always been with the transferee.  </w:t>
      </w:r>
    </w:p>
    <w:p w14:paraId="6F05E235" w14:textId="5A6E2BEF" w:rsidR="00C361D5" w:rsidRPr="00C361D5" w:rsidRDefault="00C361D5" w:rsidP="00C361D5">
      <w:pPr>
        <w:rPr>
          <w:rFonts w:ascii="Arial" w:hAnsi="Arial" w:cs="Arial"/>
          <w:sz w:val="24"/>
          <w:szCs w:val="24"/>
        </w:rPr>
      </w:pPr>
      <w:r w:rsidRPr="00C361D5">
        <w:rPr>
          <w:rFonts w:ascii="Arial" w:hAnsi="Arial" w:cs="Arial"/>
          <w:sz w:val="24"/>
          <w:szCs w:val="24"/>
        </w:rPr>
        <w:t>If the Trust proceeds with the transfer, the rights, powers, duties and liabilities of the transferor in connection with the employees’ contract</w:t>
      </w:r>
      <w:r w:rsidR="0090694E">
        <w:rPr>
          <w:rFonts w:ascii="Arial" w:hAnsi="Arial" w:cs="Arial"/>
          <w:sz w:val="24"/>
          <w:szCs w:val="24"/>
        </w:rPr>
        <w:t>s</w:t>
      </w:r>
      <w:r w:rsidRPr="00C361D5">
        <w:rPr>
          <w:rFonts w:ascii="Arial" w:hAnsi="Arial" w:cs="Arial"/>
          <w:sz w:val="24"/>
          <w:szCs w:val="24"/>
        </w:rPr>
        <w:t xml:space="preserve"> will transfer to the new employer, the Trust.  The Trust should plan effectively and identify potential risks at an early stage of the transfer.  The CIPD (2025</w:t>
      </w:r>
      <w:r w:rsidR="00261EE4">
        <w:rPr>
          <w:rFonts w:ascii="Arial" w:hAnsi="Arial" w:cs="Arial"/>
          <w:sz w:val="24"/>
          <w:szCs w:val="24"/>
        </w:rPr>
        <w:t>g</w:t>
      </w:r>
      <w:r w:rsidRPr="00C361D5">
        <w:rPr>
          <w:rFonts w:ascii="Arial" w:hAnsi="Arial" w:cs="Arial"/>
          <w:sz w:val="24"/>
          <w:szCs w:val="24"/>
        </w:rPr>
        <w:t>) supports this approach and recommends that employe</w:t>
      </w:r>
      <w:r w:rsidR="00984809">
        <w:rPr>
          <w:rFonts w:ascii="Arial" w:hAnsi="Arial" w:cs="Arial"/>
          <w:sz w:val="24"/>
          <w:szCs w:val="24"/>
        </w:rPr>
        <w:t>rs</w:t>
      </w:r>
      <w:r w:rsidRPr="00C361D5">
        <w:rPr>
          <w:rFonts w:ascii="Arial" w:hAnsi="Arial" w:cs="Arial"/>
          <w:sz w:val="24"/>
          <w:szCs w:val="24"/>
        </w:rPr>
        <w:t xml:space="preserve"> seek legal advice, as the transferee inherits liability for employees’ statutory and contractual rights, including potential claims such as unfair dismissal.</w:t>
      </w:r>
    </w:p>
    <w:p w14:paraId="4FC4095C" w14:textId="52D21472" w:rsidR="00C361D5" w:rsidRPr="00C361D5" w:rsidRDefault="00C361D5" w:rsidP="00C361D5">
      <w:pPr>
        <w:rPr>
          <w:rFonts w:ascii="Arial" w:hAnsi="Arial" w:cs="Arial"/>
          <w:sz w:val="24"/>
          <w:szCs w:val="24"/>
        </w:rPr>
      </w:pPr>
      <w:r w:rsidRPr="00C361D5">
        <w:rPr>
          <w:rFonts w:ascii="Arial" w:hAnsi="Arial" w:cs="Arial"/>
          <w:sz w:val="24"/>
          <w:szCs w:val="24"/>
        </w:rPr>
        <w:t>Under TUPE, employers must inform and, where appropriate, consult with affected employees before a transfer.  Both the old (transferor) and new (transferee) employer share these responsibilities.  Consultation should involve trade unions or employee representatives. Employers must provide key information about the transfer, including the expected date and the reasons for it, even where no changes to terms are proposed.  ACAS</w:t>
      </w:r>
      <w:r w:rsidR="008F6192">
        <w:rPr>
          <w:rFonts w:ascii="Arial" w:hAnsi="Arial" w:cs="Arial"/>
          <w:sz w:val="24"/>
          <w:szCs w:val="24"/>
        </w:rPr>
        <w:t xml:space="preserve"> (no date-f)</w:t>
      </w:r>
      <w:r w:rsidRPr="00C361D5">
        <w:rPr>
          <w:rFonts w:ascii="Arial" w:hAnsi="Arial" w:cs="Arial"/>
          <w:sz w:val="24"/>
          <w:szCs w:val="24"/>
        </w:rPr>
        <w:t xml:space="preserve"> emphasises early and meaningful consultation, noting that open communication helps reduce stress, address concerns, identify issues and support a smoother transfer.  </w:t>
      </w:r>
    </w:p>
    <w:p w14:paraId="2EA7DCE0" w14:textId="6B11B9F5" w:rsidR="00C361D5" w:rsidRPr="00C361D5" w:rsidRDefault="00C361D5" w:rsidP="00C361D5">
      <w:pPr>
        <w:rPr>
          <w:rFonts w:ascii="Arial" w:hAnsi="Arial" w:cs="Arial"/>
          <w:sz w:val="24"/>
          <w:szCs w:val="24"/>
        </w:rPr>
      </w:pPr>
      <w:r w:rsidRPr="00C361D5">
        <w:rPr>
          <w:rFonts w:ascii="Arial" w:hAnsi="Arial" w:cs="Arial"/>
          <w:sz w:val="24"/>
          <w:szCs w:val="24"/>
        </w:rPr>
        <w:t xml:space="preserve">Within an NHS Trust, where workforces are large and unionised (for example UNISON) effective engagement is particularly important to maintain employee </w:t>
      </w:r>
      <w:r w:rsidRPr="00C361D5">
        <w:rPr>
          <w:rFonts w:ascii="Arial" w:hAnsi="Arial" w:cs="Arial"/>
          <w:sz w:val="24"/>
          <w:szCs w:val="24"/>
        </w:rPr>
        <w:lastRenderedPageBreak/>
        <w:t>relations.  According to ACAS</w:t>
      </w:r>
      <w:r w:rsidR="00815939">
        <w:rPr>
          <w:rFonts w:ascii="Arial" w:hAnsi="Arial" w:cs="Arial"/>
          <w:sz w:val="24"/>
          <w:szCs w:val="24"/>
        </w:rPr>
        <w:t xml:space="preserve"> (no date-f)</w:t>
      </w:r>
      <w:r w:rsidRPr="00C361D5">
        <w:rPr>
          <w:rFonts w:ascii="Arial" w:hAnsi="Arial" w:cs="Arial"/>
          <w:sz w:val="24"/>
          <w:szCs w:val="24"/>
        </w:rPr>
        <w:t xml:space="preserve"> </w:t>
      </w:r>
      <w:r w:rsidR="009A192C">
        <w:rPr>
          <w:rFonts w:ascii="Arial" w:hAnsi="Arial" w:cs="Arial"/>
          <w:sz w:val="24"/>
          <w:szCs w:val="24"/>
        </w:rPr>
        <w:t>if organisations fail to</w:t>
      </w:r>
      <w:r w:rsidRPr="00C361D5">
        <w:rPr>
          <w:rFonts w:ascii="Arial" w:hAnsi="Arial" w:cs="Arial"/>
          <w:sz w:val="24"/>
          <w:szCs w:val="24"/>
        </w:rPr>
        <w:t xml:space="preserve"> comply with consultation</w:t>
      </w:r>
      <w:r w:rsidR="009A192C">
        <w:rPr>
          <w:rFonts w:ascii="Arial" w:hAnsi="Arial" w:cs="Arial"/>
          <w:sz w:val="24"/>
          <w:szCs w:val="24"/>
        </w:rPr>
        <w:t>, it</w:t>
      </w:r>
      <w:r w:rsidRPr="00C361D5">
        <w:rPr>
          <w:rFonts w:ascii="Arial" w:hAnsi="Arial" w:cs="Arial"/>
          <w:sz w:val="24"/>
          <w:szCs w:val="24"/>
        </w:rPr>
        <w:t xml:space="preserve"> could result in a protective award of up to 13 weeks’ pay per affected employee, creating both financial and reputational risk for the Trust.  </w:t>
      </w:r>
    </w:p>
    <w:p w14:paraId="78D137AB" w14:textId="77777777" w:rsidR="00C361D5" w:rsidRPr="00C361D5" w:rsidRDefault="00C361D5" w:rsidP="00C361D5">
      <w:r w:rsidRPr="00C361D5">
        <w:rPr>
          <w:rFonts w:ascii="Arial" w:hAnsi="Arial" w:cs="Arial"/>
          <w:sz w:val="24"/>
          <w:szCs w:val="24"/>
        </w:rPr>
        <w:t xml:space="preserve">Overall, TUPE protects employees’ terms and continuity of employment while placing clear legal duties on both employers to inform and consult staff, helping ensure a fair and legally compliant merger process. </w:t>
      </w:r>
    </w:p>
    <w:p w14:paraId="1F253033" w14:textId="77777777" w:rsidR="00C361D5" w:rsidRPr="00C361D5" w:rsidRDefault="00C361D5" w:rsidP="00C361D5">
      <w:pPr>
        <w:rPr>
          <w:rFonts w:ascii="Arial" w:hAnsi="Arial" w:cs="Arial"/>
          <w:b/>
          <w:bCs/>
          <w:sz w:val="24"/>
          <w:szCs w:val="24"/>
          <w:u w:val="single"/>
        </w:rPr>
      </w:pPr>
      <w:r w:rsidRPr="00C361D5">
        <w:rPr>
          <w:rFonts w:ascii="Arial" w:hAnsi="Arial" w:cs="Arial"/>
          <w:b/>
          <w:bCs/>
          <w:sz w:val="24"/>
          <w:szCs w:val="24"/>
          <w:u w:val="single"/>
        </w:rPr>
        <w:t>Email-8-AC4.1:</w:t>
      </w:r>
    </w:p>
    <w:p w14:paraId="70B6DD48" w14:textId="77777777" w:rsidR="00C361D5" w:rsidRPr="00C361D5" w:rsidRDefault="00C361D5" w:rsidP="00C361D5">
      <w:pPr>
        <w:rPr>
          <w:rFonts w:ascii="Arial" w:hAnsi="Arial" w:cs="Arial"/>
          <w:sz w:val="24"/>
          <w:szCs w:val="24"/>
        </w:rPr>
      </w:pPr>
      <w:r w:rsidRPr="00C361D5">
        <w:rPr>
          <w:rFonts w:ascii="Arial" w:hAnsi="Arial" w:cs="Arial"/>
          <w:sz w:val="24"/>
          <w:szCs w:val="24"/>
        </w:rPr>
        <w:t>I have outlined below the key rules that apply and how we should approach holiday pay for staff working irregular hours.</w:t>
      </w:r>
    </w:p>
    <w:p w14:paraId="3253FB4F" w14:textId="2E613F20" w:rsidR="00C361D5" w:rsidRPr="00C361D5" w:rsidRDefault="00C361D5" w:rsidP="00C361D5">
      <w:pPr>
        <w:rPr>
          <w:rFonts w:ascii="Arial" w:hAnsi="Arial" w:cs="Arial"/>
          <w:sz w:val="24"/>
          <w:szCs w:val="24"/>
        </w:rPr>
      </w:pPr>
      <w:r w:rsidRPr="00C361D5">
        <w:rPr>
          <w:rFonts w:ascii="Arial" w:hAnsi="Arial" w:cs="Arial"/>
          <w:sz w:val="24"/>
          <w:szCs w:val="24"/>
        </w:rPr>
        <w:t>The regulations state that all “workers” are entitled to 5.6 weeks annual leave per leave year. This statutory right applies regardless of employment status, including permanent, part-time, or casual/bank staff.  ACAS</w:t>
      </w:r>
      <w:r w:rsidR="00585F3B">
        <w:rPr>
          <w:rFonts w:ascii="Arial" w:hAnsi="Arial" w:cs="Arial"/>
          <w:sz w:val="24"/>
          <w:szCs w:val="24"/>
        </w:rPr>
        <w:t xml:space="preserve"> (no date-c)</w:t>
      </w:r>
      <w:r w:rsidRPr="00C361D5">
        <w:rPr>
          <w:rFonts w:ascii="Arial" w:hAnsi="Arial" w:cs="Arial"/>
          <w:sz w:val="24"/>
          <w:szCs w:val="24"/>
        </w:rPr>
        <w:t xml:space="preserve"> guidance confirms that irregular</w:t>
      </w:r>
      <w:r w:rsidR="008A779A">
        <w:rPr>
          <w:rFonts w:ascii="Arial" w:hAnsi="Arial" w:cs="Arial"/>
          <w:sz w:val="24"/>
          <w:szCs w:val="24"/>
        </w:rPr>
        <w:t>-</w:t>
      </w:r>
      <w:r w:rsidRPr="00C361D5">
        <w:rPr>
          <w:rFonts w:ascii="Arial" w:hAnsi="Arial" w:cs="Arial"/>
          <w:sz w:val="24"/>
          <w:szCs w:val="24"/>
        </w:rPr>
        <w:t>hour</w:t>
      </w:r>
      <w:r w:rsidR="008A779A">
        <w:rPr>
          <w:rFonts w:ascii="Arial" w:hAnsi="Arial" w:cs="Arial"/>
          <w:sz w:val="24"/>
          <w:szCs w:val="24"/>
        </w:rPr>
        <w:t>s</w:t>
      </w:r>
      <w:r w:rsidRPr="00C361D5">
        <w:rPr>
          <w:rFonts w:ascii="Arial" w:hAnsi="Arial" w:cs="Arial"/>
          <w:sz w:val="24"/>
          <w:szCs w:val="24"/>
        </w:rPr>
        <w:t xml:space="preserve"> workers are legally entitled to paid annual leave under the Working Time Regulations 1998, reinforcing that entitlement is based on worker status rather than contractual terms.  Therefore, our nurse bank staff are still entitled to statutory paid holiday.   </w:t>
      </w:r>
    </w:p>
    <w:p w14:paraId="5ADCCBC2" w14:textId="07280C6C" w:rsidR="00C361D5" w:rsidRPr="00C361D5" w:rsidRDefault="00C361D5" w:rsidP="00C361D5">
      <w:pPr>
        <w:rPr>
          <w:rFonts w:ascii="Arial" w:hAnsi="Arial" w:cs="Arial"/>
          <w:sz w:val="24"/>
          <w:szCs w:val="24"/>
        </w:rPr>
      </w:pPr>
      <w:r w:rsidRPr="00C361D5">
        <w:rPr>
          <w:rFonts w:ascii="Arial" w:hAnsi="Arial" w:cs="Arial"/>
          <w:sz w:val="24"/>
          <w:szCs w:val="24"/>
        </w:rPr>
        <w:t>Holiday pay is usually calculated using an accrual method of 12.07% of hours worked, reflecting the pro-rated entitlement of 5.6 weeks’ leave across the working year.  However, in the case Harpur Trust v Brazel (2022), the Supreme Court ruled that the 12.07% method was not lawful for part-year workers under the previous wording of the Regulations.   For leave years beginning on or after 1</w:t>
      </w:r>
      <w:r w:rsidRPr="00C361D5">
        <w:rPr>
          <w:rFonts w:ascii="Arial" w:hAnsi="Arial" w:cs="Arial"/>
          <w:sz w:val="24"/>
          <w:szCs w:val="24"/>
          <w:vertAlign w:val="superscript"/>
        </w:rPr>
        <w:t>st</w:t>
      </w:r>
      <w:r w:rsidRPr="00C361D5">
        <w:rPr>
          <w:rFonts w:ascii="Arial" w:hAnsi="Arial" w:cs="Arial"/>
          <w:sz w:val="24"/>
          <w:szCs w:val="24"/>
        </w:rPr>
        <w:t xml:space="preserve"> April 2024, UK Government guidance (2024), confirms that this 12.07% accrual method can now be applied to irregular hours workers, providing greater statutory clarity for employers.  The calculation should use the nurse’s average weekly pay based on the previous 52 weeks worked.  This rule applies regardless of when the worker’s leave year starts.  If any of our nurse bank staff have </w:t>
      </w:r>
      <w:r w:rsidR="0057673A">
        <w:rPr>
          <w:rFonts w:ascii="Arial" w:hAnsi="Arial" w:cs="Arial"/>
          <w:sz w:val="24"/>
          <w:szCs w:val="24"/>
        </w:rPr>
        <w:t xml:space="preserve">not </w:t>
      </w:r>
      <w:r w:rsidRPr="00C361D5">
        <w:rPr>
          <w:rFonts w:ascii="Arial" w:hAnsi="Arial" w:cs="Arial"/>
          <w:sz w:val="24"/>
          <w:szCs w:val="24"/>
        </w:rPr>
        <w:t>yet been employed for 52 weeks, the calculation must be based on the number of full weeks worked.</w:t>
      </w:r>
    </w:p>
    <w:p w14:paraId="6381A4F2" w14:textId="77777777" w:rsidR="00C361D5" w:rsidRPr="00C361D5" w:rsidRDefault="00C361D5" w:rsidP="00C361D5">
      <w:pPr>
        <w:rPr>
          <w:rFonts w:ascii="Arial" w:hAnsi="Arial" w:cs="Arial"/>
          <w:sz w:val="24"/>
          <w:szCs w:val="24"/>
        </w:rPr>
      </w:pPr>
      <w:r w:rsidRPr="00C361D5">
        <w:rPr>
          <w:rFonts w:ascii="Arial" w:hAnsi="Arial" w:cs="Arial"/>
          <w:sz w:val="24"/>
          <w:szCs w:val="24"/>
        </w:rPr>
        <w:t>It is important that the Trust clearly records all hours worked to ensure holiday pay calculations accurately reflect those hours.</w:t>
      </w:r>
    </w:p>
    <w:p w14:paraId="7FA1BF16" w14:textId="57E6BBF1" w:rsidR="00C361D5" w:rsidRPr="00C361D5" w:rsidRDefault="00C361D5" w:rsidP="00C361D5">
      <w:pPr>
        <w:rPr>
          <w:rFonts w:ascii="Arial" w:hAnsi="Arial" w:cs="Arial"/>
          <w:sz w:val="24"/>
          <w:szCs w:val="24"/>
        </w:rPr>
      </w:pPr>
      <w:r w:rsidRPr="00C361D5">
        <w:rPr>
          <w:rFonts w:ascii="Arial" w:hAnsi="Arial" w:cs="Arial"/>
          <w:sz w:val="24"/>
          <w:szCs w:val="24"/>
        </w:rPr>
        <w:t>It is still lawful for the Trust to pay nurse bank staff working irregular hours using “rolled-up” holiday pay, where holiday pay is included within their hourly rate rather than paid at the time leave is taken.  Following 2024 amendments to the Working Time Regulation s1998, rolled-up holiday pay is permitted for irregular hours, and part-year workers provided it is calculated correctly and clearly itemised on payslips (Regulations 16A (7) WTR 1998).  Guidance issued by ACAS (</w:t>
      </w:r>
      <w:r w:rsidR="00906B51">
        <w:rPr>
          <w:rFonts w:ascii="Arial" w:hAnsi="Arial" w:cs="Arial"/>
          <w:sz w:val="24"/>
          <w:szCs w:val="24"/>
        </w:rPr>
        <w:t>no date-d)</w:t>
      </w:r>
      <w:r w:rsidRPr="00C361D5">
        <w:rPr>
          <w:rFonts w:ascii="Arial" w:hAnsi="Arial" w:cs="Arial"/>
          <w:sz w:val="24"/>
          <w:szCs w:val="24"/>
        </w:rPr>
        <w:t xml:space="preserve"> further explains that employers </w:t>
      </w:r>
      <w:r w:rsidR="00EE06DB">
        <w:rPr>
          <w:rFonts w:ascii="Arial" w:hAnsi="Arial" w:cs="Arial"/>
          <w:sz w:val="24"/>
          <w:szCs w:val="24"/>
        </w:rPr>
        <w:t xml:space="preserve">must still ensure staff are able </w:t>
      </w:r>
      <w:r w:rsidRPr="00C361D5">
        <w:rPr>
          <w:rFonts w:ascii="Arial" w:hAnsi="Arial" w:cs="Arial"/>
          <w:sz w:val="24"/>
          <w:szCs w:val="24"/>
        </w:rPr>
        <w:t xml:space="preserve">to take their statutory leave.  Therefore, the Trust would need to ensure that any rolled-up arrangements </w:t>
      </w:r>
      <w:r w:rsidR="00B22686">
        <w:rPr>
          <w:rFonts w:ascii="Arial" w:hAnsi="Arial" w:cs="Arial"/>
          <w:sz w:val="24"/>
          <w:szCs w:val="24"/>
        </w:rPr>
        <w:t>are</w:t>
      </w:r>
      <w:r w:rsidRPr="00C361D5">
        <w:rPr>
          <w:rFonts w:ascii="Arial" w:hAnsi="Arial" w:cs="Arial"/>
          <w:sz w:val="24"/>
          <w:szCs w:val="24"/>
        </w:rPr>
        <w:t xml:space="preserve"> transparent, accurately calculated and fully compliant with both statutory requirements and recognised good practice, </w:t>
      </w:r>
    </w:p>
    <w:p w14:paraId="7B2CB3C3" w14:textId="743A155C" w:rsidR="00C361D5" w:rsidRPr="00C361D5" w:rsidRDefault="00C361D5" w:rsidP="00C361D5">
      <w:pPr>
        <w:rPr>
          <w:rFonts w:ascii="Arial" w:hAnsi="Arial" w:cs="Arial"/>
          <w:sz w:val="24"/>
          <w:szCs w:val="24"/>
        </w:rPr>
      </w:pPr>
      <w:r w:rsidRPr="00C361D5">
        <w:rPr>
          <w:rFonts w:ascii="Arial" w:hAnsi="Arial" w:cs="Arial"/>
          <w:sz w:val="24"/>
          <w:szCs w:val="24"/>
        </w:rPr>
        <w:t xml:space="preserve">In summary to be legally compliant and ensure good employee relations, it is important that the Trust calculates pay consistently and transparently.  Failure to </w:t>
      </w:r>
      <w:r w:rsidRPr="00C361D5">
        <w:rPr>
          <w:rFonts w:ascii="Arial" w:hAnsi="Arial" w:cs="Arial"/>
          <w:sz w:val="24"/>
          <w:szCs w:val="24"/>
        </w:rPr>
        <w:lastRenderedPageBreak/>
        <w:t xml:space="preserve">comply with the </w:t>
      </w:r>
      <w:r w:rsidR="00B22686">
        <w:rPr>
          <w:rFonts w:ascii="Arial" w:hAnsi="Arial" w:cs="Arial"/>
          <w:sz w:val="24"/>
          <w:szCs w:val="24"/>
        </w:rPr>
        <w:t>W</w:t>
      </w:r>
      <w:r w:rsidRPr="00C361D5">
        <w:rPr>
          <w:rFonts w:ascii="Arial" w:hAnsi="Arial" w:cs="Arial"/>
          <w:sz w:val="24"/>
          <w:szCs w:val="24"/>
        </w:rPr>
        <w:t xml:space="preserve">orking </w:t>
      </w:r>
      <w:r w:rsidR="00B22686">
        <w:rPr>
          <w:rFonts w:ascii="Arial" w:hAnsi="Arial" w:cs="Arial"/>
          <w:sz w:val="24"/>
          <w:szCs w:val="24"/>
        </w:rPr>
        <w:t>T</w:t>
      </w:r>
      <w:r w:rsidRPr="00C361D5">
        <w:rPr>
          <w:rFonts w:ascii="Arial" w:hAnsi="Arial" w:cs="Arial"/>
          <w:sz w:val="24"/>
          <w:szCs w:val="24"/>
        </w:rPr>
        <w:t xml:space="preserve">ime </w:t>
      </w:r>
      <w:r w:rsidR="00B22686">
        <w:rPr>
          <w:rFonts w:ascii="Arial" w:hAnsi="Arial" w:cs="Arial"/>
          <w:sz w:val="24"/>
          <w:szCs w:val="24"/>
        </w:rPr>
        <w:t>R</w:t>
      </w:r>
      <w:r w:rsidRPr="00C361D5">
        <w:rPr>
          <w:rFonts w:ascii="Arial" w:hAnsi="Arial" w:cs="Arial"/>
          <w:sz w:val="24"/>
          <w:szCs w:val="24"/>
        </w:rPr>
        <w:t xml:space="preserve">egulation could </w:t>
      </w:r>
      <w:r w:rsidR="009E6649">
        <w:rPr>
          <w:rFonts w:ascii="Arial" w:hAnsi="Arial" w:cs="Arial"/>
          <w:sz w:val="24"/>
          <w:szCs w:val="24"/>
        </w:rPr>
        <w:t>p</w:t>
      </w:r>
      <w:r w:rsidRPr="00C361D5">
        <w:rPr>
          <w:rFonts w:ascii="Arial" w:hAnsi="Arial" w:cs="Arial"/>
          <w:sz w:val="24"/>
          <w:szCs w:val="24"/>
        </w:rPr>
        <w:t xml:space="preserve">ut the Trust at risk of unlawful deduction of wages claims in an employment tribunal. </w:t>
      </w:r>
    </w:p>
    <w:p w14:paraId="403DB41A" w14:textId="77777777" w:rsidR="00C361D5" w:rsidRPr="00C361D5" w:rsidRDefault="00C361D5" w:rsidP="00C361D5">
      <w:pPr>
        <w:rPr>
          <w:rFonts w:ascii="Arial" w:hAnsi="Arial" w:cs="Arial"/>
          <w:b/>
          <w:bCs/>
          <w:sz w:val="24"/>
          <w:szCs w:val="24"/>
          <w:u w:val="single"/>
        </w:rPr>
      </w:pPr>
      <w:r w:rsidRPr="00C361D5">
        <w:rPr>
          <w:rFonts w:ascii="Arial" w:hAnsi="Arial" w:cs="Arial"/>
          <w:b/>
          <w:bCs/>
          <w:sz w:val="24"/>
          <w:szCs w:val="24"/>
          <w:u w:val="single"/>
        </w:rPr>
        <w:t>Email-9-AC4.2:</w:t>
      </w:r>
    </w:p>
    <w:p w14:paraId="1A330E88" w14:textId="19151397" w:rsidR="00C361D5" w:rsidRPr="00C361D5" w:rsidRDefault="00C361D5" w:rsidP="00C361D5">
      <w:pPr>
        <w:rPr>
          <w:rFonts w:ascii="Arial" w:hAnsi="Arial" w:cs="Arial"/>
          <w:sz w:val="24"/>
          <w:szCs w:val="24"/>
        </w:rPr>
      </w:pPr>
      <w:r w:rsidRPr="00C361D5">
        <w:rPr>
          <w:rFonts w:ascii="Arial" w:hAnsi="Arial" w:cs="Arial"/>
          <w:sz w:val="24"/>
          <w:szCs w:val="24"/>
        </w:rPr>
        <w:t>Statutory Maternity Leave (SML)</w:t>
      </w:r>
      <w:r w:rsidR="00A12628">
        <w:rPr>
          <w:rFonts w:ascii="Arial" w:hAnsi="Arial" w:cs="Arial"/>
          <w:sz w:val="24"/>
          <w:szCs w:val="24"/>
        </w:rPr>
        <w:t xml:space="preserve"> </w:t>
      </w:r>
      <w:r w:rsidRPr="00C361D5">
        <w:rPr>
          <w:rFonts w:ascii="Arial" w:hAnsi="Arial" w:cs="Arial"/>
          <w:sz w:val="24"/>
          <w:szCs w:val="24"/>
        </w:rPr>
        <w:t>provide</w:t>
      </w:r>
      <w:r w:rsidR="00A12628">
        <w:rPr>
          <w:rFonts w:ascii="Arial" w:hAnsi="Arial" w:cs="Arial"/>
          <w:sz w:val="24"/>
          <w:szCs w:val="24"/>
        </w:rPr>
        <w:t xml:space="preserve">s </w:t>
      </w:r>
      <w:r w:rsidRPr="00C361D5">
        <w:rPr>
          <w:rFonts w:ascii="Arial" w:hAnsi="Arial" w:cs="Arial"/>
          <w:sz w:val="24"/>
          <w:szCs w:val="24"/>
        </w:rPr>
        <w:t>up to 52 weeks</w:t>
      </w:r>
      <w:r w:rsidR="00A12628">
        <w:rPr>
          <w:rFonts w:ascii="Arial" w:hAnsi="Arial" w:cs="Arial"/>
          <w:sz w:val="24"/>
          <w:szCs w:val="24"/>
        </w:rPr>
        <w:t>’</w:t>
      </w:r>
      <w:r w:rsidRPr="00C361D5">
        <w:rPr>
          <w:rFonts w:ascii="Arial" w:hAnsi="Arial" w:cs="Arial"/>
          <w:sz w:val="24"/>
          <w:szCs w:val="24"/>
        </w:rPr>
        <w:t xml:space="preserve"> leave, 26 weeks of Ordinary Maternity Leave (OML) and 26 weeks of Additional Maternity Leave (AML).  Shared Parental Leave (SPL)</w:t>
      </w:r>
      <w:r w:rsidR="009E6649">
        <w:rPr>
          <w:rFonts w:ascii="Arial" w:hAnsi="Arial" w:cs="Arial"/>
          <w:sz w:val="24"/>
          <w:szCs w:val="24"/>
        </w:rPr>
        <w:t>,</w:t>
      </w:r>
      <w:r w:rsidRPr="00C361D5">
        <w:rPr>
          <w:rFonts w:ascii="Arial" w:hAnsi="Arial" w:cs="Arial"/>
          <w:sz w:val="24"/>
          <w:szCs w:val="24"/>
        </w:rPr>
        <w:t xml:space="preserve"> introduced to give families more flexibility, </w:t>
      </w:r>
      <w:r w:rsidR="00CF390A">
        <w:rPr>
          <w:rFonts w:ascii="Arial" w:hAnsi="Arial" w:cs="Arial"/>
          <w:sz w:val="24"/>
          <w:szCs w:val="24"/>
        </w:rPr>
        <w:t>allows eligible parents to share</w:t>
      </w:r>
      <w:r w:rsidR="008F0062">
        <w:rPr>
          <w:rFonts w:ascii="Arial" w:hAnsi="Arial" w:cs="Arial"/>
          <w:sz w:val="24"/>
          <w:szCs w:val="24"/>
        </w:rPr>
        <w:t xml:space="preserve"> up to 50 weeks of leave an</w:t>
      </w:r>
      <w:r w:rsidR="00C63835">
        <w:rPr>
          <w:rFonts w:ascii="Arial" w:hAnsi="Arial" w:cs="Arial"/>
          <w:sz w:val="24"/>
          <w:szCs w:val="24"/>
        </w:rPr>
        <w:t>d</w:t>
      </w:r>
      <w:r w:rsidR="008F0062">
        <w:rPr>
          <w:rFonts w:ascii="Arial" w:hAnsi="Arial" w:cs="Arial"/>
          <w:sz w:val="24"/>
          <w:szCs w:val="24"/>
        </w:rPr>
        <w:t xml:space="preserve"> up to 37 weeks of statutory </w:t>
      </w:r>
      <w:r w:rsidR="00C852D9">
        <w:rPr>
          <w:rFonts w:ascii="Arial" w:hAnsi="Arial" w:cs="Arial"/>
          <w:sz w:val="24"/>
          <w:szCs w:val="24"/>
        </w:rPr>
        <w:t xml:space="preserve">pay, </w:t>
      </w:r>
      <w:r w:rsidR="00C852D9" w:rsidRPr="00C361D5">
        <w:rPr>
          <w:rFonts w:ascii="Arial" w:hAnsi="Arial" w:cs="Arial"/>
          <w:sz w:val="24"/>
          <w:szCs w:val="24"/>
        </w:rPr>
        <w:t>Maternity</w:t>
      </w:r>
      <w:r w:rsidRPr="00C361D5">
        <w:rPr>
          <w:rFonts w:ascii="Arial" w:hAnsi="Arial" w:cs="Arial"/>
          <w:sz w:val="24"/>
          <w:szCs w:val="24"/>
        </w:rPr>
        <w:t xml:space="preserve"> Action (2025)</w:t>
      </w:r>
      <w:r w:rsidR="00911273">
        <w:rPr>
          <w:rFonts w:ascii="Arial" w:hAnsi="Arial" w:cs="Arial"/>
          <w:sz w:val="24"/>
          <w:szCs w:val="24"/>
        </w:rPr>
        <w:t xml:space="preserve">.  This enables parents </w:t>
      </w:r>
      <w:r w:rsidRPr="00C361D5">
        <w:rPr>
          <w:rFonts w:ascii="Arial" w:hAnsi="Arial" w:cs="Arial"/>
          <w:sz w:val="24"/>
          <w:szCs w:val="24"/>
        </w:rPr>
        <w:t xml:space="preserve">to decide how best to balance childcare and </w:t>
      </w:r>
      <w:r w:rsidR="00911273">
        <w:rPr>
          <w:rFonts w:ascii="Arial" w:hAnsi="Arial" w:cs="Arial"/>
          <w:sz w:val="24"/>
          <w:szCs w:val="24"/>
        </w:rPr>
        <w:t>work</w:t>
      </w:r>
      <w:r w:rsidRPr="00C361D5">
        <w:rPr>
          <w:rFonts w:ascii="Arial" w:hAnsi="Arial" w:cs="Arial"/>
          <w:sz w:val="24"/>
          <w:szCs w:val="24"/>
        </w:rPr>
        <w:t xml:space="preserve">.  </w:t>
      </w:r>
      <w:r w:rsidR="00911273">
        <w:rPr>
          <w:rFonts w:ascii="Arial" w:hAnsi="Arial" w:cs="Arial"/>
          <w:sz w:val="24"/>
          <w:szCs w:val="24"/>
        </w:rPr>
        <w:t>B</w:t>
      </w:r>
      <w:r w:rsidRPr="00C361D5">
        <w:rPr>
          <w:rFonts w:ascii="Arial" w:hAnsi="Arial" w:cs="Arial"/>
          <w:sz w:val="24"/>
          <w:szCs w:val="24"/>
        </w:rPr>
        <w:t>elow</w:t>
      </w:r>
      <w:r w:rsidR="00C852D9">
        <w:rPr>
          <w:rFonts w:ascii="Arial" w:hAnsi="Arial" w:cs="Arial"/>
          <w:sz w:val="24"/>
          <w:szCs w:val="24"/>
        </w:rPr>
        <w:t xml:space="preserve"> is a summary of </w:t>
      </w:r>
      <w:r w:rsidRPr="00C361D5">
        <w:rPr>
          <w:rFonts w:ascii="Arial" w:hAnsi="Arial" w:cs="Arial"/>
          <w:sz w:val="24"/>
          <w:szCs w:val="24"/>
        </w:rPr>
        <w:t>the key differences</w:t>
      </w:r>
      <w:r w:rsidR="00C852D9">
        <w:rPr>
          <w:rFonts w:ascii="Arial" w:hAnsi="Arial" w:cs="Arial"/>
          <w:sz w:val="24"/>
          <w:szCs w:val="24"/>
        </w:rPr>
        <w:t xml:space="preserve">. </w:t>
      </w:r>
    </w:p>
    <w:p w14:paraId="68B7323C" w14:textId="63915DF2" w:rsidR="004724CD" w:rsidRDefault="00C361D5" w:rsidP="00C361D5">
      <w:pPr>
        <w:rPr>
          <w:rFonts w:ascii="Arial" w:hAnsi="Arial" w:cs="Arial"/>
          <w:sz w:val="24"/>
          <w:szCs w:val="24"/>
        </w:rPr>
      </w:pPr>
      <w:r w:rsidRPr="00C361D5">
        <w:rPr>
          <w:rFonts w:ascii="Arial" w:hAnsi="Arial" w:cs="Arial"/>
          <w:sz w:val="24"/>
          <w:szCs w:val="24"/>
        </w:rPr>
        <w:t xml:space="preserve">SML is available to all pregnant employees from </w:t>
      </w:r>
      <w:r w:rsidR="00E10D41">
        <w:rPr>
          <w:rFonts w:ascii="Arial" w:hAnsi="Arial" w:cs="Arial"/>
          <w:sz w:val="24"/>
          <w:szCs w:val="24"/>
        </w:rPr>
        <w:t>da</w:t>
      </w:r>
      <w:r w:rsidRPr="00C361D5">
        <w:rPr>
          <w:rFonts w:ascii="Arial" w:hAnsi="Arial" w:cs="Arial"/>
          <w:sz w:val="24"/>
          <w:szCs w:val="24"/>
        </w:rPr>
        <w:t xml:space="preserve">y </w:t>
      </w:r>
      <w:r w:rsidR="00E10D41">
        <w:rPr>
          <w:rFonts w:ascii="Arial" w:hAnsi="Arial" w:cs="Arial"/>
          <w:sz w:val="24"/>
          <w:szCs w:val="24"/>
        </w:rPr>
        <w:t>one</w:t>
      </w:r>
      <w:r w:rsidRPr="00C361D5">
        <w:rPr>
          <w:rFonts w:ascii="Arial" w:hAnsi="Arial" w:cs="Arial"/>
          <w:sz w:val="24"/>
          <w:szCs w:val="24"/>
        </w:rPr>
        <w:t xml:space="preserve">.  SPL has stricter eligibility requiring both you and your partner to meet statutory criteria.  You must have worked for 26 </w:t>
      </w:r>
      <w:r w:rsidR="00B3729F">
        <w:rPr>
          <w:rFonts w:ascii="Arial" w:hAnsi="Arial" w:cs="Arial"/>
          <w:sz w:val="24"/>
          <w:szCs w:val="24"/>
        </w:rPr>
        <w:t xml:space="preserve">weeks of </w:t>
      </w:r>
      <w:r w:rsidRPr="00C361D5">
        <w:rPr>
          <w:rFonts w:ascii="Arial" w:hAnsi="Arial" w:cs="Arial"/>
          <w:sz w:val="24"/>
          <w:szCs w:val="24"/>
        </w:rPr>
        <w:t xml:space="preserve">continuous </w:t>
      </w:r>
      <w:r w:rsidR="00285B3F">
        <w:rPr>
          <w:rFonts w:ascii="Arial" w:hAnsi="Arial" w:cs="Arial"/>
          <w:sz w:val="24"/>
          <w:szCs w:val="24"/>
        </w:rPr>
        <w:t xml:space="preserve">service by </w:t>
      </w:r>
      <w:r w:rsidRPr="00C361D5">
        <w:rPr>
          <w:rFonts w:ascii="Arial" w:hAnsi="Arial" w:cs="Arial"/>
          <w:sz w:val="24"/>
          <w:szCs w:val="24"/>
        </w:rPr>
        <w:t>the 15</w:t>
      </w:r>
      <w:r w:rsidRPr="00C361D5">
        <w:rPr>
          <w:rFonts w:ascii="Arial" w:hAnsi="Arial" w:cs="Arial"/>
          <w:sz w:val="24"/>
          <w:szCs w:val="24"/>
          <w:vertAlign w:val="superscript"/>
        </w:rPr>
        <w:t>th</w:t>
      </w:r>
      <w:r w:rsidRPr="00C361D5">
        <w:rPr>
          <w:rFonts w:ascii="Arial" w:hAnsi="Arial" w:cs="Arial"/>
          <w:sz w:val="24"/>
          <w:szCs w:val="24"/>
        </w:rPr>
        <w:t xml:space="preserve"> week before the expected week of childbirth, and your partner must have worked 26 weeks in the </w:t>
      </w:r>
      <w:r w:rsidR="003B5232">
        <w:rPr>
          <w:rFonts w:ascii="Arial" w:hAnsi="Arial" w:cs="Arial"/>
          <w:sz w:val="24"/>
          <w:szCs w:val="24"/>
        </w:rPr>
        <w:t xml:space="preserve">previous </w:t>
      </w:r>
      <w:r w:rsidRPr="00C361D5">
        <w:rPr>
          <w:rFonts w:ascii="Arial" w:hAnsi="Arial" w:cs="Arial"/>
          <w:sz w:val="24"/>
          <w:szCs w:val="24"/>
        </w:rPr>
        <w:t>66 and earned above the Maternity Allowance threshold (£30 per week) in 13 of those weeks.</w:t>
      </w:r>
      <w:r w:rsidR="004724CD">
        <w:rPr>
          <w:rFonts w:ascii="Arial" w:hAnsi="Arial" w:cs="Arial"/>
          <w:sz w:val="24"/>
          <w:szCs w:val="24"/>
        </w:rPr>
        <w:t xml:space="preserve">  HMRC guidance (2025) sets out the employment and earnings test</w:t>
      </w:r>
      <w:r w:rsidR="00B4639C">
        <w:rPr>
          <w:rFonts w:ascii="Arial" w:hAnsi="Arial" w:cs="Arial"/>
          <w:sz w:val="24"/>
          <w:szCs w:val="24"/>
        </w:rPr>
        <w:t>, highlighting that SPL eligibility is more complex than maternity leave.</w:t>
      </w:r>
      <w:r w:rsidRPr="00C361D5">
        <w:rPr>
          <w:rFonts w:ascii="Arial" w:hAnsi="Arial" w:cs="Arial"/>
          <w:sz w:val="24"/>
          <w:szCs w:val="24"/>
        </w:rPr>
        <w:t xml:space="preserve"> </w:t>
      </w:r>
    </w:p>
    <w:p w14:paraId="174E927B" w14:textId="1BF01D92" w:rsidR="00C361D5" w:rsidRPr="00C361D5" w:rsidRDefault="00C361D5" w:rsidP="00C361D5">
      <w:pPr>
        <w:rPr>
          <w:rFonts w:ascii="Arial" w:hAnsi="Arial" w:cs="Arial"/>
          <w:sz w:val="24"/>
          <w:szCs w:val="24"/>
        </w:rPr>
      </w:pPr>
      <w:r w:rsidRPr="00C361D5">
        <w:rPr>
          <w:rFonts w:ascii="Arial" w:hAnsi="Arial" w:cs="Arial"/>
          <w:sz w:val="24"/>
          <w:szCs w:val="24"/>
        </w:rPr>
        <w:t xml:space="preserve">Statutory Maternity Pay (SMP), </w:t>
      </w:r>
      <w:r w:rsidR="00C0038A">
        <w:rPr>
          <w:rFonts w:ascii="Arial" w:hAnsi="Arial" w:cs="Arial"/>
          <w:sz w:val="24"/>
          <w:szCs w:val="24"/>
        </w:rPr>
        <w:t>provides</w:t>
      </w:r>
      <w:r w:rsidRPr="00C361D5">
        <w:rPr>
          <w:rFonts w:ascii="Arial" w:hAnsi="Arial" w:cs="Arial"/>
          <w:sz w:val="24"/>
          <w:szCs w:val="24"/>
        </w:rPr>
        <w:t xml:space="preserve"> 39 </w:t>
      </w:r>
      <w:r w:rsidR="000F53C0" w:rsidRPr="00C361D5">
        <w:rPr>
          <w:rFonts w:ascii="Arial" w:hAnsi="Arial" w:cs="Arial"/>
          <w:sz w:val="24"/>
          <w:szCs w:val="24"/>
        </w:rPr>
        <w:t>weeks’</w:t>
      </w:r>
      <w:r w:rsidR="00C0038A">
        <w:rPr>
          <w:rFonts w:ascii="Arial" w:hAnsi="Arial" w:cs="Arial"/>
          <w:sz w:val="24"/>
          <w:szCs w:val="24"/>
        </w:rPr>
        <w:t xml:space="preserve"> pay</w:t>
      </w:r>
      <w:r w:rsidRPr="00C361D5">
        <w:rPr>
          <w:rFonts w:ascii="Arial" w:hAnsi="Arial" w:cs="Arial"/>
          <w:sz w:val="24"/>
          <w:szCs w:val="24"/>
        </w:rPr>
        <w:t>, 6 weeks at 90% of your average weekly earnings, followed by 33 weeks of SMP, or 90%, whichever is lowe</w:t>
      </w:r>
      <w:r w:rsidR="001E131B">
        <w:rPr>
          <w:rFonts w:ascii="Arial" w:hAnsi="Arial" w:cs="Arial"/>
          <w:sz w:val="24"/>
          <w:szCs w:val="24"/>
        </w:rPr>
        <w:t>r</w:t>
      </w:r>
      <w:r w:rsidRPr="00C361D5">
        <w:rPr>
          <w:rFonts w:ascii="Arial" w:hAnsi="Arial" w:cs="Arial"/>
          <w:sz w:val="24"/>
          <w:szCs w:val="24"/>
        </w:rPr>
        <w:t>.</w:t>
      </w:r>
      <w:r w:rsidR="000F53C0">
        <w:rPr>
          <w:rFonts w:ascii="Arial" w:hAnsi="Arial" w:cs="Arial"/>
          <w:sz w:val="24"/>
          <w:szCs w:val="24"/>
        </w:rPr>
        <w:t xml:space="preserve">  </w:t>
      </w:r>
      <w:r w:rsidRPr="00C361D5">
        <w:rPr>
          <w:rFonts w:ascii="Arial" w:hAnsi="Arial" w:cs="Arial"/>
          <w:sz w:val="24"/>
          <w:szCs w:val="24"/>
        </w:rPr>
        <w:t xml:space="preserve">Shared Parental Leave offers up to 37 weeks of </w:t>
      </w:r>
      <w:proofErr w:type="spellStart"/>
      <w:r w:rsidRPr="00C361D5">
        <w:rPr>
          <w:rFonts w:ascii="Arial" w:hAnsi="Arial" w:cs="Arial"/>
          <w:sz w:val="24"/>
          <w:szCs w:val="24"/>
        </w:rPr>
        <w:t>S</w:t>
      </w:r>
      <w:r w:rsidR="000F53C0">
        <w:rPr>
          <w:rFonts w:ascii="Arial" w:hAnsi="Arial" w:cs="Arial"/>
          <w:sz w:val="24"/>
          <w:szCs w:val="24"/>
        </w:rPr>
        <w:t>hPP</w:t>
      </w:r>
      <w:proofErr w:type="spellEnd"/>
      <w:r w:rsidRPr="00C361D5">
        <w:rPr>
          <w:rFonts w:ascii="Arial" w:hAnsi="Arial" w:cs="Arial"/>
          <w:sz w:val="24"/>
          <w:szCs w:val="24"/>
        </w:rPr>
        <w:t xml:space="preserve">, paid at the statutory rate only.  ACAS (2025) </w:t>
      </w:r>
      <w:r w:rsidR="00141EB4">
        <w:rPr>
          <w:rFonts w:ascii="Arial" w:hAnsi="Arial" w:cs="Arial"/>
          <w:sz w:val="24"/>
          <w:szCs w:val="24"/>
        </w:rPr>
        <w:t>highlights</w:t>
      </w:r>
      <w:r w:rsidRPr="00C361D5">
        <w:rPr>
          <w:rFonts w:ascii="Arial" w:hAnsi="Arial" w:cs="Arial"/>
          <w:sz w:val="24"/>
          <w:szCs w:val="24"/>
        </w:rPr>
        <w:t xml:space="preserve"> these differences in financial support.    Maternity leave must </w:t>
      </w:r>
      <w:r w:rsidR="00C40AB2">
        <w:rPr>
          <w:rFonts w:ascii="Arial" w:hAnsi="Arial" w:cs="Arial"/>
          <w:sz w:val="24"/>
          <w:szCs w:val="24"/>
        </w:rPr>
        <w:t xml:space="preserve">start on </w:t>
      </w:r>
      <w:r w:rsidRPr="00C361D5">
        <w:rPr>
          <w:rFonts w:ascii="Arial" w:hAnsi="Arial" w:cs="Arial"/>
          <w:sz w:val="24"/>
          <w:szCs w:val="24"/>
        </w:rPr>
        <w:t xml:space="preserve">the day </w:t>
      </w:r>
      <w:r w:rsidR="00C40AB2">
        <w:rPr>
          <w:rFonts w:ascii="Arial" w:hAnsi="Arial" w:cs="Arial"/>
          <w:sz w:val="24"/>
          <w:szCs w:val="24"/>
        </w:rPr>
        <w:t>the</w:t>
      </w:r>
      <w:r w:rsidRPr="00C361D5">
        <w:rPr>
          <w:rFonts w:ascii="Arial" w:hAnsi="Arial" w:cs="Arial"/>
          <w:sz w:val="24"/>
          <w:szCs w:val="24"/>
        </w:rPr>
        <w:t xml:space="preserve"> baby is born, even if </w:t>
      </w:r>
      <w:r w:rsidR="00C40AB2">
        <w:rPr>
          <w:rFonts w:ascii="Arial" w:hAnsi="Arial" w:cs="Arial"/>
          <w:sz w:val="24"/>
          <w:szCs w:val="24"/>
        </w:rPr>
        <w:t>earlier tha</w:t>
      </w:r>
      <w:r w:rsidR="00554FD3">
        <w:rPr>
          <w:rFonts w:ascii="Arial" w:hAnsi="Arial" w:cs="Arial"/>
          <w:sz w:val="24"/>
          <w:szCs w:val="24"/>
        </w:rPr>
        <w:t>n the</w:t>
      </w:r>
      <w:r w:rsidRPr="00C361D5">
        <w:rPr>
          <w:rFonts w:ascii="Arial" w:hAnsi="Arial" w:cs="Arial"/>
          <w:sz w:val="24"/>
          <w:szCs w:val="24"/>
        </w:rPr>
        <w:t xml:space="preserve"> 11</w:t>
      </w:r>
      <w:r w:rsidRPr="00C361D5">
        <w:rPr>
          <w:rFonts w:ascii="Arial" w:hAnsi="Arial" w:cs="Arial"/>
          <w:sz w:val="24"/>
          <w:szCs w:val="24"/>
          <w:vertAlign w:val="superscript"/>
        </w:rPr>
        <w:t>th</w:t>
      </w:r>
      <w:r w:rsidRPr="00C361D5">
        <w:rPr>
          <w:rFonts w:ascii="Arial" w:hAnsi="Arial" w:cs="Arial"/>
          <w:sz w:val="24"/>
          <w:szCs w:val="24"/>
        </w:rPr>
        <w:t xml:space="preserve"> week before the expected date of childbirth (EWC).  SPL can be taken flexibly, as continuous or discontinuous leave.  Daniels (2025, p.105) </w:t>
      </w:r>
      <w:r w:rsidR="00554FD3">
        <w:rPr>
          <w:rFonts w:ascii="Arial" w:hAnsi="Arial" w:cs="Arial"/>
          <w:sz w:val="24"/>
          <w:szCs w:val="24"/>
        </w:rPr>
        <w:t>notes</w:t>
      </w:r>
      <w:r w:rsidRPr="00C361D5">
        <w:rPr>
          <w:rFonts w:ascii="Arial" w:hAnsi="Arial" w:cs="Arial"/>
          <w:sz w:val="24"/>
          <w:szCs w:val="24"/>
        </w:rPr>
        <w:t xml:space="preserve"> this </w:t>
      </w:r>
      <w:r w:rsidR="00C84544">
        <w:rPr>
          <w:rFonts w:ascii="Arial" w:hAnsi="Arial" w:cs="Arial"/>
          <w:sz w:val="24"/>
          <w:szCs w:val="24"/>
        </w:rPr>
        <w:t>includes one parent taking leave after the other</w:t>
      </w:r>
      <w:r w:rsidR="00B95834">
        <w:rPr>
          <w:rFonts w:ascii="Arial" w:hAnsi="Arial" w:cs="Arial"/>
          <w:sz w:val="24"/>
          <w:szCs w:val="24"/>
        </w:rPr>
        <w:t>,</w:t>
      </w:r>
      <w:r w:rsidR="00C84544">
        <w:rPr>
          <w:rFonts w:ascii="Arial" w:hAnsi="Arial" w:cs="Arial"/>
          <w:sz w:val="24"/>
          <w:szCs w:val="24"/>
        </w:rPr>
        <w:t xml:space="preserve"> or both taking short periods.  Employers must allow continuous leave but</w:t>
      </w:r>
      <w:r w:rsidR="002D130A">
        <w:rPr>
          <w:rFonts w:ascii="Arial" w:hAnsi="Arial" w:cs="Arial"/>
          <w:sz w:val="24"/>
          <w:szCs w:val="24"/>
        </w:rPr>
        <w:t xml:space="preserve"> may refuse discontinuous leave. </w:t>
      </w:r>
      <w:r w:rsidR="00C84544">
        <w:rPr>
          <w:rFonts w:ascii="Arial" w:hAnsi="Arial" w:cs="Arial"/>
          <w:sz w:val="24"/>
          <w:szCs w:val="24"/>
        </w:rPr>
        <w:t xml:space="preserve"> </w:t>
      </w:r>
    </w:p>
    <w:p w14:paraId="517F6B02" w14:textId="171F9148" w:rsidR="00C361D5" w:rsidRPr="00E9279D" w:rsidRDefault="00C361D5" w:rsidP="00C361D5">
      <w:pPr>
        <w:rPr>
          <w:rFonts w:ascii="Arial" w:hAnsi="Arial" w:cs="Arial"/>
          <w:sz w:val="24"/>
          <w:szCs w:val="24"/>
        </w:rPr>
      </w:pPr>
      <w:r w:rsidRPr="00C361D5">
        <w:rPr>
          <w:rFonts w:ascii="Arial" w:hAnsi="Arial" w:cs="Arial"/>
          <w:sz w:val="24"/>
          <w:szCs w:val="24"/>
        </w:rPr>
        <w:t>SML provides stronger financial support in the first six weeks and has simpler eligibility with greater employment protection</w:t>
      </w:r>
      <w:r w:rsidR="00A01FCC">
        <w:rPr>
          <w:rFonts w:ascii="Arial" w:hAnsi="Arial" w:cs="Arial"/>
          <w:sz w:val="24"/>
          <w:szCs w:val="24"/>
        </w:rPr>
        <w:t>.</w:t>
      </w:r>
      <w:r w:rsidRPr="00C361D5">
        <w:rPr>
          <w:rFonts w:ascii="Arial" w:hAnsi="Arial" w:cs="Arial"/>
          <w:sz w:val="24"/>
          <w:szCs w:val="24"/>
        </w:rPr>
        <w:t xml:space="preserve"> Taylor and Woodhams (2022, p.105) confirm that</w:t>
      </w:r>
      <w:r w:rsidR="00233E45">
        <w:rPr>
          <w:rFonts w:ascii="Arial" w:hAnsi="Arial" w:cs="Arial"/>
          <w:sz w:val="24"/>
          <w:szCs w:val="24"/>
        </w:rPr>
        <w:t xml:space="preserve"> </w:t>
      </w:r>
      <w:r w:rsidRPr="00C361D5">
        <w:rPr>
          <w:rFonts w:ascii="Arial" w:hAnsi="Arial" w:cs="Arial"/>
          <w:sz w:val="24"/>
          <w:szCs w:val="24"/>
        </w:rPr>
        <w:t xml:space="preserve">returning to work, your contractual situation should be as if the maternity leave never happened.  SPL offers greater flexibility and supports shared </w:t>
      </w:r>
      <w:r w:rsidR="00E045C2" w:rsidRPr="00C361D5">
        <w:rPr>
          <w:rFonts w:ascii="Arial" w:hAnsi="Arial" w:cs="Arial"/>
          <w:sz w:val="24"/>
          <w:szCs w:val="24"/>
        </w:rPr>
        <w:t>parenting</w:t>
      </w:r>
      <w:r w:rsidR="00E045C2">
        <w:rPr>
          <w:rFonts w:ascii="Arial" w:hAnsi="Arial" w:cs="Arial"/>
          <w:sz w:val="24"/>
          <w:szCs w:val="24"/>
        </w:rPr>
        <w:t xml:space="preserve"> but</w:t>
      </w:r>
      <w:r w:rsidR="006336FB">
        <w:rPr>
          <w:rFonts w:ascii="Arial" w:hAnsi="Arial" w:cs="Arial"/>
          <w:sz w:val="24"/>
          <w:szCs w:val="24"/>
        </w:rPr>
        <w:t xml:space="preserve"> provides </w:t>
      </w:r>
      <w:r w:rsidRPr="00C361D5">
        <w:rPr>
          <w:rFonts w:ascii="Arial" w:hAnsi="Arial" w:cs="Arial"/>
          <w:sz w:val="24"/>
          <w:szCs w:val="24"/>
        </w:rPr>
        <w:t xml:space="preserve">lower statutory pay and </w:t>
      </w:r>
      <w:r w:rsidR="001903C9">
        <w:rPr>
          <w:rFonts w:ascii="Arial" w:hAnsi="Arial" w:cs="Arial"/>
          <w:sz w:val="24"/>
          <w:szCs w:val="24"/>
        </w:rPr>
        <w:t xml:space="preserve">has </w:t>
      </w:r>
      <w:r w:rsidRPr="00C361D5">
        <w:rPr>
          <w:rFonts w:ascii="Arial" w:hAnsi="Arial" w:cs="Arial"/>
          <w:sz w:val="24"/>
          <w:szCs w:val="24"/>
        </w:rPr>
        <w:t xml:space="preserve">more complex eligibility.  The most </w:t>
      </w:r>
      <w:r w:rsidR="001903C9">
        <w:rPr>
          <w:rFonts w:ascii="Arial" w:hAnsi="Arial" w:cs="Arial"/>
          <w:sz w:val="24"/>
          <w:szCs w:val="24"/>
        </w:rPr>
        <w:t>suitable</w:t>
      </w:r>
      <w:r w:rsidRPr="00C361D5">
        <w:rPr>
          <w:rFonts w:ascii="Arial" w:hAnsi="Arial" w:cs="Arial"/>
          <w:sz w:val="24"/>
          <w:szCs w:val="24"/>
        </w:rPr>
        <w:t xml:space="preserve"> option will depend on your financial circumstances, working </w:t>
      </w:r>
      <w:r w:rsidR="00E045C2">
        <w:rPr>
          <w:rFonts w:ascii="Arial" w:hAnsi="Arial" w:cs="Arial"/>
          <w:sz w:val="24"/>
          <w:szCs w:val="24"/>
        </w:rPr>
        <w:t xml:space="preserve">patterns and </w:t>
      </w:r>
      <w:r w:rsidRPr="00C361D5">
        <w:rPr>
          <w:rFonts w:ascii="Arial" w:hAnsi="Arial" w:cs="Arial"/>
          <w:sz w:val="24"/>
          <w:szCs w:val="24"/>
        </w:rPr>
        <w:t xml:space="preserve">childcare responsibilities. </w:t>
      </w:r>
    </w:p>
    <w:p w14:paraId="2039015F" w14:textId="77777777" w:rsidR="00C361D5" w:rsidRPr="00C361D5" w:rsidRDefault="00C361D5" w:rsidP="00C361D5">
      <w:pPr>
        <w:rPr>
          <w:rFonts w:ascii="Arial" w:hAnsi="Arial" w:cs="Arial"/>
          <w:b/>
          <w:bCs/>
          <w:sz w:val="24"/>
          <w:szCs w:val="24"/>
          <w:u w:val="single"/>
        </w:rPr>
      </w:pPr>
      <w:r w:rsidRPr="00C361D5">
        <w:rPr>
          <w:rFonts w:ascii="Arial" w:hAnsi="Arial" w:cs="Arial"/>
          <w:b/>
          <w:bCs/>
          <w:sz w:val="24"/>
          <w:szCs w:val="24"/>
          <w:u w:val="single"/>
        </w:rPr>
        <w:t>Email-10-AC4.3:</w:t>
      </w:r>
    </w:p>
    <w:p w14:paraId="45F66497" w14:textId="00E34CEF" w:rsidR="00C361D5" w:rsidRPr="00C361D5" w:rsidRDefault="00C361D5" w:rsidP="00C361D5">
      <w:pPr>
        <w:rPr>
          <w:rFonts w:ascii="Arial" w:hAnsi="Arial" w:cs="Arial"/>
          <w:sz w:val="24"/>
          <w:szCs w:val="24"/>
        </w:rPr>
      </w:pPr>
      <w:r w:rsidRPr="00C361D5">
        <w:rPr>
          <w:rFonts w:ascii="Arial" w:hAnsi="Arial" w:cs="Arial"/>
          <w:sz w:val="24"/>
          <w:szCs w:val="24"/>
        </w:rPr>
        <w:t>I understand your concern about the impact on the team</w:t>
      </w:r>
      <w:r w:rsidR="00FD4CA2">
        <w:rPr>
          <w:rFonts w:ascii="Arial" w:hAnsi="Arial" w:cs="Arial"/>
          <w:sz w:val="24"/>
          <w:szCs w:val="24"/>
        </w:rPr>
        <w:t>,</w:t>
      </w:r>
      <w:r w:rsidRPr="00C361D5">
        <w:rPr>
          <w:rFonts w:ascii="Arial" w:hAnsi="Arial" w:cs="Arial"/>
          <w:sz w:val="24"/>
          <w:szCs w:val="24"/>
        </w:rPr>
        <w:t xml:space="preserve"> and the importance of maintaining service quality. </w:t>
      </w:r>
      <w:r w:rsidR="0065435F">
        <w:rPr>
          <w:rFonts w:ascii="Arial" w:hAnsi="Arial" w:cs="Arial"/>
          <w:sz w:val="24"/>
          <w:szCs w:val="24"/>
        </w:rPr>
        <w:t>I</w:t>
      </w:r>
      <w:r w:rsidRPr="00C361D5">
        <w:rPr>
          <w:rFonts w:ascii="Arial" w:hAnsi="Arial" w:cs="Arial"/>
          <w:sz w:val="24"/>
          <w:szCs w:val="24"/>
        </w:rPr>
        <w:t>t is important that we approach this in line with the legal requirements and good practice.</w:t>
      </w:r>
    </w:p>
    <w:p w14:paraId="187DCED9" w14:textId="401E0589" w:rsidR="00C361D5" w:rsidRPr="00C361D5" w:rsidRDefault="00C361D5" w:rsidP="00C361D5">
      <w:pPr>
        <w:rPr>
          <w:rFonts w:ascii="Arial" w:hAnsi="Arial" w:cs="Arial"/>
          <w:sz w:val="24"/>
          <w:szCs w:val="24"/>
        </w:rPr>
      </w:pPr>
      <w:r w:rsidRPr="00C361D5">
        <w:rPr>
          <w:rFonts w:ascii="Arial" w:hAnsi="Arial" w:cs="Arial"/>
          <w:sz w:val="24"/>
          <w:szCs w:val="24"/>
        </w:rPr>
        <w:t>Following the implementation of the Employment Relations (Flexible Working) Act 2023 and the Flexible Working (Amendment) Regulations 2023, which came into force in 2024, all employees in the UK are entitled to request flexible working, ACAS (2026) emphasises that employees have the right from their first day of employment and can make up to two request</w:t>
      </w:r>
      <w:r w:rsidR="00750E4D">
        <w:rPr>
          <w:rFonts w:ascii="Arial" w:hAnsi="Arial" w:cs="Arial"/>
          <w:sz w:val="24"/>
          <w:szCs w:val="24"/>
        </w:rPr>
        <w:t>s</w:t>
      </w:r>
      <w:r w:rsidRPr="00C361D5">
        <w:rPr>
          <w:rFonts w:ascii="Arial" w:hAnsi="Arial" w:cs="Arial"/>
          <w:sz w:val="24"/>
          <w:szCs w:val="24"/>
        </w:rPr>
        <w:t xml:space="preserve"> per year.  Flexible working includes working from home.  </w:t>
      </w:r>
    </w:p>
    <w:p w14:paraId="697C8579" w14:textId="7894CC4B" w:rsidR="00B30555" w:rsidRPr="00C361D5" w:rsidRDefault="00244006" w:rsidP="00D956AB">
      <w:pPr>
        <w:tabs>
          <w:tab w:val="left" w:pos="4253"/>
        </w:tabs>
        <w:rPr>
          <w:rFonts w:ascii="Arial" w:hAnsi="Arial" w:cs="Arial"/>
          <w:sz w:val="24"/>
          <w:szCs w:val="24"/>
        </w:rPr>
      </w:pPr>
      <w:r>
        <w:rPr>
          <w:rFonts w:ascii="Arial" w:hAnsi="Arial" w:cs="Arial"/>
          <w:sz w:val="24"/>
          <w:szCs w:val="24"/>
        </w:rPr>
        <w:lastRenderedPageBreak/>
        <w:t>T</w:t>
      </w:r>
      <w:r w:rsidR="00C361D5" w:rsidRPr="00C361D5">
        <w:rPr>
          <w:rFonts w:ascii="Arial" w:hAnsi="Arial" w:cs="Arial"/>
          <w:sz w:val="24"/>
          <w:szCs w:val="24"/>
        </w:rPr>
        <w:t>here is no obligation for the Trust to agree to the request</w:t>
      </w:r>
      <w:r w:rsidR="00127B44">
        <w:rPr>
          <w:rFonts w:ascii="Arial" w:hAnsi="Arial" w:cs="Arial"/>
          <w:sz w:val="24"/>
          <w:szCs w:val="24"/>
        </w:rPr>
        <w:t>;</w:t>
      </w:r>
      <w:r w:rsidR="00C361D5" w:rsidRPr="00C361D5">
        <w:rPr>
          <w:rFonts w:ascii="Arial" w:hAnsi="Arial" w:cs="Arial"/>
          <w:sz w:val="24"/>
          <w:szCs w:val="24"/>
        </w:rPr>
        <w:t xml:space="preserve"> we are</w:t>
      </w:r>
      <w:r w:rsidR="00127B44">
        <w:rPr>
          <w:rFonts w:ascii="Arial" w:hAnsi="Arial" w:cs="Arial"/>
          <w:sz w:val="24"/>
          <w:szCs w:val="24"/>
        </w:rPr>
        <w:t>,</w:t>
      </w:r>
      <w:r w:rsidR="00C361D5" w:rsidRPr="00C361D5">
        <w:rPr>
          <w:rFonts w:ascii="Arial" w:hAnsi="Arial" w:cs="Arial"/>
          <w:sz w:val="24"/>
          <w:szCs w:val="24"/>
        </w:rPr>
        <w:t xml:space="preserve"> required to consider the request reasonably, have a fair process and make a final decision within two months of receiving the request, Daniels (2025, p.72).  ACAS (2026) emphasises the importance of both the employee and the employer follow</w:t>
      </w:r>
      <w:r w:rsidR="00247A13">
        <w:rPr>
          <w:rFonts w:ascii="Arial" w:hAnsi="Arial" w:cs="Arial"/>
          <w:sz w:val="24"/>
          <w:szCs w:val="24"/>
        </w:rPr>
        <w:t>ing</w:t>
      </w:r>
      <w:r w:rsidR="00C361D5" w:rsidRPr="00C361D5">
        <w:rPr>
          <w:rFonts w:ascii="Arial" w:hAnsi="Arial" w:cs="Arial"/>
          <w:sz w:val="24"/>
          <w:szCs w:val="24"/>
        </w:rPr>
        <w:t xml:space="preserve"> the ACAS (2024) code of practice on request for flexible working, as according to the code if a case reaches an employment tribunal</w:t>
      </w:r>
      <w:r w:rsidR="009F1174">
        <w:rPr>
          <w:rFonts w:ascii="Arial" w:hAnsi="Arial" w:cs="Arial"/>
          <w:sz w:val="24"/>
          <w:szCs w:val="24"/>
        </w:rPr>
        <w:t xml:space="preserve"> it will be </w:t>
      </w:r>
      <w:r w:rsidR="00D956AB">
        <w:rPr>
          <w:rFonts w:ascii="Arial" w:hAnsi="Arial" w:cs="Arial"/>
          <w:sz w:val="24"/>
          <w:szCs w:val="24"/>
        </w:rPr>
        <w:t>considered</w:t>
      </w:r>
      <w:r w:rsidR="009F1174">
        <w:rPr>
          <w:rFonts w:ascii="Arial" w:hAnsi="Arial" w:cs="Arial"/>
          <w:sz w:val="24"/>
          <w:szCs w:val="24"/>
        </w:rPr>
        <w:t xml:space="preserve"> when assessing </w:t>
      </w:r>
      <w:r w:rsidR="00675909">
        <w:rPr>
          <w:rFonts w:ascii="Arial" w:hAnsi="Arial" w:cs="Arial"/>
          <w:sz w:val="24"/>
          <w:szCs w:val="24"/>
        </w:rPr>
        <w:t>whether a request has been handled fairly.  Furthermore</w:t>
      </w:r>
      <w:r w:rsidR="0039588E">
        <w:rPr>
          <w:rFonts w:ascii="Arial" w:hAnsi="Arial" w:cs="Arial"/>
          <w:sz w:val="24"/>
          <w:szCs w:val="24"/>
        </w:rPr>
        <w:t>,</w:t>
      </w:r>
      <w:r w:rsidR="00675909">
        <w:rPr>
          <w:rFonts w:ascii="Arial" w:hAnsi="Arial" w:cs="Arial"/>
          <w:sz w:val="24"/>
          <w:szCs w:val="24"/>
        </w:rPr>
        <w:t xml:space="preserve"> </w:t>
      </w:r>
      <w:r w:rsidR="00DB5C97">
        <w:rPr>
          <w:rFonts w:ascii="Arial" w:hAnsi="Arial" w:cs="Arial"/>
          <w:sz w:val="24"/>
          <w:szCs w:val="24"/>
        </w:rPr>
        <w:t xml:space="preserve">Dando (2026) </w:t>
      </w:r>
      <w:r w:rsidR="00675909">
        <w:rPr>
          <w:rFonts w:ascii="Arial" w:hAnsi="Arial" w:cs="Arial"/>
          <w:sz w:val="24"/>
          <w:szCs w:val="24"/>
        </w:rPr>
        <w:t>highlights that while employees my</w:t>
      </w:r>
      <w:r w:rsidR="00D956AB">
        <w:rPr>
          <w:rFonts w:ascii="Arial" w:hAnsi="Arial" w:cs="Arial"/>
          <w:sz w:val="24"/>
          <w:szCs w:val="24"/>
        </w:rPr>
        <w:t xml:space="preserve"> lawfully refuse requests, this must be based on clear business reasons, which reinforces the importance of transparency and fairness in decision making. </w:t>
      </w:r>
      <w:r w:rsidR="00C361D5" w:rsidRPr="00C361D5">
        <w:rPr>
          <w:rFonts w:ascii="Arial" w:hAnsi="Arial" w:cs="Arial"/>
          <w:sz w:val="24"/>
          <w:szCs w:val="24"/>
        </w:rPr>
        <w:t xml:space="preserve">  </w:t>
      </w:r>
    </w:p>
    <w:p w14:paraId="7F901469" w14:textId="77777777" w:rsidR="00C361D5" w:rsidRPr="00C361D5" w:rsidRDefault="00C361D5" w:rsidP="00C361D5">
      <w:pPr>
        <w:rPr>
          <w:rFonts w:ascii="Arial" w:hAnsi="Arial" w:cs="Arial"/>
          <w:sz w:val="24"/>
          <w:szCs w:val="24"/>
        </w:rPr>
      </w:pPr>
      <w:r w:rsidRPr="00C361D5">
        <w:rPr>
          <w:rFonts w:ascii="Arial" w:hAnsi="Arial" w:cs="Arial"/>
          <w:sz w:val="24"/>
          <w:szCs w:val="24"/>
        </w:rPr>
        <w:t xml:space="preserve">The Trust may refuse a request, however it must be because of one of the eight statutory business grounds, such as a detrimental impact on performance or quality of service, ACAS (2025).  This is supported by case law Commotion Ltd v Rutty, (2005) where an employer refused a flexible working request based on preference rather than business grounds and was found to be unreasonable.   </w:t>
      </w:r>
    </w:p>
    <w:p w14:paraId="556BF57B" w14:textId="2C82E7DF" w:rsidR="00C361D5" w:rsidRPr="00C361D5" w:rsidRDefault="00C361D5" w:rsidP="00C361D5">
      <w:pPr>
        <w:rPr>
          <w:rFonts w:ascii="Arial" w:hAnsi="Arial" w:cs="Arial"/>
          <w:sz w:val="24"/>
          <w:szCs w:val="24"/>
        </w:rPr>
      </w:pPr>
      <w:r w:rsidRPr="00C361D5">
        <w:rPr>
          <w:rFonts w:ascii="Arial" w:hAnsi="Arial" w:cs="Arial"/>
          <w:sz w:val="24"/>
          <w:szCs w:val="24"/>
        </w:rPr>
        <w:t>Taking into consider</w:t>
      </w:r>
      <w:r w:rsidR="001267F3">
        <w:rPr>
          <w:rFonts w:ascii="Arial" w:hAnsi="Arial" w:cs="Arial"/>
          <w:sz w:val="24"/>
          <w:szCs w:val="24"/>
        </w:rPr>
        <w:t>ation</w:t>
      </w:r>
      <w:r w:rsidRPr="00C361D5">
        <w:rPr>
          <w:rFonts w:ascii="Arial" w:hAnsi="Arial" w:cs="Arial"/>
          <w:sz w:val="24"/>
          <w:szCs w:val="24"/>
        </w:rPr>
        <w:t xml:space="preserve"> the statutory business grounds, it is important to note that your concern about setting a precedent, would not be a lawful reason to refuse the request.  However, ACAS (2024) advises that each flexible working request must be assessed on an individual, case-by-case basis.  This means that even if another employee were to submit a similar request in the future, they would not automatically be entitled to work from home, because a previous request had been approved.  Your concern about maintaining service quality is valid, and this could amount to a legitimate business reason for refusing the request.  For </w:t>
      </w:r>
      <w:r w:rsidR="00F567D8" w:rsidRPr="00C361D5">
        <w:rPr>
          <w:rFonts w:ascii="Arial" w:hAnsi="Arial" w:cs="Arial"/>
          <w:sz w:val="24"/>
          <w:szCs w:val="24"/>
        </w:rPr>
        <w:t>example,</w:t>
      </w:r>
      <w:r w:rsidRPr="00C361D5">
        <w:rPr>
          <w:rFonts w:ascii="Arial" w:hAnsi="Arial" w:cs="Arial"/>
          <w:sz w:val="24"/>
          <w:szCs w:val="24"/>
        </w:rPr>
        <w:t xml:space="preserve"> if the role is public facing, and the administrator needs to be present to support patient services within the Trust, remote working may not be possible as it could negatively impact the quality of service.   </w:t>
      </w:r>
    </w:p>
    <w:p w14:paraId="29B55AE8" w14:textId="08B73D58" w:rsidR="00C361D5" w:rsidRPr="00C361D5" w:rsidRDefault="00A26DC6" w:rsidP="00C361D5">
      <w:pPr>
        <w:rPr>
          <w:rFonts w:ascii="Arial" w:hAnsi="Arial" w:cs="Arial"/>
          <w:sz w:val="24"/>
          <w:szCs w:val="24"/>
        </w:rPr>
      </w:pPr>
      <w:r>
        <w:rPr>
          <w:rFonts w:ascii="Arial" w:hAnsi="Arial" w:cs="Arial"/>
          <w:sz w:val="24"/>
          <w:szCs w:val="24"/>
        </w:rPr>
        <w:t>A</w:t>
      </w:r>
      <w:r w:rsidR="00C361D5" w:rsidRPr="00C361D5">
        <w:rPr>
          <w:rFonts w:ascii="Arial" w:hAnsi="Arial" w:cs="Arial"/>
          <w:sz w:val="24"/>
          <w:szCs w:val="24"/>
        </w:rPr>
        <w:t xml:space="preserve">rranging a meeting </w:t>
      </w:r>
      <w:r>
        <w:rPr>
          <w:rFonts w:ascii="Arial" w:hAnsi="Arial" w:cs="Arial"/>
          <w:sz w:val="24"/>
          <w:szCs w:val="24"/>
        </w:rPr>
        <w:t xml:space="preserve">will help </w:t>
      </w:r>
      <w:r w:rsidR="00A94DAA">
        <w:rPr>
          <w:rFonts w:ascii="Arial" w:hAnsi="Arial" w:cs="Arial"/>
          <w:sz w:val="24"/>
          <w:szCs w:val="24"/>
        </w:rPr>
        <w:t xml:space="preserve">you </w:t>
      </w:r>
      <w:r w:rsidR="00C361D5" w:rsidRPr="00C361D5">
        <w:rPr>
          <w:rFonts w:ascii="Arial" w:hAnsi="Arial" w:cs="Arial"/>
          <w:sz w:val="24"/>
          <w:szCs w:val="24"/>
        </w:rPr>
        <w:t>understand the request in more detail</w:t>
      </w:r>
      <w:r w:rsidR="00EB2D35">
        <w:rPr>
          <w:rFonts w:ascii="Arial" w:hAnsi="Arial" w:cs="Arial"/>
          <w:sz w:val="24"/>
          <w:szCs w:val="24"/>
        </w:rPr>
        <w:t xml:space="preserve">, </w:t>
      </w:r>
      <w:r w:rsidR="00485941">
        <w:rPr>
          <w:rFonts w:ascii="Arial" w:hAnsi="Arial" w:cs="Arial"/>
          <w:sz w:val="24"/>
          <w:szCs w:val="24"/>
        </w:rPr>
        <w:t>and</w:t>
      </w:r>
      <w:r w:rsidR="00C361D5" w:rsidRPr="00C361D5">
        <w:rPr>
          <w:rFonts w:ascii="Arial" w:hAnsi="Arial" w:cs="Arial"/>
          <w:sz w:val="24"/>
          <w:szCs w:val="24"/>
        </w:rPr>
        <w:t xml:space="preserve"> how t</w:t>
      </w:r>
      <w:r w:rsidR="00485941">
        <w:rPr>
          <w:rFonts w:ascii="Arial" w:hAnsi="Arial" w:cs="Arial"/>
          <w:sz w:val="24"/>
          <w:szCs w:val="24"/>
        </w:rPr>
        <w:t xml:space="preserve">he employee plans to manage their </w:t>
      </w:r>
      <w:r w:rsidR="00C361D5" w:rsidRPr="00C361D5">
        <w:rPr>
          <w:rFonts w:ascii="Arial" w:hAnsi="Arial" w:cs="Arial"/>
          <w:sz w:val="24"/>
          <w:szCs w:val="24"/>
        </w:rPr>
        <w:t xml:space="preserve">duties </w:t>
      </w:r>
      <w:r w:rsidR="00485941">
        <w:rPr>
          <w:rFonts w:ascii="Arial" w:hAnsi="Arial" w:cs="Arial"/>
          <w:sz w:val="24"/>
          <w:szCs w:val="24"/>
        </w:rPr>
        <w:t xml:space="preserve">from </w:t>
      </w:r>
      <w:r w:rsidR="00C361D5" w:rsidRPr="00C361D5">
        <w:rPr>
          <w:rFonts w:ascii="Arial" w:hAnsi="Arial" w:cs="Arial"/>
          <w:sz w:val="24"/>
          <w:szCs w:val="24"/>
        </w:rPr>
        <w:t>home</w:t>
      </w:r>
      <w:r w:rsidR="00EB2D35">
        <w:rPr>
          <w:rFonts w:ascii="Arial" w:hAnsi="Arial" w:cs="Arial"/>
          <w:sz w:val="24"/>
          <w:szCs w:val="24"/>
        </w:rPr>
        <w:t xml:space="preserve">.  </w:t>
      </w:r>
      <w:r w:rsidR="003F59AC">
        <w:rPr>
          <w:rFonts w:ascii="Arial" w:hAnsi="Arial" w:cs="Arial"/>
          <w:sz w:val="24"/>
          <w:szCs w:val="24"/>
        </w:rPr>
        <w:t>ACAS</w:t>
      </w:r>
      <w:r w:rsidR="00532DF9">
        <w:rPr>
          <w:rFonts w:ascii="Arial" w:hAnsi="Arial" w:cs="Arial"/>
          <w:sz w:val="24"/>
          <w:szCs w:val="24"/>
        </w:rPr>
        <w:t xml:space="preserve"> (2024)</w:t>
      </w:r>
      <w:r w:rsidR="003F59AC">
        <w:rPr>
          <w:rFonts w:ascii="Arial" w:hAnsi="Arial" w:cs="Arial"/>
          <w:sz w:val="24"/>
          <w:szCs w:val="24"/>
        </w:rPr>
        <w:t xml:space="preserve"> guidance recommends discussing alternatives such as </w:t>
      </w:r>
      <w:r w:rsidR="00E44122">
        <w:rPr>
          <w:rFonts w:ascii="Arial" w:hAnsi="Arial" w:cs="Arial"/>
          <w:sz w:val="24"/>
          <w:szCs w:val="24"/>
        </w:rPr>
        <w:t xml:space="preserve">fewer working from home days, </w:t>
      </w:r>
      <w:r w:rsidR="00C361D5" w:rsidRPr="00C361D5">
        <w:rPr>
          <w:rFonts w:ascii="Arial" w:hAnsi="Arial" w:cs="Arial"/>
          <w:sz w:val="24"/>
          <w:szCs w:val="24"/>
        </w:rPr>
        <w:t>or</w:t>
      </w:r>
      <w:r w:rsidR="00EB2D35">
        <w:rPr>
          <w:rFonts w:ascii="Arial" w:hAnsi="Arial" w:cs="Arial"/>
          <w:sz w:val="24"/>
          <w:szCs w:val="24"/>
        </w:rPr>
        <w:t xml:space="preserve"> </w:t>
      </w:r>
      <w:r w:rsidR="00C361D5" w:rsidRPr="00C361D5">
        <w:rPr>
          <w:rFonts w:ascii="Arial" w:hAnsi="Arial" w:cs="Arial"/>
          <w:sz w:val="24"/>
          <w:szCs w:val="24"/>
        </w:rPr>
        <w:t xml:space="preserve">a trial period </w:t>
      </w:r>
      <w:r w:rsidR="006C311E">
        <w:rPr>
          <w:rFonts w:ascii="Arial" w:hAnsi="Arial" w:cs="Arial"/>
          <w:sz w:val="24"/>
          <w:szCs w:val="24"/>
        </w:rPr>
        <w:t xml:space="preserve">where there is uncertainty about the impact </w:t>
      </w:r>
      <w:r w:rsidR="00532DF9">
        <w:rPr>
          <w:rFonts w:ascii="Arial" w:hAnsi="Arial" w:cs="Arial"/>
          <w:sz w:val="24"/>
          <w:szCs w:val="24"/>
        </w:rPr>
        <w:t>on the service.</w:t>
      </w:r>
      <w:r w:rsidR="00F52654">
        <w:rPr>
          <w:rFonts w:ascii="Arial" w:hAnsi="Arial" w:cs="Arial"/>
          <w:sz w:val="24"/>
          <w:szCs w:val="24"/>
        </w:rPr>
        <w:t xml:space="preserve">  The CIPD </w:t>
      </w:r>
      <w:r w:rsidR="00E42562">
        <w:rPr>
          <w:rFonts w:ascii="Arial" w:hAnsi="Arial" w:cs="Arial"/>
          <w:sz w:val="24"/>
          <w:szCs w:val="24"/>
        </w:rPr>
        <w:t>(202</w:t>
      </w:r>
      <w:r w:rsidR="00407D72">
        <w:rPr>
          <w:rFonts w:ascii="Arial" w:hAnsi="Arial" w:cs="Arial"/>
          <w:sz w:val="24"/>
          <w:szCs w:val="24"/>
        </w:rPr>
        <w:t>5</w:t>
      </w:r>
      <w:r w:rsidR="00214B64">
        <w:rPr>
          <w:rFonts w:ascii="Arial" w:hAnsi="Arial" w:cs="Arial"/>
          <w:sz w:val="24"/>
          <w:szCs w:val="24"/>
        </w:rPr>
        <w:t>e</w:t>
      </w:r>
      <w:r w:rsidR="00E42562">
        <w:rPr>
          <w:rFonts w:ascii="Arial" w:hAnsi="Arial" w:cs="Arial"/>
          <w:sz w:val="24"/>
          <w:szCs w:val="24"/>
        </w:rPr>
        <w:t>)</w:t>
      </w:r>
      <w:r w:rsidR="00295CF5">
        <w:rPr>
          <w:rFonts w:ascii="Arial" w:hAnsi="Arial" w:cs="Arial"/>
          <w:sz w:val="24"/>
          <w:szCs w:val="24"/>
        </w:rPr>
        <w:t xml:space="preserve"> also highlights the importance of exploring practical adjustments and overcoming </w:t>
      </w:r>
      <w:r w:rsidR="00F40B30">
        <w:rPr>
          <w:rFonts w:ascii="Arial" w:hAnsi="Arial" w:cs="Arial"/>
          <w:sz w:val="24"/>
          <w:szCs w:val="24"/>
        </w:rPr>
        <w:t>barriers through trial periods, supporting a collaborative approach.</w:t>
      </w:r>
      <w:r w:rsidR="00532DF9">
        <w:rPr>
          <w:rFonts w:ascii="Arial" w:hAnsi="Arial" w:cs="Arial"/>
          <w:sz w:val="24"/>
          <w:szCs w:val="24"/>
        </w:rPr>
        <w:t xml:space="preserve">  </w:t>
      </w:r>
      <w:r w:rsidR="00F567D8">
        <w:rPr>
          <w:rFonts w:ascii="Arial" w:hAnsi="Arial" w:cs="Arial"/>
          <w:sz w:val="24"/>
          <w:szCs w:val="24"/>
        </w:rPr>
        <w:t>The final d</w:t>
      </w:r>
      <w:r w:rsidR="00C361D5" w:rsidRPr="00C361D5">
        <w:rPr>
          <w:rFonts w:ascii="Arial" w:hAnsi="Arial" w:cs="Arial"/>
          <w:sz w:val="24"/>
          <w:szCs w:val="24"/>
        </w:rPr>
        <w:t xml:space="preserve">ecision </w:t>
      </w:r>
      <w:r w:rsidR="00F567D8">
        <w:rPr>
          <w:rFonts w:ascii="Arial" w:hAnsi="Arial" w:cs="Arial"/>
          <w:sz w:val="24"/>
          <w:szCs w:val="24"/>
        </w:rPr>
        <w:t xml:space="preserve">should be clearly documented and </w:t>
      </w:r>
      <w:r w:rsidR="00C361D5" w:rsidRPr="00C361D5">
        <w:rPr>
          <w:rFonts w:ascii="Arial" w:hAnsi="Arial" w:cs="Arial"/>
          <w:sz w:val="24"/>
          <w:szCs w:val="24"/>
        </w:rPr>
        <w:t xml:space="preserve">communicated </w:t>
      </w:r>
      <w:r w:rsidR="00F567D8">
        <w:rPr>
          <w:rFonts w:ascii="Arial" w:hAnsi="Arial" w:cs="Arial"/>
          <w:sz w:val="24"/>
          <w:szCs w:val="24"/>
        </w:rPr>
        <w:t>to</w:t>
      </w:r>
      <w:r w:rsidR="00C361D5" w:rsidRPr="00C361D5">
        <w:rPr>
          <w:rFonts w:ascii="Arial" w:hAnsi="Arial" w:cs="Arial"/>
          <w:sz w:val="24"/>
          <w:szCs w:val="24"/>
        </w:rPr>
        <w:t xml:space="preserve"> the employee. </w:t>
      </w:r>
    </w:p>
    <w:p w14:paraId="2D6D4D59" w14:textId="7BB4EE5D" w:rsidR="00C361D5" w:rsidRPr="00C361D5" w:rsidRDefault="005D49CA" w:rsidP="00C361D5">
      <w:pPr>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A</w:t>
      </w:r>
      <w:r w:rsidR="00C361D5" w:rsidRPr="00C361D5">
        <w:rPr>
          <w:rFonts w:ascii="Arial" w:eastAsia="Times New Roman" w:hAnsi="Arial" w:cs="Arial"/>
          <w:sz w:val="24"/>
          <w:szCs w:val="24"/>
          <w:lang w:eastAsia="en-GB"/>
        </w:rPr>
        <w:t xml:space="preserve"> balanced, evidence-based approach</w:t>
      </w:r>
      <w:r w:rsidR="007E7176">
        <w:rPr>
          <w:rFonts w:ascii="Arial" w:eastAsia="Times New Roman" w:hAnsi="Arial" w:cs="Arial"/>
          <w:sz w:val="24"/>
          <w:szCs w:val="24"/>
          <w:lang w:eastAsia="en-GB"/>
        </w:rPr>
        <w:t xml:space="preserve"> should be take</w:t>
      </w:r>
      <w:r w:rsidR="00324911">
        <w:rPr>
          <w:rFonts w:ascii="Arial" w:eastAsia="Times New Roman" w:hAnsi="Arial" w:cs="Arial"/>
          <w:sz w:val="24"/>
          <w:szCs w:val="24"/>
          <w:lang w:eastAsia="en-GB"/>
        </w:rPr>
        <w:t>n</w:t>
      </w:r>
      <w:r w:rsidR="007E7176">
        <w:rPr>
          <w:rFonts w:ascii="Arial" w:eastAsia="Times New Roman" w:hAnsi="Arial" w:cs="Arial"/>
          <w:sz w:val="24"/>
          <w:szCs w:val="24"/>
          <w:lang w:eastAsia="en-GB"/>
        </w:rPr>
        <w:t>,</w:t>
      </w:r>
      <w:r w:rsidR="00C361D5" w:rsidRPr="00C361D5">
        <w:rPr>
          <w:rFonts w:ascii="Arial" w:eastAsia="Times New Roman" w:hAnsi="Arial" w:cs="Arial"/>
          <w:sz w:val="24"/>
          <w:szCs w:val="24"/>
          <w:lang w:eastAsia="en-GB"/>
        </w:rPr>
        <w:t xml:space="preserve"> consider</w:t>
      </w:r>
      <w:r w:rsidR="00324911">
        <w:rPr>
          <w:rFonts w:ascii="Arial" w:eastAsia="Times New Roman" w:hAnsi="Arial" w:cs="Arial"/>
          <w:sz w:val="24"/>
          <w:szCs w:val="24"/>
          <w:lang w:eastAsia="en-GB"/>
        </w:rPr>
        <w:t>ing</w:t>
      </w:r>
      <w:r w:rsidR="00C361D5" w:rsidRPr="00C361D5">
        <w:rPr>
          <w:rFonts w:ascii="Arial" w:eastAsia="Times New Roman" w:hAnsi="Arial" w:cs="Arial"/>
          <w:sz w:val="24"/>
          <w:szCs w:val="24"/>
          <w:lang w:eastAsia="en-GB"/>
        </w:rPr>
        <w:t xml:space="preserve"> both the needs of the </w:t>
      </w:r>
      <w:r w:rsidR="00324911">
        <w:rPr>
          <w:rFonts w:ascii="Arial" w:eastAsia="Times New Roman" w:hAnsi="Arial" w:cs="Arial"/>
          <w:sz w:val="24"/>
          <w:szCs w:val="24"/>
          <w:lang w:eastAsia="en-GB"/>
        </w:rPr>
        <w:t>Trust</w:t>
      </w:r>
      <w:r w:rsidR="00C361D5" w:rsidRPr="00C361D5">
        <w:rPr>
          <w:rFonts w:ascii="Arial" w:eastAsia="Times New Roman" w:hAnsi="Arial" w:cs="Arial"/>
          <w:sz w:val="24"/>
          <w:szCs w:val="24"/>
          <w:lang w:eastAsia="en-GB"/>
        </w:rPr>
        <w:t xml:space="preserve"> and the employee</w:t>
      </w:r>
      <w:r w:rsidR="00A94DAA">
        <w:rPr>
          <w:rFonts w:ascii="Arial" w:eastAsia="Times New Roman" w:hAnsi="Arial" w:cs="Arial"/>
          <w:sz w:val="24"/>
          <w:szCs w:val="24"/>
          <w:lang w:eastAsia="en-GB"/>
        </w:rPr>
        <w:t>, e</w:t>
      </w:r>
      <w:r w:rsidR="00C361D5" w:rsidRPr="00C361D5">
        <w:rPr>
          <w:rFonts w:ascii="Arial" w:eastAsia="Times New Roman" w:hAnsi="Arial" w:cs="Arial"/>
          <w:sz w:val="24"/>
          <w:szCs w:val="24"/>
          <w:lang w:eastAsia="en-GB"/>
        </w:rPr>
        <w:t>nsur</w:t>
      </w:r>
      <w:r w:rsidR="00324911">
        <w:rPr>
          <w:rFonts w:ascii="Arial" w:eastAsia="Times New Roman" w:hAnsi="Arial" w:cs="Arial"/>
          <w:sz w:val="24"/>
          <w:szCs w:val="24"/>
          <w:lang w:eastAsia="en-GB"/>
        </w:rPr>
        <w:t>ing</w:t>
      </w:r>
      <w:r w:rsidR="00C361D5" w:rsidRPr="00C361D5">
        <w:rPr>
          <w:rFonts w:ascii="Arial" w:eastAsia="Times New Roman" w:hAnsi="Arial" w:cs="Arial"/>
          <w:sz w:val="24"/>
          <w:szCs w:val="24"/>
          <w:lang w:eastAsia="en-GB"/>
        </w:rPr>
        <w:t xml:space="preserve"> we remain compliant</w:t>
      </w:r>
      <w:r w:rsidR="00C71007">
        <w:rPr>
          <w:rFonts w:ascii="Arial" w:eastAsia="Times New Roman" w:hAnsi="Arial" w:cs="Arial"/>
          <w:sz w:val="24"/>
          <w:szCs w:val="24"/>
          <w:lang w:eastAsia="en-GB"/>
        </w:rPr>
        <w:t xml:space="preserve">, </w:t>
      </w:r>
      <w:r w:rsidR="00C361D5" w:rsidRPr="00C361D5">
        <w:rPr>
          <w:rFonts w:ascii="Arial" w:eastAsia="Times New Roman" w:hAnsi="Arial" w:cs="Arial"/>
          <w:sz w:val="24"/>
          <w:szCs w:val="24"/>
          <w:lang w:eastAsia="en-GB"/>
        </w:rPr>
        <w:t xml:space="preserve">taking a fair </w:t>
      </w:r>
      <w:r w:rsidR="00C71007" w:rsidRPr="00C361D5">
        <w:rPr>
          <w:rFonts w:ascii="Arial" w:eastAsia="Times New Roman" w:hAnsi="Arial" w:cs="Arial"/>
          <w:sz w:val="24"/>
          <w:szCs w:val="24"/>
          <w:lang w:eastAsia="en-GB"/>
        </w:rPr>
        <w:t>and consistent</w:t>
      </w:r>
      <w:r w:rsidR="00C361D5" w:rsidRPr="00C361D5">
        <w:rPr>
          <w:rFonts w:ascii="Arial" w:eastAsia="Times New Roman" w:hAnsi="Arial" w:cs="Arial"/>
          <w:sz w:val="24"/>
          <w:szCs w:val="24"/>
          <w:lang w:eastAsia="en-GB"/>
        </w:rPr>
        <w:t xml:space="preserve"> approach. </w:t>
      </w:r>
    </w:p>
    <w:p w14:paraId="37F0105B" w14:textId="77777777" w:rsidR="00C361D5" w:rsidRPr="00C361D5" w:rsidRDefault="00C361D5" w:rsidP="00C361D5">
      <w:pPr>
        <w:rPr>
          <w:rFonts w:ascii="Arial" w:hAnsi="Arial" w:cs="Arial"/>
          <w:sz w:val="24"/>
          <w:szCs w:val="24"/>
        </w:rPr>
      </w:pPr>
    </w:p>
    <w:p w14:paraId="7A44350D" w14:textId="77777777" w:rsidR="004445A6" w:rsidRDefault="004445A6"/>
    <w:p w14:paraId="0C1D5DF1" w14:textId="77777777" w:rsidR="00964FA2" w:rsidRDefault="00964FA2"/>
    <w:p w14:paraId="4C450A35" w14:textId="77777777" w:rsidR="00964FA2" w:rsidRDefault="00964FA2"/>
    <w:p w14:paraId="5BACBCFB" w14:textId="77777777" w:rsidR="00964FA2" w:rsidRDefault="00964FA2"/>
    <w:p w14:paraId="77676C72" w14:textId="77777777" w:rsidR="00DC5A6A" w:rsidRPr="004B10E7" w:rsidRDefault="00DC5A6A" w:rsidP="00DC5A6A">
      <w:pPr>
        <w:rPr>
          <w:rFonts w:ascii="Arial" w:hAnsi="Arial" w:cs="Arial"/>
          <w:b/>
          <w:bCs/>
          <w:sz w:val="24"/>
          <w:szCs w:val="24"/>
          <w:u w:val="single"/>
        </w:rPr>
      </w:pPr>
      <w:r w:rsidRPr="004B10E7">
        <w:rPr>
          <w:rFonts w:ascii="Arial" w:hAnsi="Arial" w:cs="Arial"/>
          <w:b/>
          <w:bCs/>
          <w:sz w:val="24"/>
          <w:szCs w:val="24"/>
          <w:u w:val="single"/>
        </w:rPr>
        <w:lastRenderedPageBreak/>
        <w:t>Reference:</w:t>
      </w:r>
    </w:p>
    <w:p w14:paraId="1948815B" w14:textId="77777777" w:rsidR="00DC5A6A" w:rsidRDefault="00DC5A6A" w:rsidP="00DC5A6A">
      <w:pPr>
        <w:rPr>
          <w:rFonts w:ascii="Arial" w:hAnsi="Arial" w:cs="Arial"/>
          <w:sz w:val="24"/>
          <w:szCs w:val="24"/>
        </w:rPr>
      </w:pPr>
      <w:r>
        <w:rPr>
          <w:rFonts w:ascii="Arial" w:hAnsi="Arial" w:cs="Arial"/>
          <w:sz w:val="24"/>
          <w:szCs w:val="24"/>
        </w:rPr>
        <w:t xml:space="preserve">ACAS (2024) Code of Practice on Flexible Working Requests. Available at: </w:t>
      </w:r>
      <w:hyperlink r:id="rId4" w:history="1">
        <w:r w:rsidRPr="00C314C7">
          <w:rPr>
            <w:rStyle w:val="Hyperlink"/>
            <w:rFonts w:ascii="Arial" w:hAnsi="Arial" w:cs="Arial"/>
            <w:sz w:val="24"/>
            <w:szCs w:val="24"/>
          </w:rPr>
          <w:t>https://www.acas.org.uk/acas-code-of-practice-on-flexible-working-requests/html</w:t>
        </w:r>
      </w:hyperlink>
      <w:r>
        <w:rPr>
          <w:rFonts w:ascii="Arial" w:hAnsi="Arial" w:cs="Arial"/>
          <w:sz w:val="24"/>
          <w:szCs w:val="24"/>
        </w:rPr>
        <w:t xml:space="preserve"> (Accessed 20 March 2026)</w:t>
      </w:r>
      <w:r w:rsidRPr="00A05EDB">
        <w:rPr>
          <w:rFonts w:ascii="Arial" w:hAnsi="Arial" w:cs="Arial"/>
          <w:sz w:val="24"/>
          <w:szCs w:val="24"/>
        </w:rPr>
        <w:t xml:space="preserve"> </w:t>
      </w:r>
    </w:p>
    <w:p w14:paraId="11C737D8" w14:textId="60DE05E0" w:rsidR="00E0247D" w:rsidRDefault="00E0247D" w:rsidP="00E0247D">
      <w:pPr>
        <w:rPr>
          <w:rFonts w:ascii="Arial" w:hAnsi="Arial" w:cs="Arial"/>
          <w:sz w:val="24"/>
          <w:szCs w:val="24"/>
        </w:rPr>
      </w:pPr>
      <w:r>
        <w:rPr>
          <w:rFonts w:ascii="Arial" w:hAnsi="Arial" w:cs="Arial"/>
          <w:sz w:val="24"/>
          <w:szCs w:val="24"/>
        </w:rPr>
        <w:t xml:space="preserve">ACAS (2025a) </w:t>
      </w:r>
      <w:r>
        <w:rPr>
          <w:rFonts w:ascii="Arial" w:hAnsi="Arial" w:cs="Arial"/>
          <w:i/>
          <w:iCs/>
          <w:sz w:val="24"/>
          <w:szCs w:val="24"/>
        </w:rPr>
        <w:t xml:space="preserve">Discrimination and the Equality Act 2010. </w:t>
      </w:r>
      <w:r>
        <w:rPr>
          <w:rFonts w:ascii="Arial" w:hAnsi="Arial" w:cs="Arial"/>
          <w:sz w:val="24"/>
          <w:szCs w:val="24"/>
        </w:rPr>
        <w:t xml:space="preserve">Available at: </w:t>
      </w:r>
      <w:hyperlink r:id="rId5" w:history="1">
        <w:r w:rsidRPr="005C0629">
          <w:rPr>
            <w:rStyle w:val="Hyperlink"/>
            <w:rFonts w:ascii="Arial" w:hAnsi="Arial" w:cs="Arial"/>
            <w:sz w:val="24"/>
            <w:szCs w:val="24"/>
          </w:rPr>
          <w:t>https://www.acas.org.uk/discrimination-and-the-law</w:t>
        </w:r>
      </w:hyperlink>
      <w:r>
        <w:rPr>
          <w:rFonts w:ascii="Arial" w:hAnsi="Arial" w:cs="Arial"/>
          <w:sz w:val="24"/>
          <w:szCs w:val="24"/>
        </w:rPr>
        <w:t xml:space="preserve"> (Accessed: 11 February 2026)</w:t>
      </w:r>
    </w:p>
    <w:p w14:paraId="0D9751BC" w14:textId="40943EC3" w:rsidR="00DC5A6A" w:rsidRDefault="00DC5A6A" w:rsidP="00DC5A6A">
      <w:pPr>
        <w:rPr>
          <w:rFonts w:ascii="Arial" w:hAnsi="Arial" w:cs="Arial"/>
          <w:sz w:val="24"/>
          <w:szCs w:val="24"/>
        </w:rPr>
      </w:pPr>
      <w:r>
        <w:rPr>
          <w:rFonts w:ascii="Arial" w:hAnsi="Arial" w:cs="Arial"/>
          <w:sz w:val="24"/>
          <w:szCs w:val="24"/>
        </w:rPr>
        <w:t>ACAS (2025</w:t>
      </w:r>
      <w:r w:rsidR="00E0247D">
        <w:rPr>
          <w:rFonts w:ascii="Arial" w:hAnsi="Arial" w:cs="Arial"/>
          <w:sz w:val="24"/>
          <w:szCs w:val="24"/>
        </w:rPr>
        <w:t>b</w:t>
      </w:r>
      <w:r>
        <w:rPr>
          <w:rFonts w:ascii="Arial" w:hAnsi="Arial" w:cs="Arial"/>
          <w:sz w:val="24"/>
          <w:szCs w:val="24"/>
        </w:rPr>
        <w:t xml:space="preserve">) </w:t>
      </w:r>
      <w:r>
        <w:rPr>
          <w:rFonts w:ascii="Arial" w:hAnsi="Arial" w:cs="Arial"/>
          <w:i/>
          <w:iCs/>
          <w:sz w:val="24"/>
          <w:szCs w:val="24"/>
        </w:rPr>
        <w:t xml:space="preserve">Shared Parental Leave and Pay. </w:t>
      </w:r>
      <w:r>
        <w:rPr>
          <w:rFonts w:ascii="Arial" w:hAnsi="Arial" w:cs="Arial"/>
          <w:sz w:val="24"/>
          <w:szCs w:val="24"/>
        </w:rPr>
        <w:t xml:space="preserve">Available at: </w:t>
      </w:r>
      <w:hyperlink r:id="rId6" w:history="1">
        <w:r w:rsidRPr="009129A5">
          <w:rPr>
            <w:rStyle w:val="Hyperlink"/>
            <w:rFonts w:ascii="Arial" w:hAnsi="Arial" w:cs="Arial"/>
            <w:sz w:val="24"/>
            <w:szCs w:val="24"/>
          </w:rPr>
          <w:t>https://www.acas.org.uk/shared-parental-leave-and-pay</w:t>
        </w:r>
      </w:hyperlink>
      <w:r>
        <w:rPr>
          <w:rFonts w:ascii="Arial" w:hAnsi="Arial" w:cs="Arial"/>
          <w:sz w:val="24"/>
          <w:szCs w:val="24"/>
        </w:rPr>
        <w:t xml:space="preserve"> (Accessed: 2 March 2026)</w:t>
      </w:r>
    </w:p>
    <w:p w14:paraId="01274C54" w14:textId="77777777" w:rsidR="00DC5A6A" w:rsidRDefault="00DC5A6A" w:rsidP="00DC5A6A">
      <w:pPr>
        <w:rPr>
          <w:rFonts w:ascii="Arial" w:hAnsi="Arial" w:cs="Arial"/>
          <w:sz w:val="24"/>
          <w:szCs w:val="24"/>
        </w:rPr>
      </w:pPr>
      <w:r>
        <w:rPr>
          <w:rFonts w:ascii="Arial" w:hAnsi="Arial" w:cs="Arial"/>
          <w:sz w:val="24"/>
          <w:szCs w:val="24"/>
        </w:rPr>
        <w:t xml:space="preserve">ACAS (2026) </w:t>
      </w:r>
      <w:r>
        <w:rPr>
          <w:rFonts w:ascii="Arial" w:hAnsi="Arial" w:cs="Arial"/>
          <w:i/>
          <w:iCs/>
          <w:sz w:val="24"/>
          <w:szCs w:val="24"/>
        </w:rPr>
        <w:t xml:space="preserve">Statutory Flexible Working Request, the right to request. </w:t>
      </w:r>
      <w:r>
        <w:rPr>
          <w:rFonts w:ascii="Arial" w:hAnsi="Arial" w:cs="Arial"/>
          <w:sz w:val="24"/>
          <w:szCs w:val="24"/>
        </w:rPr>
        <w:t xml:space="preserve">Available at: </w:t>
      </w:r>
      <w:hyperlink r:id="rId7" w:history="1">
        <w:r w:rsidRPr="00C314C7">
          <w:rPr>
            <w:rStyle w:val="Hyperlink"/>
            <w:rFonts w:ascii="Arial" w:hAnsi="Arial" w:cs="Arial"/>
            <w:sz w:val="24"/>
            <w:szCs w:val="24"/>
          </w:rPr>
          <w:t>https://www.acas.org.uk/statutory-flexible-working-requests/the-right-to-request</w:t>
        </w:r>
      </w:hyperlink>
      <w:r>
        <w:rPr>
          <w:rFonts w:ascii="Arial" w:hAnsi="Arial" w:cs="Arial"/>
          <w:sz w:val="24"/>
          <w:szCs w:val="24"/>
        </w:rPr>
        <w:t xml:space="preserve"> (Accessed 21 March 2026)</w:t>
      </w:r>
    </w:p>
    <w:p w14:paraId="5BA7DA60" w14:textId="51AC3EBB" w:rsidR="00DC5A6A" w:rsidRPr="00EC0040" w:rsidRDefault="00DC5A6A" w:rsidP="00DC5A6A">
      <w:pPr>
        <w:spacing w:line="240" w:lineRule="auto"/>
        <w:rPr>
          <w:rFonts w:ascii="Arial" w:hAnsi="Arial" w:cs="Arial"/>
          <w:sz w:val="24"/>
          <w:szCs w:val="24"/>
        </w:rPr>
      </w:pPr>
      <w:r>
        <w:rPr>
          <w:rFonts w:ascii="Arial" w:hAnsi="Arial" w:cs="Arial"/>
          <w:sz w:val="24"/>
          <w:szCs w:val="24"/>
        </w:rPr>
        <w:t>ACAS (no date</w:t>
      </w:r>
      <w:r w:rsidR="008C6081">
        <w:rPr>
          <w:rFonts w:ascii="Arial" w:hAnsi="Arial" w:cs="Arial"/>
          <w:sz w:val="24"/>
          <w:szCs w:val="24"/>
        </w:rPr>
        <w:t>-</w:t>
      </w:r>
      <w:r w:rsidR="00170632">
        <w:rPr>
          <w:rFonts w:ascii="Arial" w:hAnsi="Arial" w:cs="Arial"/>
          <w:sz w:val="24"/>
          <w:szCs w:val="24"/>
        </w:rPr>
        <w:t>a</w:t>
      </w:r>
      <w:r>
        <w:rPr>
          <w:rFonts w:ascii="Arial" w:hAnsi="Arial" w:cs="Arial"/>
          <w:sz w:val="24"/>
          <w:szCs w:val="24"/>
        </w:rPr>
        <w:t xml:space="preserve">) </w:t>
      </w:r>
      <w:r>
        <w:rPr>
          <w:rFonts w:ascii="Arial" w:hAnsi="Arial" w:cs="Arial"/>
          <w:i/>
          <w:iCs/>
          <w:sz w:val="24"/>
          <w:szCs w:val="24"/>
        </w:rPr>
        <w:t xml:space="preserve">Constructive Dismissal. </w:t>
      </w:r>
      <w:r>
        <w:rPr>
          <w:rFonts w:ascii="Arial" w:hAnsi="Arial" w:cs="Arial"/>
          <w:sz w:val="24"/>
          <w:szCs w:val="24"/>
        </w:rPr>
        <w:t xml:space="preserve">Available at:  </w:t>
      </w:r>
      <w:hyperlink r:id="rId8" w:history="1">
        <w:r w:rsidRPr="00404BA3">
          <w:rPr>
            <w:rStyle w:val="Hyperlink"/>
            <w:rFonts w:ascii="Arial" w:eastAsia="Trebuchet MS" w:hAnsi="Arial" w:cs="Arial"/>
            <w:sz w:val="24"/>
            <w:szCs w:val="24"/>
            <w14:textOutline w14:w="12700" w14:cap="flat" w14:cmpd="sng" w14:algn="ctr">
              <w14:noFill/>
              <w14:prstDash w14:val="solid"/>
              <w14:miter w14:lim="400000"/>
            </w14:textOutline>
          </w:rPr>
          <w:t>https://www.acas.org.uk/dismissals/constructive-dismissal</w:t>
        </w:r>
      </w:hyperlink>
      <w:r>
        <w:rPr>
          <w:rFonts w:ascii="Arial" w:eastAsia="Trebuchet MS" w:hAnsi="Arial" w:cs="Arial"/>
          <w:color w:val="497CAA"/>
          <w:sz w:val="24"/>
          <w:szCs w:val="24"/>
          <w14:textOutline w14:w="12700" w14:cap="flat" w14:cmpd="sng" w14:algn="ctr">
            <w14:noFill/>
            <w14:prstDash w14:val="solid"/>
            <w14:miter w14:lim="400000"/>
          </w14:textOutline>
        </w:rPr>
        <w:t xml:space="preserve"> </w:t>
      </w:r>
      <w:r>
        <w:rPr>
          <w:rFonts w:ascii="Arial" w:eastAsia="Trebuchet MS" w:hAnsi="Arial" w:cs="Arial"/>
          <w:sz w:val="24"/>
          <w:szCs w:val="24"/>
          <w14:textOutline w14:w="12700" w14:cap="flat" w14:cmpd="sng" w14:algn="ctr">
            <w14:noFill/>
            <w14:prstDash w14:val="solid"/>
            <w14:miter w14:lim="400000"/>
          </w14:textOutline>
        </w:rPr>
        <w:t xml:space="preserve">(Accessed 20 February 2026) </w:t>
      </w:r>
    </w:p>
    <w:p w14:paraId="517186FE" w14:textId="171A435A" w:rsidR="00DC5A6A" w:rsidRPr="007C681E" w:rsidRDefault="00DC5A6A" w:rsidP="00DC5A6A">
      <w:r>
        <w:rPr>
          <w:rFonts w:ascii="Arial" w:hAnsi="Arial" w:cs="Arial"/>
          <w:sz w:val="24"/>
          <w:szCs w:val="24"/>
        </w:rPr>
        <w:t>ACAS (no date</w:t>
      </w:r>
      <w:r w:rsidR="008C6081">
        <w:rPr>
          <w:rFonts w:ascii="Arial" w:hAnsi="Arial" w:cs="Arial"/>
          <w:sz w:val="24"/>
          <w:szCs w:val="24"/>
        </w:rPr>
        <w:t>-</w:t>
      </w:r>
      <w:r w:rsidR="00170632">
        <w:rPr>
          <w:rFonts w:ascii="Arial" w:hAnsi="Arial" w:cs="Arial"/>
          <w:sz w:val="24"/>
          <w:szCs w:val="24"/>
        </w:rPr>
        <w:t>b</w:t>
      </w:r>
      <w:r>
        <w:rPr>
          <w:rFonts w:ascii="Arial" w:hAnsi="Arial" w:cs="Arial"/>
          <w:sz w:val="24"/>
          <w:szCs w:val="24"/>
        </w:rPr>
        <w:t xml:space="preserve">) </w:t>
      </w:r>
      <w:r>
        <w:rPr>
          <w:rFonts w:ascii="Arial" w:hAnsi="Arial" w:cs="Arial"/>
          <w:i/>
          <w:iCs/>
          <w:sz w:val="24"/>
          <w:szCs w:val="24"/>
        </w:rPr>
        <w:t xml:space="preserve">Equal Pay </w:t>
      </w:r>
      <w:r>
        <w:rPr>
          <w:rFonts w:ascii="Arial" w:hAnsi="Arial" w:cs="Arial"/>
          <w:sz w:val="24"/>
          <w:szCs w:val="24"/>
        </w:rPr>
        <w:t xml:space="preserve">Available at: </w:t>
      </w:r>
      <w:hyperlink r:id="rId9" w:history="1">
        <w:r w:rsidRPr="00404BA3">
          <w:rPr>
            <w:rStyle w:val="Hyperlink"/>
            <w:rFonts w:ascii="Arial" w:hAnsi="Arial" w:cs="Arial"/>
            <w:sz w:val="24"/>
            <w:szCs w:val="24"/>
          </w:rPr>
          <w:t>https://www.acas.org.uk/equal-pay</w:t>
        </w:r>
      </w:hyperlink>
      <w:r>
        <w:rPr>
          <w:rFonts w:ascii="Arial" w:hAnsi="Arial" w:cs="Arial"/>
          <w:sz w:val="24"/>
          <w:szCs w:val="24"/>
        </w:rPr>
        <w:t xml:space="preserve"> (Accessed: 16 February 2026)</w:t>
      </w:r>
    </w:p>
    <w:p w14:paraId="0B5495B8" w14:textId="5E7E2A1B" w:rsidR="00DC5A6A" w:rsidRDefault="00DC5A6A" w:rsidP="00DC5A6A">
      <w:pPr>
        <w:rPr>
          <w:rFonts w:ascii="Arial" w:hAnsi="Arial" w:cs="Arial"/>
          <w:sz w:val="24"/>
          <w:szCs w:val="24"/>
        </w:rPr>
      </w:pPr>
      <w:r>
        <w:rPr>
          <w:rFonts w:ascii="Arial" w:hAnsi="Arial" w:cs="Arial"/>
          <w:sz w:val="24"/>
          <w:szCs w:val="24"/>
        </w:rPr>
        <w:t>ACAS</w:t>
      </w:r>
      <w:r w:rsidR="00170632">
        <w:rPr>
          <w:rFonts w:ascii="Arial" w:hAnsi="Arial" w:cs="Arial"/>
          <w:sz w:val="24"/>
          <w:szCs w:val="24"/>
        </w:rPr>
        <w:t xml:space="preserve"> (no date</w:t>
      </w:r>
      <w:r w:rsidR="008C6081">
        <w:rPr>
          <w:rFonts w:ascii="Arial" w:hAnsi="Arial" w:cs="Arial"/>
          <w:sz w:val="24"/>
          <w:szCs w:val="24"/>
        </w:rPr>
        <w:t>-c</w:t>
      </w:r>
      <w:r w:rsidR="00170632">
        <w:rPr>
          <w:rFonts w:ascii="Arial" w:hAnsi="Arial" w:cs="Arial"/>
          <w:sz w:val="24"/>
          <w:szCs w:val="24"/>
        </w:rPr>
        <w:t>)</w:t>
      </w:r>
      <w:r>
        <w:rPr>
          <w:rFonts w:ascii="Arial" w:hAnsi="Arial" w:cs="Arial"/>
          <w:sz w:val="24"/>
          <w:szCs w:val="24"/>
        </w:rPr>
        <w:t xml:space="preserve"> </w:t>
      </w:r>
      <w:r>
        <w:rPr>
          <w:rFonts w:ascii="Arial" w:hAnsi="Arial" w:cs="Arial"/>
          <w:i/>
          <w:iCs/>
          <w:sz w:val="24"/>
          <w:szCs w:val="24"/>
        </w:rPr>
        <w:t xml:space="preserve">Irregular Hours and Part-Year Workers, Holiday Pay. </w:t>
      </w:r>
      <w:r>
        <w:rPr>
          <w:rFonts w:ascii="Arial" w:hAnsi="Arial" w:cs="Arial"/>
          <w:sz w:val="24"/>
          <w:szCs w:val="24"/>
        </w:rPr>
        <w:t xml:space="preserve">Available at: </w:t>
      </w:r>
      <w:hyperlink r:id="rId10" w:history="1">
        <w:r w:rsidRPr="009129A5">
          <w:rPr>
            <w:rStyle w:val="Hyperlink"/>
            <w:rFonts w:ascii="Arial" w:hAnsi="Arial" w:cs="Arial"/>
            <w:sz w:val="24"/>
            <w:szCs w:val="24"/>
          </w:rPr>
          <w:t>https://www.acas.org.uk/irregular-hours-and-part-year-workers/calculating-holiday-pay</w:t>
        </w:r>
      </w:hyperlink>
      <w:r>
        <w:rPr>
          <w:rFonts w:ascii="Arial" w:hAnsi="Arial" w:cs="Arial"/>
          <w:sz w:val="24"/>
          <w:szCs w:val="24"/>
        </w:rPr>
        <w:t xml:space="preserve"> (Accessed 28 February 2026)</w:t>
      </w:r>
    </w:p>
    <w:p w14:paraId="47006658" w14:textId="220F522C" w:rsidR="00DC5A6A" w:rsidRDefault="00DC5A6A" w:rsidP="00DC5A6A">
      <w:pPr>
        <w:rPr>
          <w:rFonts w:ascii="Arial" w:hAnsi="Arial" w:cs="Arial"/>
          <w:sz w:val="24"/>
          <w:szCs w:val="24"/>
        </w:rPr>
      </w:pPr>
      <w:r>
        <w:rPr>
          <w:rFonts w:ascii="Arial" w:hAnsi="Arial" w:cs="Arial"/>
          <w:sz w:val="24"/>
          <w:szCs w:val="24"/>
        </w:rPr>
        <w:t>ACAS</w:t>
      </w:r>
      <w:r w:rsidR="00170632">
        <w:rPr>
          <w:rFonts w:ascii="Arial" w:hAnsi="Arial" w:cs="Arial"/>
          <w:sz w:val="24"/>
          <w:szCs w:val="24"/>
        </w:rPr>
        <w:t xml:space="preserve"> (no date</w:t>
      </w:r>
      <w:r w:rsidR="008C6081">
        <w:rPr>
          <w:rFonts w:ascii="Arial" w:hAnsi="Arial" w:cs="Arial"/>
          <w:sz w:val="24"/>
          <w:szCs w:val="24"/>
        </w:rPr>
        <w:t>-d</w:t>
      </w:r>
      <w:r w:rsidR="00170632">
        <w:rPr>
          <w:rFonts w:ascii="Arial" w:hAnsi="Arial" w:cs="Arial"/>
          <w:sz w:val="24"/>
          <w:szCs w:val="24"/>
        </w:rPr>
        <w:t>)</w:t>
      </w:r>
      <w:r>
        <w:rPr>
          <w:rFonts w:ascii="Arial" w:hAnsi="Arial" w:cs="Arial"/>
          <w:sz w:val="24"/>
          <w:szCs w:val="24"/>
        </w:rPr>
        <w:t xml:space="preserve"> </w:t>
      </w:r>
      <w:r>
        <w:rPr>
          <w:rFonts w:ascii="Arial" w:hAnsi="Arial" w:cs="Arial"/>
          <w:i/>
          <w:iCs/>
          <w:sz w:val="24"/>
          <w:szCs w:val="24"/>
        </w:rPr>
        <w:t xml:space="preserve">Irregular Hours and Part-Year Workers, Rolled-Up Holiday Pay. </w:t>
      </w:r>
      <w:r>
        <w:rPr>
          <w:rFonts w:ascii="Arial" w:hAnsi="Arial" w:cs="Arial"/>
          <w:sz w:val="24"/>
          <w:szCs w:val="24"/>
        </w:rPr>
        <w:t xml:space="preserve">Available at: </w:t>
      </w:r>
      <w:hyperlink r:id="rId11" w:history="1">
        <w:r w:rsidRPr="009129A5">
          <w:rPr>
            <w:rStyle w:val="Hyperlink"/>
            <w:rFonts w:ascii="Arial" w:hAnsi="Arial" w:cs="Arial"/>
            <w:sz w:val="24"/>
            <w:szCs w:val="24"/>
          </w:rPr>
          <w:t>https://www.acas.org.uk/irregular-hours-and-part-year-workers/rolled-up-holiday-pay</w:t>
        </w:r>
      </w:hyperlink>
      <w:r>
        <w:rPr>
          <w:rFonts w:ascii="Arial" w:hAnsi="Arial" w:cs="Arial"/>
          <w:sz w:val="24"/>
          <w:szCs w:val="24"/>
        </w:rPr>
        <w:t xml:space="preserve"> (Accessed 28 February 2026)</w:t>
      </w:r>
    </w:p>
    <w:p w14:paraId="75632824" w14:textId="2F61B660" w:rsidR="00DC5A6A" w:rsidRPr="00433B29" w:rsidRDefault="00DC5A6A" w:rsidP="00DC5A6A">
      <w:pPr>
        <w:rPr>
          <w:rFonts w:ascii="Arial" w:hAnsi="Arial" w:cs="Arial"/>
          <w:sz w:val="24"/>
          <w:szCs w:val="24"/>
        </w:rPr>
      </w:pPr>
      <w:r>
        <w:rPr>
          <w:rFonts w:ascii="Arial" w:hAnsi="Arial" w:cs="Arial"/>
          <w:sz w:val="24"/>
          <w:szCs w:val="24"/>
        </w:rPr>
        <w:t>ACAS</w:t>
      </w:r>
      <w:r w:rsidR="00170632">
        <w:rPr>
          <w:rFonts w:ascii="Arial" w:hAnsi="Arial" w:cs="Arial"/>
          <w:sz w:val="24"/>
          <w:szCs w:val="24"/>
        </w:rPr>
        <w:t xml:space="preserve"> (no dat</w:t>
      </w:r>
      <w:r w:rsidR="00426EC8">
        <w:rPr>
          <w:rFonts w:ascii="Arial" w:hAnsi="Arial" w:cs="Arial"/>
          <w:sz w:val="24"/>
          <w:szCs w:val="24"/>
        </w:rPr>
        <w:t>e</w:t>
      </w:r>
      <w:r w:rsidR="008C6081">
        <w:rPr>
          <w:rFonts w:ascii="Arial" w:hAnsi="Arial" w:cs="Arial"/>
          <w:sz w:val="24"/>
          <w:szCs w:val="24"/>
        </w:rPr>
        <w:t>-e</w:t>
      </w:r>
      <w:r w:rsidR="00170632">
        <w:rPr>
          <w:rFonts w:ascii="Arial" w:hAnsi="Arial" w:cs="Arial"/>
          <w:sz w:val="24"/>
          <w:szCs w:val="24"/>
        </w:rPr>
        <w:t>)</w:t>
      </w:r>
      <w:r>
        <w:rPr>
          <w:rFonts w:ascii="Arial" w:hAnsi="Arial" w:cs="Arial"/>
          <w:sz w:val="24"/>
          <w:szCs w:val="24"/>
        </w:rPr>
        <w:t xml:space="preserve"> </w:t>
      </w:r>
      <w:r>
        <w:rPr>
          <w:rFonts w:ascii="Arial" w:hAnsi="Arial" w:cs="Arial"/>
          <w:i/>
          <w:iCs/>
          <w:sz w:val="24"/>
          <w:szCs w:val="24"/>
        </w:rPr>
        <w:t xml:space="preserve">Managing a redundancy process. </w:t>
      </w:r>
      <w:r>
        <w:rPr>
          <w:rFonts w:ascii="Arial" w:hAnsi="Arial" w:cs="Arial"/>
          <w:sz w:val="24"/>
          <w:szCs w:val="24"/>
        </w:rPr>
        <w:t xml:space="preserve">Available at: </w:t>
      </w:r>
      <w:hyperlink r:id="rId12" w:history="1">
        <w:r w:rsidRPr="00682CD6">
          <w:rPr>
            <w:rStyle w:val="Hyperlink"/>
            <w:rFonts w:ascii="Arial" w:hAnsi="Arial" w:cs="Arial"/>
            <w:sz w:val="24"/>
            <w:szCs w:val="24"/>
          </w:rPr>
          <w:t>https://www.acas.org.uk/manage-staff-redundancies/redundancy-consultations</w:t>
        </w:r>
      </w:hyperlink>
      <w:r>
        <w:rPr>
          <w:rFonts w:ascii="Arial" w:hAnsi="Arial" w:cs="Arial"/>
          <w:sz w:val="24"/>
          <w:szCs w:val="24"/>
        </w:rPr>
        <w:t xml:space="preserve"> (Accessed 21 February 2026)</w:t>
      </w:r>
    </w:p>
    <w:p w14:paraId="7807D5AD" w14:textId="00CCE2FC" w:rsidR="00DC5A6A" w:rsidRDefault="00DC5A6A" w:rsidP="00DC5A6A">
      <w:pPr>
        <w:rPr>
          <w:rFonts w:ascii="Arial" w:hAnsi="Arial" w:cs="Arial"/>
          <w:sz w:val="24"/>
          <w:szCs w:val="24"/>
        </w:rPr>
      </w:pPr>
      <w:r>
        <w:rPr>
          <w:rFonts w:ascii="Arial" w:hAnsi="Arial" w:cs="Arial"/>
          <w:sz w:val="24"/>
          <w:szCs w:val="24"/>
        </w:rPr>
        <w:t>ACAS</w:t>
      </w:r>
      <w:r w:rsidR="00170632">
        <w:rPr>
          <w:rFonts w:ascii="Arial" w:hAnsi="Arial" w:cs="Arial"/>
          <w:sz w:val="24"/>
          <w:szCs w:val="24"/>
        </w:rPr>
        <w:t xml:space="preserve"> (no date</w:t>
      </w:r>
      <w:r w:rsidR="008C6081">
        <w:rPr>
          <w:rFonts w:ascii="Arial" w:hAnsi="Arial" w:cs="Arial"/>
          <w:sz w:val="24"/>
          <w:szCs w:val="24"/>
        </w:rPr>
        <w:t>-f</w:t>
      </w:r>
      <w:r w:rsidR="00170632">
        <w:rPr>
          <w:rFonts w:ascii="Arial" w:hAnsi="Arial" w:cs="Arial"/>
          <w:sz w:val="24"/>
          <w:szCs w:val="24"/>
        </w:rPr>
        <w:t>)</w:t>
      </w:r>
      <w:r>
        <w:rPr>
          <w:rFonts w:ascii="Arial" w:hAnsi="Arial" w:cs="Arial"/>
          <w:sz w:val="24"/>
          <w:szCs w:val="24"/>
        </w:rPr>
        <w:t xml:space="preserve"> </w:t>
      </w:r>
      <w:r>
        <w:rPr>
          <w:rFonts w:ascii="Arial" w:hAnsi="Arial" w:cs="Arial"/>
          <w:i/>
          <w:iCs/>
          <w:sz w:val="24"/>
          <w:szCs w:val="24"/>
        </w:rPr>
        <w:t xml:space="preserve">TUPE what a TUPE transfer is. </w:t>
      </w:r>
      <w:r>
        <w:rPr>
          <w:rFonts w:ascii="Arial" w:hAnsi="Arial" w:cs="Arial"/>
          <w:sz w:val="24"/>
          <w:szCs w:val="24"/>
        </w:rPr>
        <w:t xml:space="preserve">Available at: </w:t>
      </w:r>
      <w:hyperlink r:id="rId13" w:history="1">
        <w:r w:rsidRPr="009129A5">
          <w:rPr>
            <w:rStyle w:val="Hyperlink"/>
            <w:rFonts w:ascii="Arial" w:hAnsi="Arial" w:cs="Arial"/>
            <w:sz w:val="24"/>
            <w:szCs w:val="24"/>
          </w:rPr>
          <w:t>https://www.acas.org.uk/tupe/advice-for-employers-and-employees</w:t>
        </w:r>
      </w:hyperlink>
      <w:r>
        <w:rPr>
          <w:rFonts w:ascii="Arial" w:hAnsi="Arial" w:cs="Arial"/>
          <w:sz w:val="24"/>
          <w:szCs w:val="24"/>
        </w:rPr>
        <w:t xml:space="preserve"> (Accessed 21 February 2026)</w:t>
      </w:r>
    </w:p>
    <w:p w14:paraId="5F9D3D90" w14:textId="77777777" w:rsidR="00DC5A6A" w:rsidRPr="00F27760" w:rsidRDefault="00DC5A6A" w:rsidP="00DC5A6A">
      <w:pPr>
        <w:rPr>
          <w:rFonts w:ascii="Arial" w:hAnsi="Arial" w:cs="Arial"/>
          <w:sz w:val="24"/>
          <w:szCs w:val="24"/>
        </w:rPr>
      </w:pPr>
      <w:r w:rsidRPr="00963A5F">
        <w:rPr>
          <w:rFonts w:ascii="Arial" w:hAnsi="Arial" w:cs="Arial"/>
          <w:sz w:val="24"/>
          <w:szCs w:val="24"/>
        </w:rPr>
        <w:t>CIPD</w:t>
      </w:r>
      <w:r>
        <w:rPr>
          <w:rFonts w:ascii="Arial" w:hAnsi="Arial" w:cs="Arial"/>
          <w:i/>
          <w:iCs/>
          <w:sz w:val="24"/>
          <w:szCs w:val="24"/>
        </w:rPr>
        <w:t xml:space="preserve"> </w:t>
      </w:r>
      <w:r w:rsidRPr="00F27760">
        <w:rPr>
          <w:rFonts w:ascii="Arial" w:hAnsi="Arial" w:cs="Arial"/>
          <w:i/>
          <w:iCs/>
          <w:sz w:val="24"/>
          <w:szCs w:val="24"/>
        </w:rPr>
        <w:t>Employment Law.</w:t>
      </w:r>
      <w:r w:rsidRPr="00F27760">
        <w:rPr>
          <w:rFonts w:ascii="Arial" w:hAnsi="Arial" w:cs="Arial"/>
          <w:sz w:val="24"/>
          <w:szCs w:val="24"/>
        </w:rPr>
        <w:t xml:space="preserve"> (2025</w:t>
      </w:r>
      <w:r>
        <w:rPr>
          <w:rFonts w:ascii="Arial" w:hAnsi="Arial" w:cs="Arial"/>
          <w:sz w:val="24"/>
          <w:szCs w:val="24"/>
        </w:rPr>
        <w:t>a</w:t>
      </w:r>
      <w:r w:rsidRPr="00F27760">
        <w:rPr>
          <w:rFonts w:ascii="Arial" w:hAnsi="Arial" w:cs="Arial"/>
          <w:sz w:val="24"/>
          <w:szCs w:val="24"/>
        </w:rPr>
        <w:t xml:space="preserve">) Available at: </w:t>
      </w:r>
      <w:hyperlink r:id="rId14" w:history="1">
        <w:r w:rsidRPr="00F27760">
          <w:rPr>
            <w:rStyle w:val="Hyperlink"/>
            <w:rFonts w:ascii="Arial" w:hAnsi="Arial" w:cs="Arial"/>
            <w:sz w:val="24"/>
            <w:szCs w:val="24"/>
          </w:rPr>
          <w:t>https://www.cipd.org/uk/knowledge/employment-law/?page=1&amp;categories=45%2C57</w:t>
        </w:r>
      </w:hyperlink>
      <w:r w:rsidRPr="00F27760">
        <w:rPr>
          <w:rFonts w:ascii="Arial" w:hAnsi="Arial" w:cs="Arial"/>
          <w:sz w:val="24"/>
          <w:szCs w:val="24"/>
        </w:rPr>
        <w:t xml:space="preserve"> (Accessed </w:t>
      </w:r>
      <w:r>
        <w:rPr>
          <w:rFonts w:ascii="Arial" w:hAnsi="Arial" w:cs="Arial"/>
          <w:sz w:val="24"/>
          <w:szCs w:val="24"/>
        </w:rPr>
        <w:t>5 February 2</w:t>
      </w:r>
      <w:r w:rsidRPr="00F27760">
        <w:rPr>
          <w:rFonts w:ascii="Arial" w:hAnsi="Arial" w:cs="Arial"/>
          <w:sz w:val="24"/>
          <w:szCs w:val="24"/>
        </w:rPr>
        <w:t>026)</w:t>
      </w:r>
    </w:p>
    <w:p w14:paraId="2E4FB6EC" w14:textId="77777777" w:rsidR="00DC5A6A" w:rsidRDefault="00DC5A6A" w:rsidP="00DC5A6A">
      <w:pPr>
        <w:rPr>
          <w:rFonts w:ascii="Arial" w:hAnsi="Arial" w:cs="Arial"/>
          <w:sz w:val="24"/>
          <w:szCs w:val="24"/>
        </w:rPr>
      </w:pPr>
      <w:r>
        <w:rPr>
          <w:rFonts w:ascii="Arial" w:hAnsi="Arial" w:cs="Arial"/>
          <w:sz w:val="24"/>
          <w:szCs w:val="24"/>
        </w:rPr>
        <w:t xml:space="preserve">CIPD (2025b) </w:t>
      </w:r>
      <w:r>
        <w:rPr>
          <w:rFonts w:ascii="Arial" w:hAnsi="Arial" w:cs="Arial"/>
          <w:i/>
          <w:iCs/>
          <w:sz w:val="24"/>
          <w:szCs w:val="24"/>
        </w:rPr>
        <w:t xml:space="preserve">Employment law and the EU. </w:t>
      </w:r>
      <w:r>
        <w:rPr>
          <w:rFonts w:ascii="Arial" w:hAnsi="Arial" w:cs="Arial"/>
          <w:sz w:val="24"/>
          <w:szCs w:val="24"/>
        </w:rPr>
        <w:t xml:space="preserve">Available at: </w:t>
      </w:r>
      <w:hyperlink r:id="rId15" w:history="1">
        <w:r w:rsidRPr="004E1C26">
          <w:rPr>
            <w:rStyle w:val="Hyperlink"/>
            <w:rFonts w:ascii="Arial" w:hAnsi="Arial" w:cs="Arial"/>
            <w:sz w:val="24"/>
            <w:szCs w:val="24"/>
          </w:rPr>
          <w:t>https://www.cipd.org/uk/knowledge/employment-law/uk-employment-law-eu/</w:t>
        </w:r>
      </w:hyperlink>
      <w:r>
        <w:rPr>
          <w:rFonts w:ascii="Arial" w:hAnsi="Arial" w:cs="Arial"/>
          <w:sz w:val="24"/>
          <w:szCs w:val="24"/>
        </w:rPr>
        <w:t xml:space="preserve"> (Accessed 6 February 2026)</w:t>
      </w:r>
    </w:p>
    <w:p w14:paraId="43294E01" w14:textId="1C679A0E" w:rsidR="00DC5A6A" w:rsidRDefault="00DC5A6A" w:rsidP="00DC5A6A">
      <w:pPr>
        <w:rPr>
          <w:rFonts w:ascii="Arial" w:hAnsi="Arial" w:cs="Arial"/>
          <w:sz w:val="24"/>
          <w:szCs w:val="24"/>
        </w:rPr>
      </w:pPr>
      <w:r w:rsidRPr="00F27760">
        <w:rPr>
          <w:rFonts w:ascii="Arial" w:hAnsi="Arial" w:cs="Arial"/>
          <w:sz w:val="24"/>
          <w:szCs w:val="24"/>
        </w:rPr>
        <w:t>CIPD (2025</w:t>
      </w:r>
      <w:r>
        <w:rPr>
          <w:rFonts w:ascii="Arial" w:hAnsi="Arial" w:cs="Arial"/>
          <w:sz w:val="24"/>
          <w:szCs w:val="24"/>
        </w:rPr>
        <w:t>c</w:t>
      </w:r>
      <w:r w:rsidRPr="00F27760">
        <w:rPr>
          <w:rFonts w:ascii="Arial" w:hAnsi="Arial" w:cs="Arial"/>
          <w:sz w:val="24"/>
          <w:szCs w:val="24"/>
        </w:rPr>
        <w:t xml:space="preserve">) </w:t>
      </w:r>
      <w:r w:rsidRPr="00F27760">
        <w:rPr>
          <w:rFonts w:ascii="Arial" w:hAnsi="Arial" w:cs="Arial"/>
          <w:i/>
          <w:iCs/>
          <w:sz w:val="24"/>
          <w:szCs w:val="24"/>
        </w:rPr>
        <w:t xml:space="preserve">Employment Status. </w:t>
      </w:r>
      <w:r w:rsidRPr="00F27760">
        <w:rPr>
          <w:rFonts w:ascii="Arial" w:hAnsi="Arial" w:cs="Arial"/>
          <w:sz w:val="24"/>
          <w:szCs w:val="24"/>
        </w:rPr>
        <w:t xml:space="preserve">Available at: </w:t>
      </w:r>
      <w:hyperlink r:id="rId16" w:history="1">
        <w:r w:rsidRPr="00F27760">
          <w:rPr>
            <w:rStyle w:val="Hyperlink"/>
            <w:rFonts w:ascii="Arial" w:hAnsi="Arial" w:cs="Arial"/>
            <w:sz w:val="24"/>
            <w:szCs w:val="24"/>
          </w:rPr>
          <w:t>https://www.cipd.org/uk/knowledge/factsheets/status-factsheet/</w:t>
        </w:r>
      </w:hyperlink>
      <w:r w:rsidRPr="00F27760">
        <w:rPr>
          <w:rFonts w:ascii="Arial" w:hAnsi="Arial" w:cs="Arial"/>
          <w:sz w:val="24"/>
          <w:szCs w:val="24"/>
        </w:rPr>
        <w:t xml:space="preserve"> (Accessed 4</w:t>
      </w:r>
      <w:r>
        <w:rPr>
          <w:rFonts w:ascii="Arial" w:hAnsi="Arial" w:cs="Arial"/>
          <w:sz w:val="24"/>
          <w:szCs w:val="24"/>
        </w:rPr>
        <w:t xml:space="preserve"> February </w:t>
      </w:r>
      <w:r w:rsidRPr="00F27760">
        <w:rPr>
          <w:rFonts w:ascii="Arial" w:hAnsi="Arial" w:cs="Arial"/>
          <w:sz w:val="24"/>
          <w:szCs w:val="24"/>
        </w:rPr>
        <w:t xml:space="preserve">2026) </w:t>
      </w:r>
    </w:p>
    <w:p w14:paraId="22A26723" w14:textId="77777777" w:rsidR="00DC5A6A" w:rsidRDefault="00DC5A6A" w:rsidP="00DC5A6A">
      <w:pPr>
        <w:rPr>
          <w:rFonts w:ascii="Arial" w:hAnsi="Arial" w:cs="Arial"/>
          <w:sz w:val="24"/>
          <w:szCs w:val="24"/>
        </w:rPr>
      </w:pPr>
      <w:r>
        <w:rPr>
          <w:rFonts w:ascii="Arial" w:hAnsi="Arial" w:cs="Arial"/>
          <w:sz w:val="24"/>
          <w:szCs w:val="24"/>
        </w:rPr>
        <w:lastRenderedPageBreak/>
        <w:t xml:space="preserve">CIPD (2025d) </w:t>
      </w:r>
      <w:r>
        <w:rPr>
          <w:rFonts w:ascii="Arial" w:hAnsi="Arial" w:cs="Arial"/>
          <w:i/>
          <w:iCs/>
          <w:sz w:val="24"/>
          <w:szCs w:val="24"/>
        </w:rPr>
        <w:t xml:space="preserve">Equal Pay: UK Employment Law. </w:t>
      </w:r>
      <w:r>
        <w:rPr>
          <w:rFonts w:ascii="Arial" w:hAnsi="Arial" w:cs="Arial"/>
          <w:sz w:val="24"/>
          <w:szCs w:val="24"/>
        </w:rPr>
        <w:t xml:space="preserve">Available at: </w:t>
      </w:r>
      <w:hyperlink r:id="rId17" w:history="1">
        <w:r w:rsidRPr="00404BA3">
          <w:rPr>
            <w:rStyle w:val="Hyperlink"/>
            <w:rFonts w:ascii="Arial" w:hAnsi="Arial" w:cs="Arial"/>
            <w:sz w:val="24"/>
            <w:szCs w:val="24"/>
          </w:rPr>
          <w:t>https://www.cipd.org/uk/knowledge/employment-law/equal-pay/</w:t>
        </w:r>
      </w:hyperlink>
      <w:r>
        <w:rPr>
          <w:rFonts w:ascii="Arial" w:hAnsi="Arial" w:cs="Arial"/>
          <w:sz w:val="24"/>
          <w:szCs w:val="24"/>
        </w:rPr>
        <w:t xml:space="preserve"> </w:t>
      </w:r>
      <w:r>
        <w:t xml:space="preserve"> </w:t>
      </w:r>
      <w:r>
        <w:rPr>
          <w:rFonts w:ascii="Arial" w:hAnsi="Arial" w:cs="Arial"/>
          <w:sz w:val="24"/>
          <w:szCs w:val="24"/>
        </w:rPr>
        <w:t>(Accessed 19 February 2026)</w:t>
      </w:r>
      <w:r w:rsidRPr="00CA4F47">
        <w:rPr>
          <w:rFonts w:ascii="Arial" w:hAnsi="Arial" w:cs="Arial"/>
          <w:sz w:val="24"/>
          <w:szCs w:val="24"/>
        </w:rPr>
        <w:t xml:space="preserve"> </w:t>
      </w:r>
    </w:p>
    <w:p w14:paraId="4B5B7D56" w14:textId="77777777" w:rsidR="00DC5A6A" w:rsidRDefault="00DC5A6A" w:rsidP="00DC5A6A">
      <w:pPr>
        <w:rPr>
          <w:rFonts w:ascii="Arial" w:hAnsi="Arial" w:cs="Arial"/>
          <w:sz w:val="24"/>
          <w:szCs w:val="24"/>
        </w:rPr>
      </w:pPr>
      <w:r>
        <w:rPr>
          <w:rFonts w:ascii="Arial" w:hAnsi="Arial" w:cs="Arial"/>
          <w:sz w:val="24"/>
          <w:szCs w:val="24"/>
        </w:rPr>
        <w:t xml:space="preserve">CIPD (2025e) </w:t>
      </w:r>
      <w:r>
        <w:rPr>
          <w:rFonts w:ascii="Arial" w:hAnsi="Arial" w:cs="Arial"/>
          <w:i/>
          <w:iCs/>
          <w:sz w:val="24"/>
          <w:szCs w:val="24"/>
        </w:rPr>
        <w:t xml:space="preserve">Flexible Working Practices. </w:t>
      </w:r>
      <w:r>
        <w:rPr>
          <w:rFonts w:ascii="Arial" w:hAnsi="Arial" w:cs="Arial"/>
          <w:sz w:val="24"/>
          <w:szCs w:val="24"/>
        </w:rPr>
        <w:t xml:space="preserve">Available at: </w:t>
      </w:r>
      <w:hyperlink r:id="rId18" w:history="1">
        <w:r w:rsidRPr="00C314C7">
          <w:rPr>
            <w:rStyle w:val="Hyperlink"/>
            <w:rFonts w:ascii="Arial" w:hAnsi="Arial" w:cs="Arial"/>
            <w:sz w:val="24"/>
            <w:szCs w:val="24"/>
          </w:rPr>
          <w:t>https://prd.cipd.org/en/knowledge/factsheets/flexible-working-factsheet</w:t>
        </w:r>
      </w:hyperlink>
      <w:r>
        <w:rPr>
          <w:rFonts w:ascii="Arial" w:hAnsi="Arial" w:cs="Arial"/>
          <w:sz w:val="24"/>
          <w:szCs w:val="24"/>
        </w:rPr>
        <w:t xml:space="preserve"> (Accessed 22 March 2026)</w:t>
      </w:r>
    </w:p>
    <w:p w14:paraId="0FE41AFF" w14:textId="77777777" w:rsidR="00DC5A6A" w:rsidRDefault="00DC5A6A" w:rsidP="00DC5A6A">
      <w:pPr>
        <w:rPr>
          <w:rFonts w:ascii="Arial" w:hAnsi="Arial" w:cs="Arial"/>
          <w:sz w:val="24"/>
          <w:szCs w:val="24"/>
        </w:rPr>
      </w:pPr>
      <w:r>
        <w:rPr>
          <w:rFonts w:ascii="Arial" w:hAnsi="Arial" w:cs="Arial"/>
          <w:sz w:val="24"/>
          <w:szCs w:val="24"/>
        </w:rPr>
        <w:t xml:space="preserve">CIPD (2025f) </w:t>
      </w:r>
      <w:r>
        <w:rPr>
          <w:rFonts w:ascii="Arial" w:hAnsi="Arial" w:cs="Arial"/>
          <w:i/>
          <w:iCs/>
          <w:sz w:val="24"/>
          <w:szCs w:val="24"/>
        </w:rPr>
        <w:t xml:space="preserve">Recruitment: Employment Law: </w:t>
      </w:r>
      <w:r>
        <w:rPr>
          <w:rFonts w:ascii="Arial" w:hAnsi="Arial" w:cs="Arial"/>
          <w:sz w:val="24"/>
          <w:szCs w:val="24"/>
        </w:rPr>
        <w:t xml:space="preserve">Available: </w:t>
      </w:r>
      <w:hyperlink r:id="rId19" w:history="1">
        <w:r w:rsidRPr="009250AA">
          <w:rPr>
            <w:rStyle w:val="Hyperlink"/>
            <w:rFonts w:ascii="Arial" w:hAnsi="Arial" w:cs="Arial"/>
            <w:sz w:val="24"/>
            <w:szCs w:val="24"/>
          </w:rPr>
          <w:t>https://www.cipd.org/uk/knowledge/employment-law/recruitment/</w:t>
        </w:r>
      </w:hyperlink>
      <w:r>
        <w:rPr>
          <w:rFonts w:ascii="Arial" w:hAnsi="Arial" w:cs="Arial"/>
          <w:sz w:val="24"/>
          <w:szCs w:val="24"/>
        </w:rPr>
        <w:t xml:space="preserve"> (Accessed: 16 February 2026) </w:t>
      </w:r>
    </w:p>
    <w:p w14:paraId="3CEC5871" w14:textId="77777777" w:rsidR="00DC5A6A" w:rsidRDefault="00DC5A6A" w:rsidP="00DC5A6A">
      <w:pPr>
        <w:rPr>
          <w:rFonts w:ascii="Arial" w:hAnsi="Arial" w:cs="Arial"/>
          <w:sz w:val="24"/>
          <w:szCs w:val="24"/>
        </w:rPr>
      </w:pPr>
      <w:r>
        <w:rPr>
          <w:rFonts w:ascii="Arial" w:hAnsi="Arial" w:cs="Arial"/>
          <w:sz w:val="24"/>
          <w:szCs w:val="24"/>
        </w:rPr>
        <w:t xml:space="preserve">CIPD (2025g) </w:t>
      </w:r>
      <w:r>
        <w:rPr>
          <w:rFonts w:ascii="Arial" w:hAnsi="Arial" w:cs="Arial"/>
          <w:i/>
          <w:iCs/>
          <w:sz w:val="24"/>
          <w:szCs w:val="24"/>
        </w:rPr>
        <w:t xml:space="preserve">TUPE (transfer of undertaking): An introduction. </w:t>
      </w:r>
      <w:r>
        <w:rPr>
          <w:rFonts w:ascii="Arial" w:hAnsi="Arial" w:cs="Arial"/>
          <w:sz w:val="24"/>
          <w:szCs w:val="24"/>
        </w:rPr>
        <w:t xml:space="preserve">Available at: </w:t>
      </w:r>
      <w:hyperlink r:id="rId20" w:history="1">
        <w:r w:rsidRPr="009129A5">
          <w:rPr>
            <w:rStyle w:val="Hyperlink"/>
            <w:rFonts w:ascii="Arial" w:hAnsi="Arial" w:cs="Arial"/>
            <w:sz w:val="24"/>
            <w:szCs w:val="24"/>
          </w:rPr>
          <w:t>https://www.cipd.org/uk/knowledge/factsheets/tupe-factsheet/</w:t>
        </w:r>
      </w:hyperlink>
      <w:r>
        <w:rPr>
          <w:rFonts w:ascii="Arial" w:hAnsi="Arial" w:cs="Arial"/>
          <w:sz w:val="24"/>
          <w:szCs w:val="24"/>
        </w:rPr>
        <w:t xml:space="preserve"> (Accessed 22 February 2026)</w:t>
      </w:r>
    </w:p>
    <w:p w14:paraId="5209BC8B" w14:textId="77777777" w:rsidR="00DC5A6A" w:rsidRDefault="00DC5A6A" w:rsidP="00DC5A6A">
      <w:pPr>
        <w:rPr>
          <w:rFonts w:ascii="Arial" w:hAnsi="Arial" w:cs="Arial"/>
          <w:sz w:val="24"/>
          <w:szCs w:val="24"/>
        </w:rPr>
      </w:pPr>
      <w:r>
        <w:rPr>
          <w:rFonts w:ascii="Arial" w:hAnsi="Arial" w:cs="Arial"/>
          <w:sz w:val="24"/>
          <w:szCs w:val="24"/>
        </w:rPr>
        <w:t xml:space="preserve">CIPD (2026) </w:t>
      </w:r>
      <w:r>
        <w:rPr>
          <w:rFonts w:ascii="Arial" w:hAnsi="Arial" w:cs="Arial"/>
          <w:i/>
          <w:iCs/>
          <w:sz w:val="24"/>
          <w:szCs w:val="24"/>
        </w:rPr>
        <w:t xml:space="preserve">Redundancy: UK Employment Law. </w:t>
      </w:r>
      <w:r>
        <w:rPr>
          <w:rFonts w:ascii="Arial" w:hAnsi="Arial" w:cs="Arial"/>
          <w:sz w:val="24"/>
          <w:szCs w:val="24"/>
        </w:rPr>
        <w:t xml:space="preserve">Available at: </w:t>
      </w:r>
      <w:hyperlink r:id="rId21" w:history="1">
        <w:r w:rsidRPr="00682CD6">
          <w:rPr>
            <w:rStyle w:val="Hyperlink"/>
            <w:rFonts w:ascii="Arial" w:hAnsi="Arial" w:cs="Arial"/>
            <w:sz w:val="24"/>
            <w:szCs w:val="24"/>
          </w:rPr>
          <w:t>https://www.cipd.org/uk/knowledge/employment-law/redundancy/</w:t>
        </w:r>
      </w:hyperlink>
      <w:r>
        <w:rPr>
          <w:rFonts w:ascii="Arial" w:hAnsi="Arial" w:cs="Arial"/>
          <w:sz w:val="24"/>
          <w:szCs w:val="24"/>
        </w:rPr>
        <w:t xml:space="preserve"> (Accessed 21 February 2026)</w:t>
      </w:r>
    </w:p>
    <w:p w14:paraId="5A930400" w14:textId="77777777" w:rsidR="00DC5A6A" w:rsidRDefault="00DC5A6A" w:rsidP="00DC5A6A">
      <w:pPr>
        <w:rPr>
          <w:rFonts w:ascii="Arial" w:hAnsi="Arial" w:cs="Arial"/>
          <w:sz w:val="24"/>
          <w:szCs w:val="24"/>
        </w:rPr>
      </w:pPr>
      <w:r>
        <w:rPr>
          <w:rFonts w:ascii="Arial" w:hAnsi="Arial" w:cs="Arial"/>
          <w:sz w:val="24"/>
          <w:szCs w:val="24"/>
        </w:rPr>
        <w:t xml:space="preserve">Commotion Ltd v Rutty (2025) </w:t>
      </w:r>
      <w:r>
        <w:rPr>
          <w:rFonts w:ascii="Arial" w:hAnsi="Arial" w:cs="Arial"/>
          <w:i/>
          <w:iCs/>
          <w:sz w:val="24"/>
          <w:szCs w:val="24"/>
        </w:rPr>
        <w:t xml:space="preserve">Employment Appeal Tribunal, UKEAT/0418/05. </w:t>
      </w:r>
      <w:r>
        <w:rPr>
          <w:rFonts w:ascii="Arial" w:hAnsi="Arial" w:cs="Arial"/>
          <w:sz w:val="24"/>
          <w:szCs w:val="24"/>
        </w:rPr>
        <w:t xml:space="preserve">Available at: </w:t>
      </w:r>
      <w:hyperlink r:id="rId22" w:history="1">
        <w:r w:rsidRPr="00C314C7">
          <w:rPr>
            <w:rStyle w:val="Hyperlink"/>
            <w:rFonts w:ascii="Arial" w:hAnsi="Arial" w:cs="Arial"/>
            <w:sz w:val="24"/>
            <w:szCs w:val="24"/>
          </w:rPr>
          <w:t>https://view.officeapps.live.com/op/view.aspx?src=https%3A%2F%2Femploymentappeals.decisions.tribunals.gov.uk%2FPublic%2FUpload%2FUKEAT04180513102005.doc&amp;wdOrigin=BROWSELINK</w:t>
        </w:r>
      </w:hyperlink>
      <w:r>
        <w:rPr>
          <w:rFonts w:ascii="Arial" w:hAnsi="Arial" w:cs="Arial"/>
          <w:sz w:val="24"/>
          <w:szCs w:val="24"/>
        </w:rPr>
        <w:t xml:space="preserve"> (Accessed 20 March 2026) </w:t>
      </w:r>
    </w:p>
    <w:p w14:paraId="550D563B" w14:textId="77777777" w:rsidR="00DC5A6A" w:rsidRDefault="00DC5A6A" w:rsidP="00DC5A6A">
      <w:pPr>
        <w:rPr>
          <w:rFonts w:ascii="Arial" w:hAnsi="Arial" w:cs="Arial"/>
          <w:sz w:val="24"/>
          <w:szCs w:val="24"/>
        </w:rPr>
      </w:pPr>
      <w:r w:rsidRPr="00E804E2">
        <w:rPr>
          <w:rFonts w:ascii="Arial" w:hAnsi="Arial" w:cs="Arial"/>
          <w:sz w:val="24"/>
          <w:szCs w:val="24"/>
        </w:rPr>
        <w:t xml:space="preserve">Daniels, K. (2025) Introduction to Employment Law. 7th </w:t>
      </w:r>
      <w:proofErr w:type="spellStart"/>
      <w:r w:rsidRPr="00E804E2">
        <w:rPr>
          <w:rFonts w:ascii="Arial" w:hAnsi="Arial" w:cs="Arial"/>
          <w:sz w:val="24"/>
          <w:szCs w:val="24"/>
        </w:rPr>
        <w:t>Edt</w:t>
      </w:r>
      <w:proofErr w:type="spellEnd"/>
      <w:r w:rsidRPr="00E804E2">
        <w:rPr>
          <w:rFonts w:ascii="Arial" w:hAnsi="Arial" w:cs="Arial"/>
          <w:sz w:val="24"/>
          <w:szCs w:val="24"/>
        </w:rPr>
        <w:t>. London: Kogan Page</w:t>
      </w:r>
    </w:p>
    <w:p w14:paraId="7BB1F44A" w14:textId="77777777" w:rsidR="00DC5A6A" w:rsidRPr="006E34AD" w:rsidRDefault="00DC5A6A" w:rsidP="00DC5A6A">
      <w:pPr>
        <w:rPr>
          <w:rFonts w:ascii="Arial" w:hAnsi="Arial" w:cs="Arial"/>
          <w:sz w:val="24"/>
          <w:szCs w:val="24"/>
        </w:rPr>
      </w:pPr>
      <w:r>
        <w:rPr>
          <w:rFonts w:ascii="Arial" w:hAnsi="Arial" w:cs="Arial"/>
          <w:sz w:val="24"/>
          <w:szCs w:val="24"/>
        </w:rPr>
        <w:t xml:space="preserve">Dando, G. (2026) People Management. </w:t>
      </w:r>
      <w:r>
        <w:rPr>
          <w:rFonts w:ascii="Arial" w:hAnsi="Arial" w:cs="Arial"/>
          <w:i/>
          <w:iCs/>
          <w:sz w:val="24"/>
          <w:szCs w:val="24"/>
        </w:rPr>
        <w:t xml:space="preserve">When flexible working requests lawfully be denied. </w:t>
      </w:r>
      <w:r>
        <w:rPr>
          <w:rFonts w:ascii="Arial" w:hAnsi="Arial" w:cs="Arial"/>
          <w:sz w:val="24"/>
          <w:szCs w:val="24"/>
        </w:rPr>
        <w:t xml:space="preserve">Available at: </w:t>
      </w:r>
      <w:hyperlink r:id="rId23" w:history="1">
        <w:r w:rsidRPr="00C314C7">
          <w:rPr>
            <w:rStyle w:val="Hyperlink"/>
            <w:rFonts w:ascii="Arial" w:hAnsi="Arial" w:cs="Arial"/>
            <w:sz w:val="24"/>
            <w:szCs w:val="24"/>
          </w:rPr>
          <w:t>https://www.peoplemanagement.co.uk/article/1952170/when-flexible-working-requests-lawfully-denied</w:t>
        </w:r>
      </w:hyperlink>
      <w:r>
        <w:rPr>
          <w:rFonts w:ascii="Arial" w:hAnsi="Arial" w:cs="Arial"/>
          <w:sz w:val="24"/>
          <w:szCs w:val="24"/>
        </w:rPr>
        <w:t xml:space="preserve"> (Accessed 22 March 2026)</w:t>
      </w:r>
    </w:p>
    <w:p w14:paraId="74F5B96F" w14:textId="77777777" w:rsidR="00DC5A6A" w:rsidRDefault="00DC5A6A" w:rsidP="00DC5A6A">
      <w:pPr>
        <w:rPr>
          <w:rFonts w:ascii="Arial" w:hAnsi="Arial" w:cs="Arial"/>
          <w:sz w:val="24"/>
          <w:szCs w:val="24"/>
        </w:rPr>
      </w:pPr>
      <w:r>
        <w:rPr>
          <w:rFonts w:ascii="Arial" w:hAnsi="Arial" w:cs="Arial"/>
          <w:i/>
          <w:iCs/>
          <w:sz w:val="24"/>
          <w:szCs w:val="24"/>
        </w:rPr>
        <w:t xml:space="preserve">Equality Act 2010, c. 15. </w:t>
      </w:r>
      <w:r>
        <w:rPr>
          <w:rFonts w:ascii="Arial" w:hAnsi="Arial" w:cs="Arial"/>
          <w:sz w:val="24"/>
          <w:szCs w:val="24"/>
        </w:rPr>
        <w:t xml:space="preserve">Available at: </w:t>
      </w:r>
      <w:hyperlink r:id="rId24" w:history="1">
        <w:r w:rsidRPr="005C0629">
          <w:rPr>
            <w:rStyle w:val="Hyperlink"/>
            <w:rFonts w:ascii="Arial" w:hAnsi="Arial" w:cs="Arial"/>
            <w:sz w:val="24"/>
            <w:szCs w:val="24"/>
          </w:rPr>
          <w:t>https://www.legislation.gov.uk/ukpga/2010/15/section/149</w:t>
        </w:r>
      </w:hyperlink>
      <w:r>
        <w:rPr>
          <w:rFonts w:ascii="Arial" w:hAnsi="Arial" w:cs="Arial"/>
          <w:sz w:val="24"/>
          <w:szCs w:val="24"/>
        </w:rPr>
        <w:t xml:space="preserve"> (Accessed: 11 February 2026)</w:t>
      </w:r>
    </w:p>
    <w:p w14:paraId="11D7CF96" w14:textId="77777777" w:rsidR="00DC5A6A" w:rsidRDefault="00DC5A6A" w:rsidP="00DC5A6A">
      <w:pPr>
        <w:rPr>
          <w:rFonts w:ascii="Arial" w:hAnsi="Arial" w:cs="Arial"/>
          <w:sz w:val="24"/>
          <w:szCs w:val="24"/>
        </w:rPr>
      </w:pPr>
      <w:r w:rsidRPr="00354F01">
        <w:rPr>
          <w:rFonts w:ascii="Arial" w:hAnsi="Arial" w:cs="Arial"/>
          <w:sz w:val="24"/>
          <w:szCs w:val="24"/>
        </w:rPr>
        <w:t xml:space="preserve">Equality and Human Rights Commission (2011) </w:t>
      </w:r>
      <w:r w:rsidRPr="00354F01">
        <w:rPr>
          <w:rFonts w:ascii="Arial" w:hAnsi="Arial" w:cs="Arial"/>
          <w:i/>
          <w:iCs/>
          <w:sz w:val="24"/>
          <w:szCs w:val="24"/>
        </w:rPr>
        <w:t xml:space="preserve">Employment Statutory Code of Practice. </w:t>
      </w:r>
      <w:r w:rsidRPr="00354F01">
        <w:rPr>
          <w:rFonts w:ascii="Arial" w:hAnsi="Arial" w:cs="Arial"/>
          <w:sz w:val="24"/>
          <w:szCs w:val="24"/>
        </w:rPr>
        <w:t xml:space="preserve">Available at: </w:t>
      </w:r>
      <w:hyperlink r:id="rId25" w:history="1">
        <w:r w:rsidRPr="00354F01">
          <w:rPr>
            <w:rStyle w:val="Hyperlink"/>
            <w:rFonts w:ascii="Arial" w:hAnsi="Arial" w:cs="Arial"/>
            <w:sz w:val="24"/>
            <w:szCs w:val="24"/>
          </w:rPr>
          <w:t>https://www.equalityhumanrights.com/equality/equality-act-2010/codes-practice/employment-code-practice-0</w:t>
        </w:r>
      </w:hyperlink>
      <w:r w:rsidRPr="00354F01">
        <w:rPr>
          <w:rFonts w:ascii="Arial" w:hAnsi="Arial" w:cs="Arial"/>
          <w:sz w:val="24"/>
          <w:szCs w:val="24"/>
        </w:rPr>
        <w:t xml:space="preserve"> (Accessed: 16 February 2026)</w:t>
      </w:r>
    </w:p>
    <w:p w14:paraId="1F437580" w14:textId="77777777" w:rsidR="00DC5A6A" w:rsidRDefault="00DC5A6A" w:rsidP="00DC5A6A">
      <w:pPr>
        <w:spacing w:line="240" w:lineRule="auto"/>
        <w:rPr>
          <w:rFonts w:ascii="Arial" w:hAnsi="Arial" w:cs="Arial"/>
          <w:sz w:val="24"/>
          <w:szCs w:val="24"/>
        </w:rPr>
      </w:pPr>
      <w:r>
        <w:rPr>
          <w:rFonts w:ascii="Arial" w:hAnsi="Arial" w:cs="Arial"/>
          <w:sz w:val="24"/>
          <w:szCs w:val="24"/>
        </w:rPr>
        <w:t xml:space="preserve">Gov.UK. (2015) Mrs D Hart v St Mary’s School (Colchester) Ltd EAT 0305/14/DM. Available at: </w:t>
      </w:r>
      <w:hyperlink r:id="rId26" w:history="1">
        <w:r w:rsidRPr="00682CD6">
          <w:rPr>
            <w:rStyle w:val="Hyperlink"/>
            <w:rFonts w:ascii="Arial" w:hAnsi="Arial" w:cs="Arial"/>
            <w:sz w:val="24"/>
            <w:szCs w:val="24"/>
          </w:rPr>
          <w:t>https://assets.publishing.service.gov.uk/media/59b134afe5274a180b403e1f/Mrs_D_Hart_v_St_Mary_s_School__Colchester__Ltd_EAT_0305_14__DM.pdf</w:t>
        </w:r>
      </w:hyperlink>
      <w:r>
        <w:rPr>
          <w:rFonts w:ascii="Arial" w:hAnsi="Arial" w:cs="Arial"/>
          <w:sz w:val="24"/>
          <w:szCs w:val="24"/>
        </w:rPr>
        <w:t xml:space="preserve"> (Accessed 21 February 2026) </w:t>
      </w:r>
    </w:p>
    <w:p w14:paraId="79FF7854" w14:textId="77777777" w:rsidR="00DC5A6A" w:rsidRDefault="00DC5A6A" w:rsidP="00DC5A6A">
      <w:pPr>
        <w:rPr>
          <w:rFonts w:ascii="Arial" w:hAnsi="Arial" w:cs="Arial"/>
          <w:sz w:val="24"/>
          <w:szCs w:val="24"/>
        </w:rPr>
      </w:pPr>
      <w:r>
        <w:rPr>
          <w:rFonts w:ascii="Arial" w:hAnsi="Arial" w:cs="Arial"/>
          <w:sz w:val="24"/>
          <w:szCs w:val="24"/>
        </w:rPr>
        <w:t xml:space="preserve">Great Britain (1996) </w:t>
      </w:r>
      <w:r>
        <w:rPr>
          <w:rFonts w:ascii="Arial" w:hAnsi="Arial" w:cs="Arial"/>
          <w:i/>
          <w:iCs/>
          <w:sz w:val="24"/>
          <w:szCs w:val="24"/>
        </w:rPr>
        <w:t xml:space="preserve">Employment Rights Act 1996. </w:t>
      </w:r>
      <w:r>
        <w:rPr>
          <w:rFonts w:ascii="Arial" w:hAnsi="Arial" w:cs="Arial"/>
          <w:sz w:val="24"/>
          <w:szCs w:val="24"/>
        </w:rPr>
        <w:t xml:space="preserve">London: The Stationery Office. Available at:  </w:t>
      </w:r>
      <w:hyperlink r:id="rId27" w:history="1">
        <w:r w:rsidRPr="00682CD6">
          <w:rPr>
            <w:rStyle w:val="Hyperlink"/>
            <w:rFonts w:ascii="Arial" w:hAnsi="Arial" w:cs="Arial"/>
            <w:sz w:val="24"/>
            <w:szCs w:val="24"/>
          </w:rPr>
          <w:t>https://www.legislation.gov.uk/ukpga/1996/18/part/X/chapter/I/crossheading/fairness</w:t>
        </w:r>
      </w:hyperlink>
      <w:r>
        <w:rPr>
          <w:rFonts w:ascii="Arial" w:hAnsi="Arial" w:cs="Arial"/>
          <w:sz w:val="24"/>
          <w:szCs w:val="24"/>
        </w:rPr>
        <w:t xml:space="preserve"> (Accessed 21 February 2026)</w:t>
      </w:r>
    </w:p>
    <w:p w14:paraId="58B81DA2" w14:textId="77777777" w:rsidR="00DC5A6A" w:rsidRDefault="00DC5A6A" w:rsidP="00DC5A6A">
      <w:pPr>
        <w:spacing w:line="240" w:lineRule="auto"/>
        <w:rPr>
          <w:rFonts w:ascii="Arial" w:hAnsi="Arial" w:cs="Arial"/>
          <w:sz w:val="24"/>
          <w:szCs w:val="24"/>
        </w:rPr>
      </w:pPr>
      <w:r>
        <w:rPr>
          <w:rFonts w:ascii="Arial" w:hAnsi="Arial" w:cs="Arial"/>
          <w:sz w:val="24"/>
          <w:szCs w:val="24"/>
        </w:rPr>
        <w:lastRenderedPageBreak/>
        <w:t xml:space="preserve">Great Britain (1996) </w:t>
      </w:r>
      <w:r>
        <w:rPr>
          <w:rFonts w:ascii="Arial" w:hAnsi="Arial" w:cs="Arial"/>
          <w:i/>
          <w:iCs/>
          <w:sz w:val="24"/>
          <w:szCs w:val="24"/>
        </w:rPr>
        <w:t xml:space="preserve">Employment Rights Act 1996. </w:t>
      </w:r>
      <w:r>
        <w:rPr>
          <w:rFonts w:ascii="Arial" w:hAnsi="Arial" w:cs="Arial"/>
          <w:sz w:val="24"/>
          <w:szCs w:val="24"/>
        </w:rPr>
        <w:t xml:space="preserve">London: The Stationery Office. Available at: </w:t>
      </w:r>
      <w:hyperlink r:id="rId28" w:history="1">
        <w:r w:rsidRPr="00682CD6">
          <w:rPr>
            <w:rStyle w:val="Hyperlink"/>
            <w:rFonts w:ascii="Arial" w:hAnsi="Arial" w:cs="Arial"/>
            <w:sz w:val="24"/>
            <w:szCs w:val="24"/>
          </w:rPr>
          <w:t>https://www.legislation.gov.uk/ukpga/1996/18/section/95</w:t>
        </w:r>
      </w:hyperlink>
      <w:r>
        <w:rPr>
          <w:rFonts w:ascii="Arial" w:hAnsi="Arial" w:cs="Arial"/>
          <w:sz w:val="24"/>
          <w:szCs w:val="24"/>
        </w:rPr>
        <w:t xml:space="preserve"> (Accessed 21 February 2026)</w:t>
      </w:r>
    </w:p>
    <w:p w14:paraId="2A55B814" w14:textId="77777777" w:rsidR="00DC5A6A" w:rsidRPr="00AD1A1F" w:rsidRDefault="00DC5A6A" w:rsidP="00DC5A6A">
      <w:pPr>
        <w:rPr>
          <w:rFonts w:ascii="Arial" w:hAnsi="Arial" w:cs="Arial"/>
          <w:sz w:val="24"/>
          <w:szCs w:val="24"/>
        </w:rPr>
      </w:pPr>
      <w:r>
        <w:rPr>
          <w:rFonts w:ascii="Arial" w:hAnsi="Arial" w:cs="Arial"/>
          <w:sz w:val="24"/>
          <w:szCs w:val="24"/>
        </w:rPr>
        <w:t xml:space="preserve">Harpur Trust v Brazel (2022) UKSC 21. Available at: </w:t>
      </w:r>
      <w:hyperlink r:id="rId29" w:history="1">
        <w:r w:rsidRPr="00C314C7">
          <w:rPr>
            <w:rStyle w:val="Hyperlink"/>
            <w:rFonts w:ascii="Arial" w:hAnsi="Arial" w:cs="Arial"/>
            <w:sz w:val="24"/>
            <w:szCs w:val="24"/>
          </w:rPr>
          <w:t>https://www.supremecourt.uk/cases/uksc-2019-0209</w:t>
        </w:r>
      </w:hyperlink>
      <w:r>
        <w:rPr>
          <w:rFonts w:ascii="Arial" w:hAnsi="Arial" w:cs="Arial"/>
          <w:sz w:val="24"/>
          <w:szCs w:val="24"/>
        </w:rPr>
        <w:t xml:space="preserve"> (Accessed 1 March 2026)</w:t>
      </w:r>
    </w:p>
    <w:p w14:paraId="3583A425" w14:textId="77777777" w:rsidR="00DC5A6A" w:rsidRDefault="00DC5A6A" w:rsidP="00DC5A6A">
      <w:pPr>
        <w:rPr>
          <w:rFonts w:ascii="Arial" w:hAnsi="Arial" w:cs="Arial"/>
          <w:sz w:val="24"/>
          <w:szCs w:val="24"/>
        </w:rPr>
      </w:pPr>
      <w:r>
        <w:rPr>
          <w:rFonts w:ascii="Arial" w:hAnsi="Arial" w:cs="Arial"/>
          <w:sz w:val="24"/>
          <w:szCs w:val="24"/>
        </w:rPr>
        <w:t xml:space="preserve">HM Courts &amp; Tribunals Services (2024) </w:t>
      </w:r>
      <w:r>
        <w:rPr>
          <w:rFonts w:ascii="Arial" w:hAnsi="Arial" w:cs="Arial"/>
          <w:i/>
          <w:iCs/>
          <w:sz w:val="24"/>
          <w:szCs w:val="24"/>
        </w:rPr>
        <w:t xml:space="preserve">Ms M Thandi and Others v Next Retail Ltd and Next Distribution Ltd: 1302019/2018 and others. </w:t>
      </w:r>
      <w:r>
        <w:rPr>
          <w:rFonts w:ascii="Arial" w:hAnsi="Arial" w:cs="Arial"/>
          <w:sz w:val="24"/>
          <w:szCs w:val="24"/>
        </w:rPr>
        <w:t xml:space="preserve">Employment Tribunal, 22 August. </w:t>
      </w:r>
      <w:r>
        <w:rPr>
          <w:rFonts w:ascii="Arial" w:hAnsi="Arial" w:cs="Arial"/>
          <w:i/>
          <w:iCs/>
          <w:sz w:val="24"/>
          <w:szCs w:val="24"/>
        </w:rPr>
        <w:t xml:space="preserve"> </w:t>
      </w:r>
      <w:r>
        <w:rPr>
          <w:rFonts w:ascii="Arial" w:hAnsi="Arial" w:cs="Arial"/>
          <w:sz w:val="24"/>
          <w:szCs w:val="24"/>
        </w:rPr>
        <w:t xml:space="preserve">Available at: </w:t>
      </w:r>
      <w:hyperlink r:id="rId30" w:history="1">
        <w:r w:rsidRPr="00404BA3">
          <w:rPr>
            <w:rStyle w:val="Hyperlink"/>
            <w:rFonts w:ascii="Arial" w:hAnsi="Arial" w:cs="Arial"/>
            <w:sz w:val="24"/>
            <w:szCs w:val="24"/>
          </w:rPr>
          <w:t>https://www.gov.uk/employment-tribunal-decisions/ms-m-thandi-and-others-v-next-retail-ltd-and-next-distribution-ltd-1302019-slash-2018-and-others</w:t>
        </w:r>
      </w:hyperlink>
      <w:r>
        <w:rPr>
          <w:rFonts w:ascii="Arial" w:hAnsi="Arial" w:cs="Arial"/>
          <w:sz w:val="24"/>
          <w:szCs w:val="24"/>
        </w:rPr>
        <w:t xml:space="preserve"> (Accessed 19 February 2026)</w:t>
      </w:r>
    </w:p>
    <w:p w14:paraId="163CE0DB" w14:textId="77777777" w:rsidR="00DC5A6A" w:rsidRDefault="00DC5A6A" w:rsidP="00DC5A6A">
      <w:pPr>
        <w:rPr>
          <w:rFonts w:ascii="Arial" w:hAnsi="Arial" w:cs="Arial"/>
          <w:sz w:val="24"/>
          <w:szCs w:val="24"/>
        </w:rPr>
      </w:pPr>
      <w:r>
        <w:rPr>
          <w:rFonts w:ascii="Arial" w:hAnsi="Arial" w:cs="Arial"/>
          <w:sz w:val="24"/>
          <w:szCs w:val="24"/>
        </w:rPr>
        <w:t xml:space="preserve">HM Revenue &amp; Customs (2025) </w:t>
      </w:r>
      <w:r>
        <w:rPr>
          <w:rFonts w:ascii="Arial" w:hAnsi="Arial" w:cs="Arial"/>
          <w:i/>
          <w:iCs/>
          <w:sz w:val="24"/>
          <w:szCs w:val="24"/>
        </w:rPr>
        <w:t xml:space="preserve">Statutory Payments Manual. </w:t>
      </w:r>
      <w:r>
        <w:rPr>
          <w:rFonts w:ascii="Arial" w:hAnsi="Arial" w:cs="Arial"/>
          <w:sz w:val="24"/>
          <w:szCs w:val="24"/>
        </w:rPr>
        <w:t xml:space="preserve">Available at: </w:t>
      </w:r>
      <w:hyperlink r:id="rId31" w:history="1">
        <w:r w:rsidRPr="009129A5">
          <w:rPr>
            <w:rStyle w:val="Hyperlink"/>
            <w:rFonts w:ascii="Arial" w:hAnsi="Arial" w:cs="Arial"/>
            <w:sz w:val="24"/>
            <w:szCs w:val="24"/>
          </w:rPr>
          <w:t>https://www.gov.uk/hmrc-internal-manuals/statutory-payments-manual</w:t>
        </w:r>
      </w:hyperlink>
      <w:r>
        <w:rPr>
          <w:rFonts w:ascii="Arial" w:hAnsi="Arial" w:cs="Arial"/>
          <w:sz w:val="24"/>
          <w:szCs w:val="24"/>
        </w:rPr>
        <w:t xml:space="preserve"> (Accessed: 2 March 2026)</w:t>
      </w:r>
    </w:p>
    <w:p w14:paraId="388AFAFD" w14:textId="77777777" w:rsidR="00DC5A6A" w:rsidRPr="00F27760" w:rsidRDefault="00DC5A6A" w:rsidP="00DC5A6A">
      <w:pPr>
        <w:rPr>
          <w:rFonts w:ascii="Arial" w:hAnsi="Arial" w:cs="Arial"/>
          <w:sz w:val="24"/>
          <w:szCs w:val="24"/>
        </w:rPr>
      </w:pPr>
      <w:r>
        <w:rPr>
          <w:rFonts w:ascii="Arial" w:hAnsi="Arial" w:cs="Arial"/>
          <w:sz w:val="24"/>
          <w:szCs w:val="24"/>
        </w:rPr>
        <w:t xml:space="preserve">Houe of Commons Library (2020) </w:t>
      </w:r>
      <w:r>
        <w:rPr>
          <w:rFonts w:ascii="Arial" w:hAnsi="Arial" w:cs="Arial"/>
          <w:i/>
          <w:iCs/>
          <w:sz w:val="24"/>
          <w:szCs w:val="24"/>
        </w:rPr>
        <w:t xml:space="preserve">End of Brexit Transition: workers’ tights. </w:t>
      </w:r>
      <w:r>
        <w:rPr>
          <w:rFonts w:ascii="Arial" w:hAnsi="Arial" w:cs="Arial"/>
          <w:sz w:val="24"/>
          <w:szCs w:val="24"/>
        </w:rPr>
        <w:t xml:space="preserve">Briefing Paper No 9099. London: House of Commons Library. Available at: </w:t>
      </w:r>
      <w:hyperlink r:id="rId32" w:history="1">
        <w:r w:rsidRPr="00E42342">
          <w:rPr>
            <w:rStyle w:val="Hyperlink"/>
            <w:rFonts w:ascii="Arial" w:hAnsi="Arial" w:cs="Arial"/>
            <w:sz w:val="24"/>
            <w:szCs w:val="24"/>
          </w:rPr>
          <w:t>https://researchbriefings.files.parliament.uk/documents/CBP-9099/CBP-9099.pdf</w:t>
        </w:r>
      </w:hyperlink>
      <w:r>
        <w:rPr>
          <w:rFonts w:ascii="Arial" w:hAnsi="Arial" w:cs="Arial"/>
          <w:sz w:val="24"/>
          <w:szCs w:val="24"/>
        </w:rPr>
        <w:t xml:space="preserve"> </w:t>
      </w:r>
    </w:p>
    <w:p w14:paraId="46CB960C" w14:textId="77777777" w:rsidR="00DC5A6A" w:rsidRDefault="00DC5A6A" w:rsidP="00DC5A6A">
      <w:pPr>
        <w:rPr>
          <w:rFonts w:ascii="Arial" w:hAnsi="Arial" w:cs="Arial"/>
          <w:sz w:val="24"/>
          <w:szCs w:val="24"/>
        </w:rPr>
      </w:pPr>
      <w:r w:rsidRPr="00F27760">
        <w:rPr>
          <w:rFonts w:ascii="Arial" w:hAnsi="Arial" w:cs="Arial"/>
          <w:sz w:val="24"/>
          <w:szCs w:val="24"/>
        </w:rPr>
        <w:t xml:space="preserve">Jacobs, A. (2025) </w:t>
      </w:r>
      <w:r w:rsidRPr="00F27760">
        <w:rPr>
          <w:rFonts w:ascii="Arial" w:hAnsi="Arial" w:cs="Arial"/>
          <w:i/>
          <w:iCs/>
          <w:sz w:val="24"/>
          <w:szCs w:val="24"/>
        </w:rPr>
        <w:t xml:space="preserve">Employment Law: what to expect in 2025. People Management. </w:t>
      </w:r>
      <w:r w:rsidRPr="00F27760">
        <w:rPr>
          <w:rFonts w:ascii="Arial" w:hAnsi="Arial" w:cs="Arial"/>
          <w:sz w:val="24"/>
          <w:szCs w:val="24"/>
        </w:rPr>
        <w:t xml:space="preserve">Available at: </w:t>
      </w:r>
      <w:hyperlink r:id="rId33" w:history="1">
        <w:r w:rsidRPr="00E42342">
          <w:rPr>
            <w:rStyle w:val="Hyperlink"/>
            <w:rFonts w:ascii="Arial" w:hAnsi="Arial" w:cs="Arial"/>
            <w:sz w:val="24"/>
            <w:szCs w:val="24"/>
          </w:rPr>
          <w:t>https://www.peoplemanagement.co.uk/article/1901051/employment-law-expect-2025</w:t>
        </w:r>
      </w:hyperlink>
      <w:r w:rsidRPr="00F27760">
        <w:rPr>
          <w:rFonts w:ascii="Arial" w:hAnsi="Arial" w:cs="Arial"/>
          <w:sz w:val="24"/>
          <w:szCs w:val="24"/>
        </w:rPr>
        <w:t xml:space="preserve"> (Accessed 4</w:t>
      </w:r>
      <w:r>
        <w:rPr>
          <w:rFonts w:ascii="Arial" w:hAnsi="Arial" w:cs="Arial"/>
          <w:sz w:val="24"/>
          <w:szCs w:val="24"/>
        </w:rPr>
        <w:t xml:space="preserve"> February </w:t>
      </w:r>
      <w:r w:rsidRPr="00F27760">
        <w:rPr>
          <w:rFonts w:ascii="Arial" w:hAnsi="Arial" w:cs="Arial"/>
          <w:sz w:val="24"/>
          <w:szCs w:val="24"/>
        </w:rPr>
        <w:t>2026)</w:t>
      </w:r>
      <w:r>
        <w:rPr>
          <w:rFonts w:ascii="Arial" w:hAnsi="Arial" w:cs="Arial"/>
          <w:sz w:val="24"/>
          <w:szCs w:val="24"/>
        </w:rPr>
        <w:t xml:space="preserve"> Y</w:t>
      </w:r>
    </w:p>
    <w:p w14:paraId="0B4837E8" w14:textId="77777777" w:rsidR="00DC5A6A" w:rsidRDefault="00DC5A6A" w:rsidP="00DC5A6A">
      <w:pPr>
        <w:rPr>
          <w:rFonts w:ascii="Arial" w:hAnsi="Arial" w:cs="Arial"/>
          <w:sz w:val="24"/>
          <w:szCs w:val="24"/>
        </w:rPr>
      </w:pPr>
      <w:r w:rsidRPr="00C62D56">
        <w:rPr>
          <w:rFonts w:ascii="Arial" w:hAnsi="Arial" w:cs="Arial"/>
          <w:sz w:val="24"/>
          <w:szCs w:val="24"/>
        </w:rPr>
        <w:t xml:space="preserve">Landy, M. (2017) </w:t>
      </w:r>
      <w:r w:rsidRPr="00C62D56">
        <w:rPr>
          <w:rFonts w:ascii="Arial" w:hAnsi="Arial" w:cs="Arial"/>
          <w:i/>
          <w:iCs/>
          <w:sz w:val="24"/>
          <w:szCs w:val="24"/>
        </w:rPr>
        <w:t xml:space="preserve">Constructive dismissal: a guide for employers. </w:t>
      </w:r>
      <w:r w:rsidRPr="00C62D56">
        <w:rPr>
          <w:rFonts w:ascii="Arial" w:hAnsi="Arial" w:cs="Arial"/>
          <w:sz w:val="24"/>
          <w:szCs w:val="24"/>
        </w:rPr>
        <w:t xml:space="preserve">People Management. Available at: </w:t>
      </w:r>
      <w:hyperlink r:id="rId34" w:history="1">
        <w:r w:rsidRPr="00C62D56">
          <w:rPr>
            <w:rStyle w:val="Hyperlink"/>
            <w:rFonts w:ascii="Arial" w:hAnsi="Arial" w:cs="Arial"/>
            <w:sz w:val="24"/>
            <w:szCs w:val="24"/>
          </w:rPr>
          <w:t>https://www.peoplemanagement.co.uk/article/1743377/constructive-dismissal-guide</w:t>
        </w:r>
      </w:hyperlink>
      <w:r w:rsidRPr="00C62D56">
        <w:rPr>
          <w:rFonts w:ascii="Arial" w:hAnsi="Arial" w:cs="Arial"/>
          <w:sz w:val="24"/>
          <w:szCs w:val="24"/>
        </w:rPr>
        <w:t xml:space="preserve"> (Accessed: 21 February 2026)</w:t>
      </w:r>
    </w:p>
    <w:p w14:paraId="6C95882F" w14:textId="77777777" w:rsidR="00DC5A6A" w:rsidRPr="00433B29" w:rsidRDefault="00DC5A6A" w:rsidP="00DC5A6A">
      <w:pPr>
        <w:rPr>
          <w:rFonts w:ascii="Arial" w:hAnsi="Arial" w:cs="Arial"/>
          <w:sz w:val="24"/>
          <w:szCs w:val="24"/>
        </w:rPr>
      </w:pPr>
      <w:r>
        <w:rPr>
          <w:rFonts w:ascii="Arial" w:hAnsi="Arial" w:cs="Arial"/>
          <w:sz w:val="24"/>
          <w:szCs w:val="24"/>
        </w:rPr>
        <w:t xml:space="preserve">Maternity Action (2025) </w:t>
      </w:r>
      <w:r>
        <w:rPr>
          <w:rFonts w:ascii="Arial" w:hAnsi="Arial" w:cs="Arial"/>
          <w:i/>
          <w:iCs/>
          <w:sz w:val="24"/>
          <w:szCs w:val="24"/>
        </w:rPr>
        <w:t xml:space="preserve">Shared Parental Leave and Pay. </w:t>
      </w:r>
      <w:r>
        <w:rPr>
          <w:rFonts w:ascii="Arial" w:hAnsi="Arial" w:cs="Arial"/>
          <w:sz w:val="24"/>
          <w:szCs w:val="24"/>
        </w:rPr>
        <w:t xml:space="preserve">Available at: </w:t>
      </w:r>
      <w:hyperlink r:id="rId35" w:history="1">
        <w:r w:rsidRPr="009129A5">
          <w:rPr>
            <w:rStyle w:val="Hyperlink"/>
            <w:rFonts w:ascii="Arial" w:hAnsi="Arial" w:cs="Arial"/>
            <w:sz w:val="24"/>
            <w:szCs w:val="24"/>
          </w:rPr>
          <w:t>https://maternityaction.org.uk/advice/shared-parental-leave-and-pay/</w:t>
        </w:r>
      </w:hyperlink>
      <w:r>
        <w:rPr>
          <w:rFonts w:ascii="Arial" w:hAnsi="Arial" w:cs="Arial"/>
          <w:sz w:val="24"/>
          <w:szCs w:val="24"/>
        </w:rPr>
        <w:t xml:space="preserve"> (Accessed 2 March 2026)</w:t>
      </w:r>
    </w:p>
    <w:p w14:paraId="3F966929" w14:textId="77777777" w:rsidR="00DC5A6A" w:rsidRDefault="00DC5A6A" w:rsidP="00DC5A6A">
      <w:pPr>
        <w:rPr>
          <w:rFonts w:ascii="Arial" w:hAnsi="Arial" w:cs="Arial"/>
          <w:sz w:val="24"/>
          <w:szCs w:val="24"/>
        </w:rPr>
      </w:pPr>
      <w:r>
        <w:rPr>
          <w:rFonts w:ascii="Arial" w:hAnsi="Arial" w:cs="Arial"/>
          <w:sz w:val="24"/>
          <w:szCs w:val="24"/>
        </w:rPr>
        <w:t xml:space="preserve">Mr J Lee v CC Cousins Ltd (2022) Employment Tribunal, Case No. 2307734/2020 Available at: </w:t>
      </w:r>
      <w:hyperlink r:id="rId36" w:history="1">
        <w:r w:rsidRPr="00682CD6">
          <w:rPr>
            <w:rStyle w:val="Hyperlink"/>
            <w:rFonts w:ascii="Arial" w:hAnsi="Arial" w:cs="Arial"/>
            <w:sz w:val="24"/>
            <w:szCs w:val="24"/>
          </w:rPr>
          <w:t>https://assets.publishing.service.gov.uk/media/655f7dd30c7ec8001195bd81/Mr_J_Lee_v_CC_Cousins_Ltd_2307734-2020_Judgment_and_Reasons.pdf</w:t>
        </w:r>
      </w:hyperlink>
      <w:r>
        <w:rPr>
          <w:rFonts w:ascii="Arial" w:hAnsi="Arial" w:cs="Arial"/>
          <w:sz w:val="24"/>
          <w:szCs w:val="24"/>
        </w:rPr>
        <w:t xml:space="preserve"> (Accessed 21 February 2026)</w:t>
      </w:r>
    </w:p>
    <w:p w14:paraId="084D2DED" w14:textId="77777777" w:rsidR="00DC5A6A" w:rsidRDefault="00DC5A6A" w:rsidP="00DC5A6A">
      <w:pPr>
        <w:rPr>
          <w:rFonts w:ascii="Arial" w:hAnsi="Arial" w:cs="Arial"/>
          <w:sz w:val="24"/>
          <w:szCs w:val="24"/>
        </w:rPr>
      </w:pPr>
      <w:r>
        <w:rPr>
          <w:rFonts w:ascii="Arial" w:hAnsi="Arial" w:cs="Arial"/>
          <w:sz w:val="24"/>
          <w:szCs w:val="24"/>
        </w:rPr>
        <w:t xml:space="preserve">National Minimum Wage Act 1998, c.39. London: The Stationery Office.  Available at: </w:t>
      </w:r>
      <w:hyperlink r:id="rId37" w:history="1">
        <w:r w:rsidRPr="00C314C7">
          <w:rPr>
            <w:rStyle w:val="Hyperlink"/>
            <w:rFonts w:ascii="Arial" w:hAnsi="Arial" w:cs="Arial"/>
            <w:sz w:val="24"/>
            <w:szCs w:val="24"/>
          </w:rPr>
          <w:t>https://www.legislation.gov.uk/ukpga/1998/39</w:t>
        </w:r>
      </w:hyperlink>
      <w:r>
        <w:rPr>
          <w:rFonts w:ascii="Arial" w:hAnsi="Arial" w:cs="Arial"/>
          <w:sz w:val="24"/>
          <w:szCs w:val="24"/>
        </w:rPr>
        <w:t xml:space="preserve"> (Accessed 22 March 2026) </w:t>
      </w:r>
    </w:p>
    <w:p w14:paraId="13E7A362" w14:textId="77777777" w:rsidR="00DC5A6A" w:rsidRDefault="00DC5A6A" w:rsidP="00DC5A6A">
      <w:pPr>
        <w:rPr>
          <w:rFonts w:ascii="Arial" w:hAnsi="Arial" w:cs="Arial"/>
          <w:sz w:val="24"/>
          <w:szCs w:val="24"/>
        </w:rPr>
      </w:pPr>
      <w:r>
        <w:rPr>
          <w:rFonts w:ascii="Arial" w:hAnsi="Arial" w:cs="Arial"/>
          <w:sz w:val="24"/>
          <w:szCs w:val="24"/>
        </w:rPr>
        <w:t xml:space="preserve">‘SIMAP v </w:t>
      </w:r>
      <w:proofErr w:type="spellStart"/>
      <w:r>
        <w:rPr>
          <w:rFonts w:ascii="Arial" w:hAnsi="Arial" w:cs="Arial"/>
          <w:sz w:val="24"/>
          <w:szCs w:val="24"/>
        </w:rPr>
        <w:t>Conselleria</w:t>
      </w:r>
      <w:proofErr w:type="spellEnd"/>
      <w:r>
        <w:rPr>
          <w:rFonts w:ascii="Arial" w:hAnsi="Arial" w:cs="Arial"/>
          <w:sz w:val="24"/>
          <w:szCs w:val="24"/>
        </w:rPr>
        <w:t xml:space="preserve"> de Sanidad’ (2000) European Court of Justice, case C-303/98. Available at:  </w:t>
      </w:r>
      <w:hyperlink r:id="rId38" w:history="1">
        <w:r w:rsidRPr="005C0629">
          <w:rPr>
            <w:rStyle w:val="Hyperlink"/>
            <w:rFonts w:ascii="Arial" w:hAnsi="Arial" w:cs="Arial"/>
            <w:sz w:val="24"/>
            <w:szCs w:val="24"/>
          </w:rPr>
          <w:t>https://infocuria.curia.europa.eu/tabs/tout?searchTerm=SIMAP+v+Conselleria+de+Sanidad+%28C-303%2F98%29&amp;lang=en&amp;sort=ALL_DATES-DESC</w:t>
        </w:r>
      </w:hyperlink>
      <w:r>
        <w:rPr>
          <w:rFonts w:ascii="Arial" w:hAnsi="Arial" w:cs="Arial"/>
          <w:sz w:val="24"/>
          <w:szCs w:val="24"/>
        </w:rPr>
        <w:t xml:space="preserve"> (Accessed on: 9 February 2026)</w:t>
      </w:r>
    </w:p>
    <w:p w14:paraId="3873A89D" w14:textId="77777777" w:rsidR="00DC5A6A" w:rsidRDefault="00DC5A6A" w:rsidP="00DC5A6A">
      <w:pPr>
        <w:rPr>
          <w:rFonts w:ascii="Arial" w:hAnsi="Arial" w:cs="Arial"/>
          <w:sz w:val="24"/>
          <w:szCs w:val="24"/>
        </w:rPr>
      </w:pPr>
      <w:r>
        <w:rPr>
          <w:rFonts w:ascii="Arial" w:hAnsi="Arial" w:cs="Arial"/>
          <w:sz w:val="24"/>
          <w:szCs w:val="24"/>
        </w:rPr>
        <w:t xml:space="preserve">Taylor, S and Woodhams, C (2022) Human Resource Management </w:t>
      </w:r>
      <w:r>
        <w:rPr>
          <w:rFonts w:ascii="Arial" w:hAnsi="Arial" w:cs="Arial"/>
          <w:i/>
          <w:iCs/>
          <w:sz w:val="24"/>
          <w:szCs w:val="24"/>
        </w:rPr>
        <w:t xml:space="preserve">People and Organisations. </w:t>
      </w:r>
      <w:r>
        <w:rPr>
          <w:rFonts w:ascii="Arial" w:hAnsi="Arial" w:cs="Arial"/>
          <w:sz w:val="24"/>
          <w:szCs w:val="24"/>
        </w:rPr>
        <w:t>3</w:t>
      </w:r>
      <w:r w:rsidRPr="00F8644F">
        <w:rPr>
          <w:rFonts w:ascii="Arial" w:hAnsi="Arial" w:cs="Arial"/>
          <w:sz w:val="24"/>
          <w:szCs w:val="24"/>
          <w:vertAlign w:val="superscript"/>
        </w:rPr>
        <w:t>rd</w:t>
      </w:r>
      <w:r>
        <w:rPr>
          <w:rFonts w:ascii="Arial" w:hAnsi="Arial" w:cs="Arial"/>
          <w:sz w:val="24"/>
          <w:szCs w:val="24"/>
        </w:rPr>
        <w:t xml:space="preserve"> </w:t>
      </w:r>
      <w:proofErr w:type="spellStart"/>
      <w:r>
        <w:rPr>
          <w:rFonts w:ascii="Arial" w:hAnsi="Arial" w:cs="Arial"/>
          <w:sz w:val="24"/>
          <w:szCs w:val="24"/>
        </w:rPr>
        <w:t>Edt</w:t>
      </w:r>
      <w:proofErr w:type="spellEnd"/>
      <w:r>
        <w:rPr>
          <w:rFonts w:ascii="Arial" w:hAnsi="Arial" w:cs="Arial"/>
          <w:sz w:val="24"/>
          <w:szCs w:val="24"/>
        </w:rPr>
        <w:t>. London: Kogan Page</w:t>
      </w:r>
    </w:p>
    <w:p w14:paraId="481869D9" w14:textId="77777777" w:rsidR="00DC5A6A" w:rsidRDefault="00DC5A6A" w:rsidP="00DC5A6A">
      <w:pPr>
        <w:rPr>
          <w:rFonts w:ascii="Arial" w:hAnsi="Arial" w:cs="Arial"/>
          <w:sz w:val="24"/>
          <w:szCs w:val="24"/>
        </w:rPr>
      </w:pPr>
      <w:r w:rsidRPr="00AD1A1F">
        <w:rPr>
          <w:rFonts w:ascii="Arial" w:hAnsi="Arial" w:cs="Arial"/>
          <w:sz w:val="24"/>
          <w:szCs w:val="24"/>
        </w:rPr>
        <w:lastRenderedPageBreak/>
        <w:t xml:space="preserve">UK Government (2024) </w:t>
      </w:r>
      <w:r w:rsidRPr="00AD1A1F">
        <w:rPr>
          <w:rFonts w:ascii="Arial" w:hAnsi="Arial" w:cs="Arial"/>
          <w:i/>
          <w:iCs/>
          <w:sz w:val="24"/>
          <w:szCs w:val="24"/>
        </w:rPr>
        <w:t xml:space="preserve">Holiday pay and entitlement reforms from 1 January 2024. </w:t>
      </w:r>
      <w:r w:rsidRPr="00AD1A1F">
        <w:rPr>
          <w:rFonts w:ascii="Arial" w:hAnsi="Arial" w:cs="Arial"/>
          <w:sz w:val="24"/>
          <w:szCs w:val="24"/>
        </w:rPr>
        <w:t xml:space="preserve">Available at: </w:t>
      </w:r>
      <w:hyperlink r:id="rId39" w:history="1">
        <w:r w:rsidRPr="00AD1A1F">
          <w:rPr>
            <w:rStyle w:val="Hyperlink"/>
            <w:rFonts w:ascii="Arial" w:hAnsi="Arial" w:cs="Arial"/>
            <w:sz w:val="24"/>
            <w:szCs w:val="24"/>
          </w:rPr>
          <w:t>https://www.gov.uk/government/publications/simplifying-holiday-entitlement-and-holiday-pay-calculations/holiday-pay-and-entitlement-reforms-from-1-january-2024</w:t>
        </w:r>
      </w:hyperlink>
      <w:r w:rsidRPr="00AD1A1F">
        <w:rPr>
          <w:rFonts w:ascii="Arial" w:hAnsi="Arial" w:cs="Arial"/>
          <w:sz w:val="24"/>
          <w:szCs w:val="24"/>
        </w:rPr>
        <w:t xml:space="preserve"> (Accessed 28 February 2026) </w:t>
      </w:r>
    </w:p>
    <w:p w14:paraId="6BA1895D" w14:textId="77777777" w:rsidR="00DC5A6A" w:rsidRPr="00CF2EEB" w:rsidRDefault="00DC5A6A" w:rsidP="00DC5A6A">
      <w:pPr>
        <w:rPr>
          <w:rFonts w:ascii="Arial" w:hAnsi="Arial" w:cs="Arial"/>
          <w:sz w:val="24"/>
          <w:szCs w:val="24"/>
        </w:rPr>
      </w:pPr>
      <w:r>
        <w:rPr>
          <w:rFonts w:ascii="Arial" w:hAnsi="Arial" w:cs="Arial"/>
          <w:sz w:val="24"/>
          <w:szCs w:val="24"/>
        </w:rPr>
        <w:t xml:space="preserve">Working Time Regulations 1998, SI 1998/1833. London: The Stationery Office.  Available at: </w:t>
      </w:r>
      <w:hyperlink r:id="rId40" w:history="1">
        <w:r w:rsidRPr="00C314C7">
          <w:rPr>
            <w:rStyle w:val="Hyperlink"/>
            <w:rFonts w:ascii="Arial" w:hAnsi="Arial" w:cs="Arial"/>
            <w:sz w:val="24"/>
            <w:szCs w:val="24"/>
          </w:rPr>
          <w:t>https://www.legislation.gov.uk/uksi/1998/1833/contents/made</w:t>
        </w:r>
      </w:hyperlink>
      <w:r>
        <w:rPr>
          <w:rFonts w:ascii="Arial" w:hAnsi="Arial" w:cs="Arial"/>
          <w:sz w:val="24"/>
          <w:szCs w:val="24"/>
        </w:rPr>
        <w:t xml:space="preserve"> (Accessed 22 March 2026)</w:t>
      </w:r>
    </w:p>
    <w:p w14:paraId="2F1FA554" w14:textId="77777777" w:rsidR="00DC5A6A" w:rsidRDefault="00DC5A6A" w:rsidP="00DC5A6A">
      <w:pPr>
        <w:rPr>
          <w:rFonts w:ascii="Arial" w:hAnsi="Arial" w:cs="Arial"/>
          <w:sz w:val="24"/>
          <w:szCs w:val="24"/>
        </w:rPr>
      </w:pPr>
      <w:r w:rsidRPr="00BE34CD">
        <w:rPr>
          <w:rFonts w:ascii="Arial" w:hAnsi="Arial" w:cs="Arial"/>
          <w:sz w:val="24"/>
          <w:szCs w:val="24"/>
        </w:rPr>
        <w:t xml:space="preserve">‘Uber BV and others v Aslam and others’ (2021) United Kingdom Supreme Court, case 0029. </w:t>
      </w:r>
      <w:r w:rsidRPr="00BE34CD">
        <w:rPr>
          <w:rFonts w:ascii="Arial" w:hAnsi="Arial" w:cs="Arial"/>
          <w:i/>
          <w:iCs/>
          <w:sz w:val="24"/>
          <w:szCs w:val="24"/>
        </w:rPr>
        <w:t xml:space="preserve">The Supreme Court. </w:t>
      </w:r>
      <w:r w:rsidRPr="00BE34CD">
        <w:rPr>
          <w:rFonts w:ascii="Arial" w:hAnsi="Arial" w:cs="Arial"/>
          <w:sz w:val="24"/>
          <w:szCs w:val="24"/>
        </w:rPr>
        <w:t xml:space="preserve">Available at: </w:t>
      </w:r>
      <w:hyperlink r:id="rId41" w:history="1">
        <w:r w:rsidRPr="00BE34CD">
          <w:rPr>
            <w:rStyle w:val="Hyperlink"/>
            <w:rFonts w:ascii="Arial" w:hAnsi="Arial" w:cs="Arial"/>
            <w:sz w:val="24"/>
            <w:szCs w:val="24"/>
          </w:rPr>
          <w:t>https://supremecourt.uk/cases/uksc-2019-0029</w:t>
        </w:r>
      </w:hyperlink>
      <w:r w:rsidRPr="00BE34CD">
        <w:rPr>
          <w:rFonts w:ascii="Arial" w:hAnsi="Arial" w:cs="Arial"/>
          <w:sz w:val="24"/>
          <w:szCs w:val="24"/>
        </w:rPr>
        <w:t xml:space="preserve"> (Accessed 9</w:t>
      </w:r>
      <w:r>
        <w:rPr>
          <w:rFonts w:ascii="Arial" w:hAnsi="Arial" w:cs="Arial"/>
          <w:sz w:val="24"/>
          <w:szCs w:val="24"/>
        </w:rPr>
        <w:t xml:space="preserve"> February 20</w:t>
      </w:r>
      <w:r w:rsidRPr="00BE34CD">
        <w:rPr>
          <w:rFonts w:ascii="Arial" w:hAnsi="Arial" w:cs="Arial"/>
          <w:sz w:val="24"/>
          <w:szCs w:val="24"/>
        </w:rPr>
        <w:t xml:space="preserve">26) </w:t>
      </w:r>
    </w:p>
    <w:p w14:paraId="6C165AC2" w14:textId="77777777" w:rsidR="00DC5A6A" w:rsidRDefault="00DC5A6A" w:rsidP="00DC5A6A">
      <w:pPr>
        <w:rPr>
          <w:rFonts w:ascii="Arial" w:hAnsi="Arial" w:cs="Arial"/>
          <w:sz w:val="24"/>
          <w:szCs w:val="24"/>
        </w:rPr>
      </w:pPr>
      <w:r w:rsidRPr="00943151">
        <w:rPr>
          <w:rFonts w:ascii="Arial" w:hAnsi="Arial" w:cs="Arial"/>
          <w:sz w:val="24"/>
          <w:szCs w:val="24"/>
        </w:rPr>
        <w:t xml:space="preserve">Working Time Regulation 1998, </w:t>
      </w:r>
      <w:r w:rsidRPr="00943151">
        <w:rPr>
          <w:rFonts w:ascii="Arial" w:hAnsi="Arial" w:cs="Arial"/>
          <w:i/>
          <w:iCs/>
          <w:sz w:val="24"/>
          <w:szCs w:val="24"/>
        </w:rPr>
        <w:t>SI 1998/1833, Regulations 16A</w:t>
      </w:r>
      <w:r w:rsidRPr="00943151">
        <w:rPr>
          <w:rFonts w:ascii="Arial" w:hAnsi="Arial" w:cs="Arial"/>
          <w:sz w:val="24"/>
          <w:szCs w:val="24"/>
        </w:rPr>
        <w:t xml:space="preserve">. Available at: </w:t>
      </w:r>
      <w:hyperlink r:id="rId42" w:history="1">
        <w:r w:rsidRPr="00943151">
          <w:rPr>
            <w:rStyle w:val="Hyperlink"/>
            <w:rFonts w:ascii="Arial" w:hAnsi="Arial" w:cs="Arial"/>
            <w:sz w:val="24"/>
            <w:szCs w:val="24"/>
          </w:rPr>
          <w:t>https://www.legislation.gov.uk/uksi/1998/1833/regulation/16A</w:t>
        </w:r>
      </w:hyperlink>
      <w:r w:rsidRPr="00943151">
        <w:rPr>
          <w:rFonts w:ascii="Arial" w:hAnsi="Arial" w:cs="Arial"/>
          <w:sz w:val="24"/>
          <w:szCs w:val="24"/>
        </w:rPr>
        <w:t xml:space="preserve"> (Accessed 28 February 2026)  </w:t>
      </w:r>
    </w:p>
    <w:p w14:paraId="3FF4294A" w14:textId="77777777" w:rsidR="00964FA2" w:rsidRDefault="00964FA2"/>
    <w:p w14:paraId="745837F3" w14:textId="77777777" w:rsidR="00DC5A6A" w:rsidRDefault="00DC5A6A"/>
    <w:sectPr w:rsidR="00DC5A6A" w:rsidSect="00C361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61D5"/>
    <w:rsid w:val="00007EB0"/>
    <w:rsid w:val="000361CF"/>
    <w:rsid w:val="00042E56"/>
    <w:rsid w:val="00052EC4"/>
    <w:rsid w:val="00064499"/>
    <w:rsid w:val="0008558E"/>
    <w:rsid w:val="00085F8D"/>
    <w:rsid w:val="000976F6"/>
    <w:rsid w:val="000D02D7"/>
    <w:rsid w:val="000D4A9B"/>
    <w:rsid w:val="000D6B67"/>
    <w:rsid w:val="000E5C9B"/>
    <w:rsid w:val="000F2887"/>
    <w:rsid w:val="000F3875"/>
    <w:rsid w:val="000F3DCF"/>
    <w:rsid w:val="000F53C0"/>
    <w:rsid w:val="000F6218"/>
    <w:rsid w:val="00107EBA"/>
    <w:rsid w:val="00112727"/>
    <w:rsid w:val="00117412"/>
    <w:rsid w:val="00117484"/>
    <w:rsid w:val="001267F3"/>
    <w:rsid w:val="00127B44"/>
    <w:rsid w:val="00141EB4"/>
    <w:rsid w:val="00144FB1"/>
    <w:rsid w:val="0015563D"/>
    <w:rsid w:val="00156CB2"/>
    <w:rsid w:val="00170632"/>
    <w:rsid w:val="001903C9"/>
    <w:rsid w:val="00190682"/>
    <w:rsid w:val="001B5AE2"/>
    <w:rsid w:val="001C3004"/>
    <w:rsid w:val="001C35D4"/>
    <w:rsid w:val="001E131B"/>
    <w:rsid w:val="001F4861"/>
    <w:rsid w:val="001F6EF5"/>
    <w:rsid w:val="00214B64"/>
    <w:rsid w:val="002260C8"/>
    <w:rsid w:val="00233E45"/>
    <w:rsid w:val="00236466"/>
    <w:rsid w:val="00244006"/>
    <w:rsid w:val="00244358"/>
    <w:rsid w:val="00247A13"/>
    <w:rsid w:val="002535D0"/>
    <w:rsid w:val="00261EE4"/>
    <w:rsid w:val="00285B3F"/>
    <w:rsid w:val="00295CF5"/>
    <w:rsid w:val="00296A92"/>
    <w:rsid w:val="00297113"/>
    <w:rsid w:val="002A42C2"/>
    <w:rsid w:val="002D130A"/>
    <w:rsid w:val="002D6131"/>
    <w:rsid w:val="002D704E"/>
    <w:rsid w:val="002E5AEC"/>
    <w:rsid w:val="00304213"/>
    <w:rsid w:val="00314252"/>
    <w:rsid w:val="00324911"/>
    <w:rsid w:val="00344BFA"/>
    <w:rsid w:val="0039588E"/>
    <w:rsid w:val="003A1EBC"/>
    <w:rsid w:val="003A78F6"/>
    <w:rsid w:val="003B5232"/>
    <w:rsid w:val="003C0A23"/>
    <w:rsid w:val="003D7D97"/>
    <w:rsid w:val="003F59AC"/>
    <w:rsid w:val="00405C66"/>
    <w:rsid w:val="00407D72"/>
    <w:rsid w:val="00417CF9"/>
    <w:rsid w:val="00422E2F"/>
    <w:rsid w:val="00426EC8"/>
    <w:rsid w:val="00427287"/>
    <w:rsid w:val="004359DD"/>
    <w:rsid w:val="004439C7"/>
    <w:rsid w:val="004445A6"/>
    <w:rsid w:val="0044763E"/>
    <w:rsid w:val="00465C67"/>
    <w:rsid w:val="004724CD"/>
    <w:rsid w:val="004770C7"/>
    <w:rsid w:val="00485941"/>
    <w:rsid w:val="00486E38"/>
    <w:rsid w:val="004B10E7"/>
    <w:rsid w:val="004E29D6"/>
    <w:rsid w:val="004E6649"/>
    <w:rsid w:val="005111F8"/>
    <w:rsid w:val="0052549C"/>
    <w:rsid w:val="00532DF9"/>
    <w:rsid w:val="00547C30"/>
    <w:rsid w:val="005533C9"/>
    <w:rsid w:val="00554FD3"/>
    <w:rsid w:val="00565FED"/>
    <w:rsid w:val="0057673A"/>
    <w:rsid w:val="00576CC8"/>
    <w:rsid w:val="00585F3B"/>
    <w:rsid w:val="005C09E9"/>
    <w:rsid w:val="005D1991"/>
    <w:rsid w:val="005D49CA"/>
    <w:rsid w:val="005E290C"/>
    <w:rsid w:val="005E7681"/>
    <w:rsid w:val="005F38EA"/>
    <w:rsid w:val="00604104"/>
    <w:rsid w:val="006336FB"/>
    <w:rsid w:val="006513AA"/>
    <w:rsid w:val="00654058"/>
    <w:rsid w:val="006542AE"/>
    <w:rsid w:val="0065435F"/>
    <w:rsid w:val="00674818"/>
    <w:rsid w:val="00675909"/>
    <w:rsid w:val="00687D74"/>
    <w:rsid w:val="006B584E"/>
    <w:rsid w:val="006C311E"/>
    <w:rsid w:val="006D0611"/>
    <w:rsid w:val="006D7D1A"/>
    <w:rsid w:val="00715441"/>
    <w:rsid w:val="0074255E"/>
    <w:rsid w:val="00750E4D"/>
    <w:rsid w:val="007713A7"/>
    <w:rsid w:val="007722C8"/>
    <w:rsid w:val="007E7176"/>
    <w:rsid w:val="008043F5"/>
    <w:rsid w:val="00806FAA"/>
    <w:rsid w:val="00815939"/>
    <w:rsid w:val="00853B71"/>
    <w:rsid w:val="00863322"/>
    <w:rsid w:val="008809E9"/>
    <w:rsid w:val="008A779A"/>
    <w:rsid w:val="008B2EC8"/>
    <w:rsid w:val="008B689E"/>
    <w:rsid w:val="008C3DB8"/>
    <w:rsid w:val="008C6081"/>
    <w:rsid w:val="008F0062"/>
    <w:rsid w:val="008F6192"/>
    <w:rsid w:val="008F7CB4"/>
    <w:rsid w:val="00904461"/>
    <w:rsid w:val="0090694E"/>
    <w:rsid w:val="00906B51"/>
    <w:rsid w:val="00911273"/>
    <w:rsid w:val="00941AD0"/>
    <w:rsid w:val="00943256"/>
    <w:rsid w:val="0095441E"/>
    <w:rsid w:val="00964FA2"/>
    <w:rsid w:val="009705B7"/>
    <w:rsid w:val="00984809"/>
    <w:rsid w:val="009878E7"/>
    <w:rsid w:val="00992CBA"/>
    <w:rsid w:val="009A07A4"/>
    <w:rsid w:val="009A192C"/>
    <w:rsid w:val="009A3DF8"/>
    <w:rsid w:val="009B3D82"/>
    <w:rsid w:val="009B72B6"/>
    <w:rsid w:val="009E6649"/>
    <w:rsid w:val="009F1174"/>
    <w:rsid w:val="009F23F2"/>
    <w:rsid w:val="009F40C9"/>
    <w:rsid w:val="00A01FCC"/>
    <w:rsid w:val="00A12628"/>
    <w:rsid w:val="00A26DC6"/>
    <w:rsid w:val="00A3002D"/>
    <w:rsid w:val="00A36DD5"/>
    <w:rsid w:val="00A53AAA"/>
    <w:rsid w:val="00A876AF"/>
    <w:rsid w:val="00A94DAA"/>
    <w:rsid w:val="00A97301"/>
    <w:rsid w:val="00AA2F47"/>
    <w:rsid w:val="00AC4471"/>
    <w:rsid w:val="00AE4365"/>
    <w:rsid w:val="00AF5A75"/>
    <w:rsid w:val="00B12266"/>
    <w:rsid w:val="00B134D9"/>
    <w:rsid w:val="00B1453B"/>
    <w:rsid w:val="00B22686"/>
    <w:rsid w:val="00B22715"/>
    <w:rsid w:val="00B30555"/>
    <w:rsid w:val="00B3729F"/>
    <w:rsid w:val="00B41C6F"/>
    <w:rsid w:val="00B4639C"/>
    <w:rsid w:val="00B472F4"/>
    <w:rsid w:val="00B71843"/>
    <w:rsid w:val="00B95834"/>
    <w:rsid w:val="00BD2A8A"/>
    <w:rsid w:val="00C0038A"/>
    <w:rsid w:val="00C17DC3"/>
    <w:rsid w:val="00C361D5"/>
    <w:rsid w:val="00C40AB2"/>
    <w:rsid w:val="00C447BB"/>
    <w:rsid w:val="00C63835"/>
    <w:rsid w:val="00C648C3"/>
    <w:rsid w:val="00C65967"/>
    <w:rsid w:val="00C67E42"/>
    <w:rsid w:val="00C71007"/>
    <w:rsid w:val="00C72402"/>
    <w:rsid w:val="00C75628"/>
    <w:rsid w:val="00C76BB6"/>
    <w:rsid w:val="00C84544"/>
    <w:rsid w:val="00C852D9"/>
    <w:rsid w:val="00CA04FF"/>
    <w:rsid w:val="00CB5BE9"/>
    <w:rsid w:val="00CC5E1B"/>
    <w:rsid w:val="00CF390A"/>
    <w:rsid w:val="00D02885"/>
    <w:rsid w:val="00D0688D"/>
    <w:rsid w:val="00D232FD"/>
    <w:rsid w:val="00D30CFE"/>
    <w:rsid w:val="00D540E1"/>
    <w:rsid w:val="00D6677E"/>
    <w:rsid w:val="00D86A28"/>
    <w:rsid w:val="00D873C2"/>
    <w:rsid w:val="00D91537"/>
    <w:rsid w:val="00D956AB"/>
    <w:rsid w:val="00DB5C97"/>
    <w:rsid w:val="00DC4DE5"/>
    <w:rsid w:val="00DC5A6A"/>
    <w:rsid w:val="00DE4E26"/>
    <w:rsid w:val="00E0247D"/>
    <w:rsid w:val="00E045C2"/>
    <w:rsid w:val="00E10D41"/>
    <w:rsid w:val="00E15396"/>
    <w:rsid w:val="00E3568A"/>
    <w:rsid w:val="00E359D2"/>
    <w:rsid w:val="00E42562"/>
    <w:rsid w:val="00E44122"/>
    <w:rsid w:val="00E6168E"/>
    <w:rsid w:val="00E7272E"/>
    <w:rsid w:val="00E83EEE"/>
    <w:rsid w:val="00E9279D"/>
    <w:rsid w:val="00E9731B"/>
    <w:rsid w:val="00EA221A"/>
    <w:rsid w:val="00EB2D35"/>
    <w:rsid w:val="00ED5E5C"/>
    <w:rsid w:val="00EE06DB"/>
    <w:rsid w:val="00EF5D20"/>
    <w:rsid w:val="00F0219C"/>
    <w:rsid w:val="00F17B34"/>
    <w:rsid w:val="00F30E1F"/>
    <w:rsid w:val="00F34844"/>
    <w:rsid w:val="00F40835"/>
    <w:rsid w:val="00F40B30"/>
    <w:rsid w:val="00F52654"/>
    <w:rsid w:val="00F567D8"/>
    <w:rsid w:val="00F82F02"/>
    <w:rsid w:val="00F9696F"/>
    <w:rsid w:val="00FA20D2"/>
    <w:rsid w:val="00FB0985"/>
    <w:rsid w:val="00FB4AED"/>
    <w:rsid w:val="00FD4CA2"/>
    <w:rsid w:val="00FE30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B4F6D"/>
  <w15:chartTrackingRefBased/>
  <w15:docId w15:val="{934BE79A-AB6C-45C7-A857-46F355B10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61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361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361D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361D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361D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361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361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61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61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61D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361D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361D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361D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361D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361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361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361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361D5"/>
    <w:rPr>
      <w:rFonts w:eastAsiaTheme="majorEastAsia" w:cstheme="majorBidi"/>
      <w:color w:val="272727" w:themeColor="text1" w:themeTint="D8"/>
    </w:rPr>
  </w:style>
  <w:style w:type="paragraph" w:styleId="Title">
    <w:name w:val="Title"/>
    <w:basedOn w:val="Normal"/>
    <w:next w:val="Normal"/>
    <w:link w:val="TitleChar"/>
    <w:uiPriority w:val="10"/>
    <w:qFormat/>
    <w:rsid w:val="00C361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61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61D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61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61D5"/>
    <w:pPr>
      <w:spacing w:before="160"/>
      <w:jc w:val="center"/>
    </w:pPr>
    <w:rPr>
      <w:i/>
      <w:iCs/>
      <w:color w:val="404040" w:themeColor="text1" w:themeTint="BF"/>
    </w:rPr>
  </w:style>
  <w:style w:type="character" w:customStyle="1" w:styleId="QuoteChar">
    <w:name w:val="Quote Char"/>
    <w:basedOn w:val="DefaultParagraphFont"/>
    <w:link w:val="Quote"/>
    <w:uiPriority w:val="29"/>
    <w:rsid w:val="00C361D5"/>
    <w:rPr>
      <w:i/>
      <w:iCs/>
      <w:color w:val="404040" w:themeColor="text1" w:themeTint="BF"/>
    </w:rPr>
  </w:style>
  <w:style w:type="paragraph" w:styleId="ListParagraph">
    <w:name w:val="List Paragraph"/>
    <w:basedOn w:val="Normal"/>
    <w:uiPriority w:val="34"/>
    <w:qFormat/>
    <w:rsid w:val="00C361D5"/>
    <w:pPr>
      <w:ind w:left="720"/>
      <w:contextualSpacing/>
    </w:pPr>
  </w:style>
  <w:style w:type="character" w:styleId="IntenseEmphasis">
    <w:name w:val="Intense Emphasis"/>
    <w:basedOn w:val="DefaultParagraphFont"/>
    <w:uiPriority w:val="21"/>
    <w:qFormat/>
    <w:rsid w:val="00C361D5"/>
    <w:rPr>
      <w:i/>
      <w:iCs/>
      <w:color w:val="0F4761" w:themeColor="accent1" w:themeShade="BF"/>
    </w:rPr>
  </w:style>
  <w:style w:type="paragraph" w:styleId="IntenseQuote">
    <w:name w:val="Intense Quote"/>
    <w:basedOn w:val="Normal"/>
    <w:next w:val="Normal"/>
    <w:link w:val="IntenseQuoteChar"/>
    <w:uiPriority w:val="30"/>
    <w:qFormat/>
    <w:rsid w:val="00C361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361D5"/>
    <w:rPr>
      <w:i/>
      <w:iCs/>
      <w:color w:val="0F4761" w:themeColor="accent1" w:themeShade="BF"/>
    </w:rPr>
  </w:style>
  <w:style w:type="character" w:styleId="IntenseReference">
    <w:name w:val="Intense Reference"/>
    <w:basedOn w:val="DefaultParagraphFont"/>
    <w:uiPriority w:val="32"/>
    <w:qFormat/>
    <w:rsid w:val="00C361D5"/>
    <w:rPr>
      <w:b/>
      <w:bCs/>
      <w:smallCaps/>
      <w:color w:val="0F4761" w:themeColor="accent1" w:themeShade="BF"/>
      <w:spacing w:val="5"/>
    </w:rPr>
  </w:style>
  <w:style w:type="character" w:customStyle="1" w:styleId="whitespace-normal">
    <w:name w:val="whitespace-normal"/>
    <w:basedOn w:val="DefaultParagraphFont"/>
    <w:rsid w:val="00B30555"/>
  </w:style>
  <w:style w:type="character" w:styleId="Hyperlink">
    <w:name w:val="Hyperlink"/>
    <w:basedOn w:val="DefaultParagraphFont"/>
    <w:uiPriority w:val="99"/>
    <w:unhideWhenUsed/>
    <w:rsid w:val="00DC5A6A"/>
    <w:rPr>
      <w:color w:val="467886" w:themeColor="hyperlink"/>
      <w:u w:val="single"/>
    </w:rPr>
  </w:style>
  <w:style w:type="character" w:styleId="FollowedHyperlink">
    <w:name w:val="FollowedHyperlink"/>
    <w:basedOn w:val="DefaultParagraphFont"/>
    <w:uiPriority w:val="99"/>
    <w:semiHidden/>
    <w:unhideWhenUsed/>
    <w:rsid w:val="00DC5A6A"/>
    <w:rPr>
      <w:color w:val="96607D" w:themeColor="followedHyperlink"/>
      <w:u w:val="single"/>
    </w:rPr>
  </w:style>
  <w:style w:type="character" w:styleId="UnresolvedMention">
    <w:name w:val="Unresolved Mention"/>
    <w:basedOn w:val="DefaultParagraphFont"/>
    <w:uiPriority w:val="99"/>
    <w:semiHidden/>
    <w:unhideWhenUsed/>
    <w:rsid w:val="00042E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cas.org.uk/tupe/advice-for-employers-and-employees" TargetMode="External"/><Relationship Id="rId18" Type="http://schemas.openxmlformats.org/officeDocument/2006/relationships/hyperlink" Target="https://prd.cipd.org/en/knowledge/factsheets/flexible-working-factsheet" TargetMode="External"/><Relationship Id="rId26" Type="http://schemas.openxmlformats.org/officeDocument/2006/relationships/hyperlink" Target="https://assets.publishing.service.gov.uk/media/59b134afe5274a180b403e1f/Mrs_D_Hart_v_St_Mary_s_School__Colchester__Ltd_EAT_0305_14__DM.pdf" TargetMode="External"/><Relationship Id="rId39" Type="http://schemas.openxmlformats.org/officeDocument/2006/relationships/hyperlink" Target="https://www.gov.uk/government/publications/simplifying-holiday-entitlement-and-holiday-pay-calculations/holiday-pay-and-entitlement-reforms-from-1-january-2024" TargetMode="External"/><Relationship Id="rId21" Type="http://schemas.openxmlformats.org/officeDocument/2006/relationships/hyperlink" Target="https://www.cipd.org/uk/knowledge/employment-law/redundancy/" TargetMode="External"/><Relationship Id="rId34" Type="http://schemas.openxmlformats.org/officeDocument/2006/relationships/hyperlink" Target="https://www.peoplemanagement.co.uk/article/1743377/constructive-dismissal-guide" TargetMode="External"/><Relationship Id="rId42" Type="http://schemas.openxmlformats.org/officeDocument/2006/relationships/hyperlink" Target="https://www.legislation.gov.uk/uksi/1998/1833/regulation/16A" TargetMode="External"/><Relationship Id="rId7" Type="http://schemas.openxmlformats.org/officeDocument/2006/relationships/hyperlink" Target="https://www.acas.org.uk/statutory-flexible-working-requests/the-right-to-request" TargetMode="External"/><Relationship Id="rId2" Type="http://schemas.openxmlformats.org/officeDocument/2006/relationships/settings" Target="settings.xml"/><Relationship Id="rId16" Type="http://schemas.openxmlformats.org/officeDocument/2006/relationships/hyperlink" Target="https://www.cipd.org/uk/knowledge/factsheets/status-factsheet/" TargetMode="External"/><Relationship Id="rId20" Type="http://schemas.openxmlformats.org/officeDocument/2006/relationships/hyperlink" Target="https://www.cipd.org/uk/knowledge/factsheets/tupe-factsheet/" TargetMode="External"/><Relationship Id="rId29" Type="http://schemas.openxmlformats.org/officeDocument/2006/relationships/hyperlink" Target="https://www.supremecourt.uk/cases/uksc-2019-0209" TargetMode="External"/><Relationship Id="rId41" Type="http://schemas.openxmlformats.org/officeDocument/2006/relationships/hyperlink" Target="https://supremecourt.uk/cases/uksc-2019-0029" TargetMode="External"/><Relationship Id="rId1" Type="http://schemas.openxmlformats.org/officeDocument/2006/relationships/styles" Target="styles.xml"/><Relationship Id="rId6" Type="http://schemas.openxmlformats.org/officeDocument/2006/relationships/hyperlink" Target="https://www.acas.org.uk/shared-parental-leave-and-pay" TargetMode="External"/><Relationship Id="rId11" Type="http://schemas.openxmlformats.org/officeDocument/2006/relationships/hyperlink" Target="https://www.acas.org.uk/irregular-hours-and-part-year-workers/rolled-up-holiday-pay" TargetMode="External"/><Relationship Id="rId24" Type="http://schemas.openxmlformats.org/officeDocument/2006/relationships/hyperlink" Target="https://www.legislation.gov.uk/ukpga/2010/15/section/149" TargetMode="External"/><Relationship Id="rId32" Type="http://schemas.openxmlformats.org/officeDocument/2006/relationships/hyperlink" Target="https://researchbriefings.files.parliament.uk/documents/CBP-9099/CBP-9099.pdf" TargetMode="External"/><Relationship Id="rId37" Type="http://schemas.openxmlformats.org/officeDocument/2006/relationships/hyperlink" Target="https://www.legislation.gov.uk/ukpga/1998/39" TargetMode="External"/><Relationship Id="rId40" Type="http://schemas.openxmlformats.org/officeDocument/2006/relationships/hyperlink" Target="https://www.legislation.gov.uk/uksi/1998/1833/contents/made" TargetMode="External"/><Relationship Id="rId5" Type="http://schemas.openxmlformats.org/officeDocument/2006/relationships/hyperlink" Target="https://www.acas.org.uk/discrimination-and-the-law" TargetMode="External"/><Relationship Id="rId15" Type="http://schemas.openxmlformats.org/officeDocument/2006/relationships/hyperlink" Target="https://www.cipd.org/uk/knowledge/employment-law/uk-employment-law-eu/" TargetMode="External"/><Relationship Id="rId23" Type="http://schemas.openxmlformats.org/officeDocument/2006/relationships/hyperlink" Target="https://www.peoplemanagement.co.uk/article/1952170/when-flexible-working-requests-lawfully-denied" TargetMode="External"/><Relationship Id="rId28" Type="http://schemas.openxmlformats.org/officeDocument/2006/relationships/hyperlink" Target="https://www.legislation.gov.uk/ukpga/1996/18/section/95" TargetMode="External"/><Relationship Id="rId36" Type="http://schemas.openxmlformats.org/officeDocument/2006/relationships/hyperlink" Target="https://assets.publishing.service.gov.uk/media/655f7dd30c7ec8001195bd81/Mr_J_Lee_v_CC_Cousins_Ltd_2307734-2020_Judgment_and_Reasons.pdf" TargetMode="External"/><Relationship Id="rId10" Type="http://schemas.openxmlformats.org/officeDocument/2006/relationships/hyperlink" Target="https://www.acas.org.uk/irregular-hours-and-part-year-workers/calculating-holiday-pay" TargetMode="External"/><Relationship Id="rId19" Type="http://schemas.openxmlformats.org/officeDocument/2006/relationships/hyperlink" Target="https://www.cipd.org/uk/knowledge/employment-law/recruitment/" TargetMode="External"/><Relationship Id="rId31" Type="http://schemas.openxmlformats.org/officeDocument/2006/relationships/hyperlink" Target="https://www.gov.uk/hmrc-internal-manuals/statutory-payments-manual" TargetMode="External"/><Relationship Id="rId44" Type="http://schemas.openxmlformats.org/officeDocument/2006/relationships/theme" Target="theme/theme1.xml"/><Relationship Id="rId4" Type="http://schemas.openxmlformats.org/officeDocument/2006/relationships/hyperlink" Target="https://www.acas.org.uk/acas-code-of-practice-on-flexible-working-requests/html" TargetMode="External"/><Relationship Id="rId9" Type="http://schemas.openxmlformats.org/officeDocument/2006/relationships/hyperlink" Target="https://www.acas.org.uk/equal-pay" TargetMode="External"/><Relationship Id="rId14" Type="http://schemas.openxmlformats.org/officeDocument/2006/relationships/hyperlink" Target="https://www.cipd.org/uk/knowledge/employment-law/?page=1&amp;categories=45%2C57" TargetMode="External"/><Relationship Id="rId22" Type="http://schemas.openxmlformats.org/officeDocument/2006/relationships/hyperlink" Target="https://view.officeapps.live.com/op/view.aspx?src=https%3A%2F%2Femploymentappeals.decisions.tribunals.gov.uk%2FPublic%2FUpload%2FUKEAT04180513102005.doc&amp;wdOrigin=BROWSELINK" TargetMode="External"/><Relationship Id="rId27" Type="http://schemas.openxmlformats.org/officeDocument/2006/relationships/hyperlink" Target="https://www.legislation.gov.uk/ukpga/1996/18/part/X/chapter/I/crossheading/fairness" TargetMode="External"/><Relationship Id="rId30" Type="http://schemas.openxmlformats.org/officeDocument/2006/relationships/hyperlink" Target="https://www.gov.uk/employment-tribunal-decisions/ms-m-thandi-and-others-v-next-retail-ltd-and-next-distribution-ltd-1302019-slash-2018-and-others" TargetMode="External"/><Relationship Id="rId35" Type="http://schemas.openxmlformats.org/officeDocument/2006/relationships/hyperlink" Target="https://maternityaction.org.uk/advice/shared-parental-leave-and-pay/" TargetMode="External"/><Relationship Id="rId43" Type="http://schemas.openxmlformats.org/officeDocument/2006/relationships/fontTable" Target="fontTable.xml"/><Relationship Id="rId8" Type="http://schemas.openxmlformats.org/officeDocument/2006/relationships/hyperlink" Target="https://www.acas.org.uk/dismissals/constructive-dismissal" TargetMode="External"/><Relationship Id="rId3" Type="http://schemas.openxmlformats.org/officeDocument/2006/relationships/webSettings" Target="webSettings.xml"/><Relationship Id="rId12" Type="http://schemas.openxmlformats.org/officeDocument/2006/relationships/hyperlink" Target="https://www.acas.org.uk/manage-staff-redundancies/redundancy-consultations" TargetMode="External"/><Relationship Id="rId17" Type="http://schemas.openxmlformats.org/officeDocument/2006/relationships/hyperlink" Target="https://www.cipd.org/uk/knowledge/employment-law/equal-pay/" TargetMode="External"/><Relationship Id="rId25" Type="http://schemas.openxmlformats.org/officeDocument/2006/relationships/hyperlink" Target="https://www.equalityhumanrights.com/equality/equality-act-2010/codes-practice/employment-code-practice-0" TargetMode="External"/><Relationship Id="rId33" Type="http://schemas.openxmlformats.org/officeDocument/2006/relationships/hyperlink" Target="https://www.peoplemanagement.co.uk/article/1901051/employment-law-expect-2025" TargetMode="External"/><Relationship Id="rId38" Type="http://schemas.openxmlformats.org/officeDocument/2006/relationships/hyperlink" Target="https://infocuria.curia.europa.eu/tabs/tout?searchTerm=SIMAP+v+Conselleria+de+Sanidad+%28C-303%2F98%29&amp;lang=en&amp;sort=ALL_DATES-DES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445</TotalTime>
  <Pages>13</Pages>
  <Words>5439</Words>
  <Characters>33237</Characters>
  <Application>Microsoft Office Word</Application>
  <DocSecurity>0</DocSecurity>
  <Lines>573</Lines>
  <Paragraphs>142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Blofield</dc:creator>
  <cp:keywords/>
  <dc:description/>
  <cp:lastModifiedBy>Lisa Blofield</cp:lastModifiedBy>
  <cp:revision>240</cp:revision>
  <cp:lastPrinted>2026-03-23T09:45:00Z</cp:lastPrinted>
  <dcterms:created xsi:type="dcterms:W3CDTF">2026-03-21T18:20:00Z</dcterms:created>
  <dcterms:modified xsi:type="dcterms:W3CDTF">2026-03-23T12:02:00Z</dcterms:modified>
</cp:coreProperties>
</file>