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before="960"/>
      </w:pPr>
      <w:r>
        <w:rPr>
          <w:sz w:val="48"/>
          <w:szCs w:val="48"/>
        </w:rPr>
        <w:t xml:space="preserve"/>
      </w:r>
    </w:p>
    <w:p>
      <w:pPr>
        <w:spacing w:after="10" w:before="480"/>
        <w:jc w:val="center"/>
      </w:pPr>
      <w:r>
        <w:rPr>
          <w:rFonts w:ascii="Arial" w:cs="Arial" w:eastAsia="Arial" w:hAnsi="Arial"/>
          <w:color w:val="5A6F7F"/>
          <w:sz w:val="24"/>
          <w:szCs w:val="24"/>
        </w:rPr>
        <w:t xml:space="preserve">BSc (Hons) Health and Social Care</w:t>
      </w:r>
    </w:p>
    <w:p>
      <w:pPr>
        <w:spacing w:after="10" w:before="0"/>
        <w:jc w:val="center"/>
      </w:pPr>
      <w:r>
        <w:rPr>
          <w:rFonts w:ascii="Arial" w:cs="Arial" w:eastAsia="Arial" w:hAnsi="Arial"/>
          <w:i/>
          <w:iCs/>
          <w:color w:val="5A6F7F"/>
          <w:sz w:val="22"/>
          <w:szCs w:val="22"/>
        </w:rPr>
        <w:t xml:space="preserve">BMHP6027 – Empowering the Older Person  |  Component 2: Debate / Discussion</w:t>
      </w:r>
    </w:p>
    <w:p>
      <w:pPr>
        <w:pBdr>
          <w:bottom w:val="single" w:color="C8862C" w:sz="16"/>
        </w:pBdr>
        <w:spacing w:after="200" w:before="60"/>
      </w:pPr>
    </w:p>
    <w:p>
      <w:pPr>
        <w:spacing w:after="40" w:before="200"/>
        <w:jc w:val="center"/>
      </w:pPr>
      <w:r>
        <w:rPr>
          <w:rFonts w:ascii="Arial" w:cs="Arial" w:eastAsia="Arial" w:hAnsi="Arial"/>
          <w:b/>
          <w:bCs/>
          <w:caps/>
          <w:color w:val="04536B"/>
          <w:spacing w:val="40"/>
          <w:sz w:val="30"/>
          <w:szCs w:val="30"/>
        </w:rPr>
        <w:t xml:space="preserve">INDIVIDUAL REFERENCE LIST</w:t>
      </w:r>
    </w:p>
    <w:p>
      <w:pPr>
        <w:spacing w:after="40" w:before="40"/>
        <w:jc w:val="center"/>
      </w:pPr>
      <w:r>
        <w:rPr>
          <w:rFonts w:ascii="Arial" w:cs="Arial" w:eastAsia="Arial" w:hAnsi="Arial"/>
          <w:b/>
          <w:bCs/>
          <w:color w:val="1C2830"/>
          <w:sz w:val="26"/>
          <w:szCs w:val="26"/>
        </w:rPr>
        <w:t xml:space="preserve">"Are Dementia Patients Better Supported by Family or Professional Caregivers?"</w:t>
      </w:r>
    </w:p>
    <w:p>
      <w:pPr>
        <w:spacing w:after="300" w:before="40"/>
        <w:jc w:val="center"/>
      </w:pPr>
      <w:r>
        <w:rPr>
          <w:rFonts w:ascii="Arial" w:cs="Arial" w:eastAsia="Arial" w:hAnsi="Arial"/>
          <w:b/>
          <w:bCs/>
          <w:color w:val="1A5C1A"/>
          <w:sz w:val="22"/>
          <w:szCs w:val="22"/>
        </w:rPr>
        <w:t xml:space="preserve">FOR position — Family caregivers provide better support for people with dementia</w:t>
      </w:r>
    </w:p>
    <w:p>
      <w:pPr>
        <w:pBdr>
          <w:bottom w:val="single" w:color="04536B" w:sz="4"/>
        </w:pBdr>
        <w:spacing w:after="120" w:before="0"/>
      </w:pPr>
    </w:p>
    <w:p>
      <w:pPr>
        <w:spacing w:after="60" w:before="0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Student:  </w:t>
      </w:r>
      <w:r>
        <w:rPr>
          <w:rFonts w:ascii="Arial" w:cs="Arial" w:eastAsia="Arial" w:hAnsi="Arial"/>
          <w:color w:val="1C2830"/>
          <w:sz w:val="22"/>
          <w:szCs w:val="22"/>
        </w:rPr>
        <w:t xml:space="preserve">Shareen Bi  |  Student ID: 2318894</w:t>
      </w:r>
    </w:p>
    <w:p>
      <w:pPr>
        <w:spacing w:after="60" w:before="0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Module:  </w:t>
      </w:r>
      <w:r>
        <w:rPr>
          <w:rFonts w:ascii="Arial" w:cs="Arial" w:eastAsia="Arial" w:hAnsi="Arial"/>
          <w:color w:val="1C2830"/>
          <w:sz w:val="22"/>
          <w:szCs w:val="22"/>
        </w:rPr>
        <w:t xml:space="preserve">BMHP6027 – Empowering the Older Person  |  Module Code: BMHP6027</w:t>
      </w:r>
    </w:p>
    <w:p>
      <w:pPr>
        <w:spacing w:after="60" w:before="0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Programme:  </w:t>
      </w:r>
      <w:r>
        <w:rPr>
          <w:rFonts w:ascii="Arial" w:cs="Arial" w:eastAsia="Arial" w:hAnsi="Arial"/>
          <w:color w:val="1C2830"/>
          <w:sz w:val="22"/>
          <w:szCs w:val="22"/>
        </w:rPr>
        <w:t xml:space="preserve">BSc (Hons) Health and Social Care  |  UWTSD</w:t>
      </w:r>
    </w:p>
    <w:p>
      <w:pPr>
        <w:spacing w:after="60" w:before="0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Topic:  </w:t>
      </w:r>
      <w:r>
        <w:rPr>
          <w:rFonts w:ascii="Arial" w:cs="Arial" w:eastAsia="Arial" w:hAnsi="Arial"/>
          <w:color w:val="1C2830"/>
          <w:sz w:val="22"/>
          <w:szCs w:val="22"/>
        </w:rPr>
        <w:t xml:space="preserve">Are Dementia Patients Better Supported by Family or Professional Caregivers?</w:t>
      </w:r>
    </w:p>
    <w:p>
      <w:pPr>
        <w:spacing w:after="60" w:before="0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My stance:  </w:t>
      </w:r>
      <w:r>
        <w:rPr>
          <w:rFonts w:ascii="Arial" w:cs="Arial" w:eastAsia="Arial" w:hAnsi="Arial"/>
          <w:color w:val="1C2830"/>
          <w:sz w:val="22"/>
          <w:szCs w:val="22"/>
        </w:rPr>
        <w:t xml:space="preserve">FOR — Family caregivers provide better support for people living with dementia</w:t>
      </w:r>
    </w:p>
    <w:p>
      <w:pPr>
        <w:spacing w:after="60" w:before="0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Reference list deadline:  </w:t>
      </w:r>
      <w:r>
        <w:rPr>
          <w:rFonts w:ascii="Arial" w:cs="Arial" w:eastAsia="Arial" w:hAnsi="Arial"/>
          <w:color w:val="1C2830"/>
          <w:sz w:val="22"/>
          <w:szCs w:val="22"/>
        </w:rPr>
        <w:t xml:space="preserve">Friday 10th July 2026 by 14:00  —  submit via Turnitin</w:t>
      </w:r>
    </w:p>
    <w:p>
      <w:pPr>
        <w:spacing w:after="60" w:before="0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Debate date:  </w:t>
      </w:r>
      <w:r>
        <w:rPr>
          <w:rFonts w:ascii="Arial" w:cs="Arial" w:eastAsia="Arial" w:hAnsi="Arial"/>
          <w:color w:val="1C2830"/>
          <w:sz w:val="22"/>
          <w:szCs w:val="22"/>
        </w:rPr>
        <w:t xml:space="preserve">Week commencing Monday 13th July 2026</w:t>
      </w:r>
    </w:p>
    <w:p>
      <w:r>
        <w:br w:type="page"/>
      </w:r>
    </w:p>
    <w:p>
      <w:pPr>
        <w:pBdr>
          <w:bottom w:val="single" w:color="04536B" w:sz="4"/>
          <w:left w:val="single" w:color="04536B" w:sz="28"/>
        </w:pBdr>
        <w:shd w:fill="E4F2F5" w:color="E4F2F5" w:val="solid"/>
        <w:spacing w:after="100" w:before="280"/>
        <w:ind w:left="240" w:right="240"/>
      </w:pPr>
      <w:r>
        <w:rPr>
          <w:rFonts w:ascii="Arial" w:cs="Arial" w:eastAsia="Arial" w:hAnsi="Arial"/>
          <w:b/>
          <w:bCs/>
          <w:caps/>
          <w:color w:val="04536B"/>
          <w:spacing w:val="40"/>
          <w:sz w:val="24"/>
          <w:szCs w:val="24"/>
        </w:rPr>
        <w:t xml:space="preserve">Reference List  ·  27 Sources  ·  Harvard Referencing (UWTSD)</w:t>
      </w:r>
    </w:p>
    <w:p>
      <w:pPr>
        <w:spacing w:after="100" w:before="0" w:line="360" w:lineRule="auto"/>
        <w:jc w:val="both"/>
      </w:pPr>
      <w:r>
        <w:rPr>
          <w:rFonts w:ascii="Arial" w:cs="Arial" w:eastAsia="Arial" w:hAnsi="Arial"/>
          <w:sz w:val="22"/>
          <w:szCs w:val="22"/>
        </w:rPr>
        <w:t xml:space="preserve">Presented in alphabetical order by first author surname per UWTSD Harvard Referencing conventions. Sources cover both the FOR position (family caregiving strengths, person-centred care, continuity theory, activity theory) and engagement with counterarguments (professional care evidence, carer burden research) to enable critical and well-rounded debate.</w:t>
      </w:r>
    </w:p>
    <w:p>
      <w:pPr>
        <w:spacing w:after="160" w:before="0"/>
      </w:pP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01.  </w:t>
      </w:r>
      <w:r>
        <w:rPr>
          <w:rFonts w:ascii="Arial" w:cs="Arial" w:eastAsia="Arial" w:hAnsi="Arial"/>
          <w:sz w:val="22"/>
          <w:szCs w:val="22"/>
        </w:rPr>
        <w:t xml:space="preserve">Age UK (2023) Later Life in the United Kingdom 2023. London: Age UK. Available at: https://www.ageuk.org.uk (Accessed: 5 July 2026).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02.  </w:t>
      </w:r>
      <w:r>
        <w:rPr>
          <w:rFonts w:ascii="Arial" w:cs="Arial" w:eastAsia="Arial" w:hAnsi="Arial"/>
          <w:sz w:val="22"/>
          <w:szCs w:val="22"/>
        </w:rPr>
        <w:t xml:space="preserve">Alzheimer's Disease International (2019) World Alzheimer Report 2019: Attitudes to Dementia. London: Alzheimer's Disease International.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03.  </w:t>
      </w:r>
      <w:r>
        <w:rPr>
          <w:rFonts w:ascii="Arial" w:cs="Arial" w:eastAsia="Arial" w:hAnsi="Arial"/>
          <w:sz w:val="22"/>
          <w:szCs w:val="22"/>
        </w:rPr>
        <w:t xml:space="preserve">Alzheimer's Research UK (2023) Dementia Statistics Hub. Cambridge: Alzheimer's Research UK. Available at: https://www.dementiastatistics.org (Accessed: 5 July 2026).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04.  </w:t>
      </w:r>
      <w:r>
        <w:rPr>
          <w:rFonts w:ascii="Arial" w:cs="Arial" w:eastAsia="Arial" w:hAnsi="Arial"/>
          <w:sz w:val="22"/>
          <w:szCs w:val="22"/>
        </w:rPr>
        <w:t xml:space="preserve">Alzheimer's Society (2021) Dementia UK: Update. London: Alzheimer's Society. Available at: https://www.alzheimers.org.uk/sites/default/files/2021-09/dementia_uk_update.pdf (Accessed: 5 July 2026).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05.  </w:t>
      </w:r>
      <w:r>
        <w:rPr>
          <w:rFonts w:ascii="Arial" w:cs="Arial" w:eastAsia="Arial" w:hAnsi="Arial"/>
          <w:sz w:val="22"/>
          <w:szCs w:val="22"/>
        </w:rPr>
        <w:t xml:space="preserve">Brodaty, H. and Donkin, M. (2009) 'Family caregivers of people with dementia', Dialogues in Clinical Neuroscience, 11(2), pp. 217–228.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06.  </w:t>
      </w:r>
      <w:r>
        <w:rPr>
          <w:rFonts w:ascii="Arial" w:cs="Arial" w:eastAsia="Arial" w:hAnsi="Arial"/>
          <w:sz w:val="22"/>
          <w:szCs w:val="22"/>
        </w:rPr>
        <w:t xml:space="preserve">Care Act (2014) c. 23. London: The Stationery Office.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07.  </w:t>
      </w:r>
      <w:r>
        <w:rPr>
          <w:rFonts w:ascii="Arial" w:cs="Arial" w:eastAsia="Arial" w:hAnsi="Arial"/>
          <w:sz w:val="22"/>
          <w:szCs w:val="22"/>
        </w:rPr>
        <w:t xml:space="preserve">Care Quality Commission (CQC) (2022) State of Care 2021/22. Newcastle upon Tyne: CQC. Available at: https://www.cqc.org.uk (Accessed: 5 July 2026).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08.  </w:t>
      </w:r>
      <w:r>
        <w:rPr>
          <w:rFonts w:ascii="Arial" w:cs="Arial" w:eastAsia="Arial" w:hAnsi="Arial"/>
          <w:sz w:val="22"/>
          <w:szCs w:val="22"/>
        </w:rPr>
        <w:t xml:space="preserve">Carers Trust (2022) Key Facts About Carers and the People They Care For. London: Carers Trust. Available at: https://www.carers.org (Accessed: 5 July 2026).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09.  </w:t>
      </w:r>
      <w:r>
        <w:rPr>
          <w:rFonts w:ascii="Arial" w:cs="Arial" w:eastAsia="Arial" w:hAnsi="Arial"/>
          <w:sz w:val="22"/>
          <w:szCs w:val="22"/>
        </w:rPr>
        <w:t xml:space="preserve">Carers UK (2023) State of Caring Report 2023. London: Carers UK. Available at: https://www.carersuk.org (Accessed: 5 July 2026).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10.  </w:t>
      </w:r>
      <w:r>
        <w:rPr>
          <w:rFonts w:ascii="Arial" w:cs="Arial" w:eastAsia="Arial" w:hAnsi="Arial"/>
          <w:sz w:val="22"/>
          <w:szCs w:val="22"/>
        </w:rPr>
        <w:t xml:space="preserve">Department of Health and Social Care (2022) People at the Heart of Care: Adult Social Care Reform White Paper. London: DHSC.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11.  </w:t>
      </w:r>
      <w:r>
        <w:rPr>
          <w:rFonts w:ascii="Arial" w:cs="Arial" w:eastAsia="Arial" w:hAnsi="Arial"/>
          <w:sz w:val="22"/>
          <w:szCs w:val="22"/>
        </w:rPr>
        <w:t xml:space="preserve">Department of Health and Social Care (2023) Major Conditions Strategy: Case for Change and Our Strategic Framework. London: DHSC.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12.  </w:t>
      </w:r>
      <w:r>
        <w:rPr>
          <w:rFonts w:ascii="Arial" w:cs="Arial" w:eastAsia="Arial" w:hAnsi="Arial"/>
          <w:sz w:val="22"/>
          <w:szCs w:val="22"/>
        </w:rPr>
        <w:t xml:space="preserve">Equality Act (2010) c. 15. London: The Stationery Office.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13.  </w:t>
      </w:r>
      <w:r>
        <w:rPr>
          <w:rFonts w:ascii="Arial" w:cs="Arial" w:eastAsia="Arial" w:hAnsi="Arial"/>
          <w:sz w:val="22"/>
          <w:szCs w:val="22"/>
        </w:rPr>
        <w:t xml:space="preserve">Havighurst, R.J. (1961) 'Successful aging', The Gerontologist, 1(1), pp. 8–13.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14.  </w:t>
      </w:r>
      <w:r>
        <w:rPr>
          <w:rFonts w:ascii="Arial" w:cs="Arial" w:eastAsia="Arial" w:hAnsi="Arial"/>
          <w:sz w:val="22"/>
          <w:szCs w:val="22"/>
        </w:rPr>
        <w:t xml:space="preserve">Health and Care Act (2022) c. 31. London: The Stationery Office.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15.  </w:t>
      </w:r>
      <w:r>
        <w:rPr>
          <w:rFonts w:ascii="Arial" w:cs="Arial" w:eastAsia="Arial" w:hAnsi="Arial"/>
          <w:sz w:val="22"/>
          <w:szCs w:val="22"/>
        </w:rPr>
        <w:t xml:space="preserve">House of Commons Health and Social Care Committee (2021) Social Care: Funding and Workforce. London: House of Commons.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16.  </w:t>
      </w:r>
      <w:r>
        <w:rPr>
          <w:rFonts w:ascii="Arial" w:cs="Arial" w:eastAsia="Arial" w:hAnsi="Arial"/>
          <w:sz w:val="22"/>
          <w:szCs w:val="22"/>
        </w:rPr>
        <w:t xml:space="preserve">Kitwood, T. (1997) Dementia Reconsidered: The Person Comes First. Buckingham: Open University Press.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17.  </w:t>
      </w:r>
      <w:r>
        <w:rPr>
          <w:rFonts w:ascii="Arial" w:cs="Arial" w:eastAsia="Arial" w:hAnsi="Arial"/>
          <w:sz w:val="22"/>
          <w:szCs w:val="22"/>
        </w:rPr>
        <w:t xml:space="preserve">Mental Capacity Act (2005) c. 9. London: The Stationery Office.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18.  </w:t>
      </w:r>
      <w:r>
        <w:rPr>
          <w:rFonts w:ascii="Arial" w:cs="Arial" w:eastAsia="Arial" w:hAnsi="Arial"/>
          <w:sz w:val="22"/>
          <w:szCs w:val="22"/>
        </w:rPr>
        <w:t xml:space="preserve">National Institute for Health and Care Excellence (NICE) (2018) Dementia: Assessment, Management and Support for People Living with Dementia and their Carers [NG97]. London: NICE.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19.  </w:t>
      </w:r>
      <w:r>
        <w:rPr>
          <w:rFonts w:ascii="Arial" w:cs="Arial" w:eastAsia="Arial" w:hAnsi="Arial"/>
          <w:sz w:val="22"/>
          <w:szCs w:val="22"/>
        </w:rPr>
        <w:t xml:space="preserve">NHS England (2019) The NHS Long Term Plan. London: NHS England. Available at: https://www.longtermplan.nhs.uk (Accessed: 5 July 2026).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20.  </w:t>
      </w:r>
      <w:r>
        <w:rPr>
          <w:rFonts w:ascii="Arial" w:cs="Arial" w:eastAsia="Arial" w:hAnsi="Arial"/>
          <w:sz w:val="22"/>
          <w:szCs w:val="22"/>
        </w:rPr>
        <w:t xml:space="preserve">Office for National Statistics (ONS) (2022) Population, England and Wales: Census 2021. Newport: ONS. Available at: https://www.ons.gov.uk (Accessed: 5 July 2026).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21.  </w:t>
      </w:r>
      <w:r>
        <w:rPr>
          <w:rFonts w:ascii="Arial" w:cs="Arial" w:eastAsia="Arial" w:hAnsi="Arial"/>
          <w:sz w:val="22"/>
          <w:szCs w:val="22"/>
        </w:rPr>
        <w:t xml:space="preserve">Pinquart, M. and Sörensen, S. (2003) 'Differences between caregivers and noncaregivers in psychological health and physical health: a meta-analysis', Psychology and Aging, 18(2), pp. 250–267.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22.  </w:t>
      </w:r>
      <w:r>
        <w:rPr>
          <w:rFonts w:ascii="Arial" w:cs="Arial" w:eastAsia="Arial" w:hAnsi="Arial"/>
          <w:sz w:val="22"/>
          <w:szCs w:val="22"/>
        </w:rPr>
        <w:t xml:space="preserve">Royal College of Nursing (RCN) (2023) Older People in Care Homes: Health and Care Standards. London: RCN.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23.  </w:t>
      </w:r>
      <w:r>
        <w:rPr>
          <w:rFonts w:ascii="Arial" w:cs="Arial" w:eastAsia="Arial" w:hAnsi="Arial"/>
          <w:sz w:val="22"/>
          <w:szCs w:val="22"/>
        </w:rPr>
        <w:t xml:space="preserve">Schulz, R. and Sherwood, P.R. (2008) 'Physical and mental health effects of family caregiving', American Journal of Nursing, 108(9), pp. 23–27.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24.  </w:t>
      </w:r>
      <w:r>
        <w:rPr>
          <w:rFonts w:ascii="Arial" w:cs="Arial" w:eastAsia="Arial" w:hAnsi="Arial"/>
          <w:sz w:val="22"/>
          <w:szCs w:val="22"/>
        </w:rPr>
        <w:t xml:space="preserve">Sen, A. (1999) Development as Freedom. Oxford: Oxford University Press.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25.  </w:t>
      </w:r>
      <w:r>
        <w:rPr>
          <w:rFonts w:ascii="Arial" w:cs="Arial" w:eastAsia="Arial" w:hAnsi="Arial"/>
          <w:sz w:val="22"/>
          <w:szCs w:val="22"/>
        </w:rPr>
        <w:t xml:space="preserve">Skills for Care (2023) The State of the Adult Social Care Sector and Workforce in England 2023. Leeds: Skills for Care. Available at: https://www.skillsforcare.org.uk (Accessed: 5 July 2026).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26.  </w:t>
      </w:r>
      <w:r>
        <w:rPr>
          <w:rFonts w:ascii="Arial" w:cs="Arial" w:eastAsia="Arial" w:hAnsi="Arial"/>
          <w:sz w:val="22"/>
          <w:szCs w:val="22"/>
        </w:rPr>
        <w:t xml:space="preserve">Social Care Institute for Excellence (SCIE) (2022) Dementia: Finding the Right Care. London: SCIE. Available at: https://www.scie.org.uk (Accessed: 5 July 2026).</w:t>
      </w:r>
    </w:p>
    <w:p>
      <w:pPr>
        <w:spacing w:after="72" w:before="72" w:line="360" w:lineRule="auto"/>
        <w:ind w:left="900" w:hanging="900"/>
        <w:jc w:val="both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27.  </w:t>
      </w:r>
      <w:r>
        <w:rPr>
          <w:rFonts w:ascii="Arial" w:cs="Arial" w:eastAsia="Arial" w:hAnsi="Arial"/>
          <w:sz w:val="22"/>
          <w:szCs w:val="22"/>
        </w:rPr>
        <w:t xml:space="preserve">World Health Organization (WHO) (2019) Risk Reduction of Cognitive Decline and Dementia: WHO Guidelines. Geneva: WHO.</w:t>
      </w:r>
    </w:p>
    <w:p>
      <w:pPr>
        <w:pBdr>
          <w:bottom w:val="single" w:color="04536B" w:sz="8"/>
        </w:pBdr>
        <w:spacing w:after="120" w:before="100"/>
      </w:pPr>
    </w:p>
    <w:p>
      <w:pPr>
        <w:spacing w:after="80" w:before="200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Note on Source Selection</w:t>
      </w:r>
    </w:p>
    <w:p>
      <w:pPr>
        <w:spacing w:after="100" w:before="0" w:line="360" w:lineRule="auto"/>
        <w:jc w:val="both"/>
      </w:pPr>
      <w:r>
        <w:rPr>
          <w:rFonts w:ascii="Arial" w:cs="Arial" w:eastAsia="Arial" w:hAnsi="Arial"/>
          <w:sz w:val="22"/>
          <w:szCs w:val="22"/>
        </w:rPr>
        <w:t xml:space="preserve">This reference list of 27 sources supports an evidence-based debate arguing that family caregivers provide better support for people with dementia than professional caregivers. Primary sources include: key legislation (Care Act 2014, Mental Capacity Act 2005, Equality Act 2010); government policy (DHSC 2022, 2023; NHS England 2019; WHO 2019); foundational theory (Kitwood 1997 on personhood; Havighurst 1961 on Activity Theory; Sen 1999 on capability); research on family caregiving and its challenges (Brodaty and Donkin 2009; Schulz and Sherwood 2008; Pinquart and Sörensen 2003; Carers UK 2023); and evidence on dementia prevalence and care scale (Alzheimer's Society 2021; Alzheimer's Research UK 2023; ONS 2022). Sources covering professional care (NICE 2018; CQC 2022; Skills for Care 2023; RCN 2023) are included to enable direct engagement with the strongest counterarguments during the debate.</w:t>
      </w:r>
    </w:p>
    <w:p>
      <w:pPr>
        <w:spacing w:after="60" w:before="80"/>
      </w:pPr>
      <w:r>
        <w:rPr>
          <w:rFonts w:ascii="Arial" w:cs="Arial" w:eastAsia="Arial" w:hAnsi="Arial"/>
          <w:b/>
          <w:bCs/>
          <w:color w:val="04536B"/>
          <w:sz w:val="22"/>
          <w:szCs w:val="22"/>
        </w:rPr>
        <w:t xml:space="preserve">Total sources: 27 — minimum requirement: 20  ✓</w:t>
      </w:r>
    </w:p>
    <w:p>
      <w:pPr>
        <w:spacing w:after="60" w:before="0"/>
      </w:pPr>
      <w:r>
        <w:rPr>
          <w:rFonts w:ascii="Arial" w:cs="Arial" w:eastAsia="Arial" w:hAnsi="Arial"/>
          <w:color w:val="1C2830"/>
          <w:sz w:val="22"/>
          <w:szCs w:val="22"/>
        </w:rPr>
        <w:t xml:space="preserve">Referencing style: UWTSD Harvard (alphabetical author-date, numbered for debate navigation)</w:t>
      </w:r>
    </w:p>
    <w:sectPr>
      <w:head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E4F2F5" w:sz="4"/>
      </w:pBdr>
      <w:spacing w:after="80"/>
    </w:pPr>
    <w:r>
      <w:rPr>
        <w:rFonts w:ascii="Arial" w:cs="Arial" w:eastAsia="Arial" w:hAnsi="Arial"/>
        <w:color w:val="5A6F7F"/>
        <w:sz w:val="18"/>
        <w:szCs w:val="18"/>
      </w:rPr>
      <w:t xml:space="preserve">BMHP6027 C2 – Debate/Discussion  |  Reference List (Turnitin submission)  |  Shareen Bi (2318894)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2026-07-07T15:45:43.656Z</dcterms:created>
  <dcterms:modified xsi:type="dcterms:W3CDTF">2026-07-07T15:45:43.678Z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