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C5570" w14:textId="21593F70" w:rsidR="003736E2" w:rsidRDefault="00D658A5" w:rsidP="003736E2">
      <w:pPr>
        <w:spacing w:line="276" w:lineRule="auto"/>
        <w:ind w:firstLine="720"/>
        <w:jc w:val="both"/>
        <w:rPr>
          <w:rFonts w:ascii="Calibri" w:hAnsi="Calibri" w:cs="Calibri"/>
        </w:rPr>
      </w:pPr>
      <w:r w:rsidRPr="00BE5AE1">
        <w:rPr>
          <w:rFonts w:ascii="Calibri" w:hAnsi="Calibri" w:cs="Calibri"/>
        </w:rPr>
        <w:t xml:space="preserve">In the Kayseri Province of central Türkiye can be found the remains of </w:t>
      </w:r>
      <w:r w:rsidRPr="00BE5AE1">
        <w:rPr>
          <w:rFonts w:ascii="Calibri" w:hAnsi="Calibri" w:cs="Calibri"/>
        </w:rPr>
        <w:t>Kültepe-Kaneš</w:t>
      </w:r>
      <w:r w:rsidRPr="00BE5AE1">
        <w:rPr>
          <w:rFonts w:ascii="Calibri" w:hAnsi="Calibri" w:cs="Calibri"/>
        </w:rPr>
        <w:t xml:space="preserve"> (Ezer, 2014:5</w:t>
      </w:r>
      <w:r w:rsidR="003736E2">
        <w:rPr>
          <w:rFonts w:ascii="Calibri" w:hAnsi="Calibri" w:cs="Calibri"/>
        </w:rPr>
        <w:t xml:space="preserve">; </w:t>
      </w:r>
      <w:r w:rsidR="006839A6">
        <w:rPr>
          <w:rFonts w:ascii="Calibri" w:hAnsi="Calibri" w:cs="Calibri"/>
        </w:rPr>
        <w:t>Heffron</w:t>
      </w:r>
      <w:r w:rsidR="003736E2">
        <w:rPr>
          <w:rFonts w:ascii="Calibri" w:hAnsi="Calibri" w:cs="Calibri"/>
        </w:rPr>
        <w:t>, 2016:23</w:t>
      </w:r>
      <w:r w:rsidRPr="00BE5AE1">
        <w:rPr>
          <w:rFonts w:ascii="Calibri" w:hAnsi="Calibri" w:cs="Calibri"/>
        </w:rPr>
        <w:t xml:space="preserve">) the bronze age capital of the ancient kingdom of </w:t>
      </w:r>
      <w:r w:rsidR="0035645A" w:rsidRPr="00BE5AE1">
        <w:rPr>
          <w:rFonts w:ascii="Calibri" w:hAnsi="Calibri" w:cs="Calibri"/>
        </w:rPr>
        <w:t>Kanesh (</w:t>
      </w:r>
      <w:r w:rsidR="0035645A" w:rsidRPr="00BE5AE1">
        <w:rPr>
          <w:rFonts w:ascii="Calibri" w:hAnsi="Calibri" w:cs="Calibri"/>
        </w:rPr>
        <w:t>Kaneš</w:t>
      </w:r>
      <w:r w:rsidR="0035645A" w:rsidRPr="00BE5AE1">
        <w:rPr>
          <w:rFonts w:ascii="Calibri" w:hAnsi="Calibri" w:cs="Calibri"/>
        </w:rPr>
        <w:t>)</w:t>
      </w:r>
      <w:r w:rsidRPr="00BE5AE1">
        <w:rPr>
          <w:rFonts w:ascii="Calibri" w:hAnsi="Calibri" w:cs="Calibri"/>
        </w:rPr>
        <w:t>; this site served as the centre of a complex trade and commerce network that connected Anatolia, Syria and Mesopotamia (</w:t>
      </w:r>
      <w:r w:rsidR="003736E2">
        <w:rPr>
          <w:rFonts w:ascii="Calibri" w:hAnsi="Calibri" w:cs="Calibri"/>
        </w:rPr>
        <w:t xml:space="preserve">Yağmur, 2016:23; </w:t>
      </w:r>
      <w:r w:rsidRPr="00BE5AE1">
        <w:rPr>
          <w:rFonts w:ascii="Calibri" w:hAnsi="Calibri" w:cs="Calibri"/>
        </w:rPr>
        <w:t xml:space="preserve">UNESCO, 2018). As a site, archaeological finds how shown that </w:t>
      </w:r>
      <w:r w:rsidRPr="00BE5AE1">
        <w:rPr>
          <w:rFonts w:ascii="Calibri" w:hAnsi="Calibri" w:cs="Calibri"/>
        </w:rPr>
        <w:t>Kültepe-Kaneš</w:t>
      </w:r>
      <w:r w:rsidRPr="00BE5AE1">
        <w:rPr>
          <w:rFonts w:ascii="Calibri" w:hAnsi="Calibri" w:cs="Calibri"/>
        </w:rPr>
        <w:t xml:space="preserve"> stood as an important </w:t>
      </w:r>
      <w:r w:rsidR="00BE5AE1" w:rsidRPr="00BE5AE1">
        <w:rPr>
          <w:rFonts w:ascii="Calibri" w:hAnsi="Calibri" w:cs="Calibri"/>
        </w:rPr>
        <w:t>cultural centre</w:t>
      </w:r>
      <w:r w:rsidRPr="00BE5AE1">
        <w:rPr>
          <w:rFonts w:ascii="Calibri" w:hAnsi="Calibri" w:cs="Calibri"/>
        </w:rPr>
        <w:t xml:space="preserve"> not just in the second millennium but into the third millennium BCE</w:t>
      </w:r>
      <w:r w:rsidR="00BE5AE1" w:rsidRPr="00BE5AE1">
        <w:rPr>
          <w:rFonts w:ascii="Calibri" w:hAnsi="Calibri" w:cs="Calibri"/>
        </w:rPr>
        <w:t xml:space="preserve"> though </w:t>
      </w:r>
      <w:r w:rsidR="00BE5AE1" w:rsidRPr="00BE5AE1">
        <w:rPr>
          <w:rFonts w:ascii="Calibri" w:hAnsi="Calibri" w:cs="Calibri"/>
        </w:rPr>
        <w:t>Kültepe-Kaneš</w:t>
      </w:r>
      <w:r w:rsidR="00BE5AE1">
        <w:rPr>
          <w:rFonts w:ascii="Calibri" w:hAnsi="Calibri" w:cs="Calibri"/>
        </w:rPr>
        <w:t xml:space="preserve">’s inhabitants left at the end of the Roman </w:t>
      </w:r>
      <w:r w:rsidR="00BE5AE1" w:rsidRPr="00BE5AE1">
        <w:rPr>
          <w:rFonts w:ascii="Calibri" w:hAnsi="Calibri" w:cs="Calibri"/>
        </w:rPr>
        <w:t>period</w:t>
      </w:r>
      <w:r w:rsidRPr="00BE5AE1">
        <w:rPr>
          <w:rFonts w:ascii="Calibri" w:hAnsi="Calibri" w:cs="Calibri"/>
        </w:rPr>
        <w:t xml:space="preserve"> (Ezer, 2014:5</w:t>
      </w:r>
      <w:r w:rsidR="00BE5AE1">
        <w:rPr>
          <w:rFonts w:ascii="Calibri" w:hAnsi="Calibri" w:cs="Calibri"/>
        </w:rPr>
        <w:t>; UNESCO, 2018</w:t>
      </w:r>
      <w:r w:rsidRPr="00BE5AE1">
        <w:rPr>
          <w:rFonts w:ascii="Calibri" w:hAnsi="Calibri" w:cs="Calibri"/>
        </w:rPr>
        <w:t>).</w:t>
      </w:r>
      <w:r w:rsidR="00BE5AE1">
        <w:rPr>
          <w:rFonts w:ascii="Calibri" w:hAnsi="Calibri" w:cs="Calibri"/>
        </w:rPr>
        <w:t xml:space="preserve"> The site is split into two distinct features: the</w:t>
      </w:r>
      <w:r w:rsidR="003736E2">
        <w:rPr>
          <w:rFonts w:ascii="Calibri" w:hAnsi="Calibri" w:cs="Calibri"/>
        </w:rPr>
        <w:t xml:space="preserve"> Upper</w:t>
      </w:r>
      <w:r w:rsidR="00BE5AE1">
        <w:rPr>
          <w:rFonts w:ascii="Calibri" w:hAnsi="Calibri" w:cs="Calibri"/>
        </w:rPr>
        <w:t xml:space="preserve"> Mound (or tepe) that rises about 20m high (Ezer, 2014:5; UNESCO, 2018), and the Lower Town (Karum) where trading would take place and the domestic private houses can be found (Ezer, 2014:6; Heffron, 2016:24; UNESCO, 2018). This private space that makes up such a significant portion of the site is the focal point of Yağmur Heffron’s journal article </w:t>
      </w:r>
      <w:r w:rsidR="00BE5AE1" w:rsidRPr="00BE5AE1">
        <w:rPr>
          <w:rFonts w:ascii="Calibri" w:hAnsi="Calibri" w:cs="Calibri"/>
          <w:i/>
          <w:iCs/>
        </w:rPr>
        <w:t xml:space="preserve">Stone Stelae and Religious Space at </w:t>
      </w:r>
      <w:r w:rsidR="00BE5AE1" w:rsidRPr="00BE5AE1">
        <w:rPr>
          <w:rFonts w:ascii="Calibri" w:hAnsi="Calibri" w:cs="Calibri"/>
          <w:i/>
          <w:iCs/>
        </w:rPr>
        <w:t>Kültepe-Kaneš</w:t>
      </w:r>
      <w:r w:rsidR="00BE5AE1">
        <w:rPr>
          <w:rFonts w:ascii="Calibri" w:hAnsi="Calibri" w:cs="Calibri"/>
        </w:rPr>
        <w:t xml:space="preserve"> as she explores the religious aspects of personal and private life in </w:t>
      </w:r>
      <w:r w:rsidR="003736E2">
        <w:rPr>
          <w:rFonts w:ascii="Calibri" w:hAnsi="Calibri" w:cs="Calibri"/>
        </w:rPr>
        <w:t>this Assyro-Anatolian space.</w:t>
      </w:r>
      <w:r w:rsidR="003736E2">
        <w:rPr>
          <w:rFonts w:ascii="Calibri" w:hAnsi="Calibri" w:cs="Calibri"/>
          <w:vanish/>
        </w:rPr>
        <w:t>efffffffffnnnnfjrjrjrjrjrjrjjrnffnnfhhhhhheffron’s aintention</w:t>
      </w:r>
    </w:p>
    <w:p w14:paraId="0910BE85" w14:textId="244C6D28" w:rsidR="00D07A18" w:rsidRDefault="00D07A18" w:rsidP="00D07A18">
      <w:pPr>
        <w:spacing w:line="276" w:lineRule="auto"/>
        <w:ind w:firstLine="720"/>
        <w:jc w:val="both"/>
        <w:rPr>
          <w:rFonts w:ascii="Calibri" w:hAnsi="Calibri" w:cs="Calibri"/>
        </w:rPr>
      </w:pPr>
      <w:r>
        <w:rPr>
          <w:rFonts w:ascii="Calibri" w:hAnsi="Calibri" w:cs="Calibri"/>
        </w:rPr>
        <w:t xml:space="preserve">Heffron was able to visit the site herself in 2014 (2016:26), as a result her observations from the visit </w:t>
      </w:r>
      <w:proofErr w:type="gramStart"/>
      <w:r>
        <w:rPr>
          <w:rFonts w:ascii="Calibri" w:hAnsi="Calibri" w:cs="Calibri"/>
        </w:rPr>
        <w:t>are able to</w:t>
      </w:r>
      <w:proofErr w:type="gramEnd"/>
      <w:r>
        <w:rPr>
          <w:rFonts w:ascii="Calibri" w:hAnsi="Calibri" w:cs="Calibri"/>
        </w:rPr>
        <w:t xml:space="preserve"> inform several aspects of the article. This first-hand experience she has with engaging with the stelae and the material culture of the site strengthens her study as primary research and enhance the reliability of her interpretations for future scholarsh</w:t>
      </w:r>
      <w:r w:rsidR="00207EBA">
        <w:rPr>
          <w:rFonts w:ascii="Calibri" w:hAnsi="Calibri" w:cs="Calibri"/>
        </w:rPr>
        <w:t xml:space="preserve">ip. This first-hand account of the site is valuable but adds no benefit to determining which stones should be studies – usually the lack of criteria to determine featured stelae would be a weakness of the article but as Heffron shares there are only eight stones at </w:t>
      </w:r>
      <w:r w:rsidR="00207EBA" w:rsidRPr="006517F2">
        <w:rPr>
          <w:rFonts w:ascii="Calibri" w:hAnsi="Calibri" w:cs="Calibri"/>
        </w:rPr>
        <w:t>Kültepe-Kaneš</w:t>
      </w:r>
      <w:r w:rsidR="00207EBA">
        <w:rPr>
          <w:rFonts w:ascii="Calibri" w:hAnsi="Calibri" w:cs="Calibri"/>
        </w:rPr>
        <w:t>, and three of which are used as building foundations, it is understandable why the five she chose were used in the article: there were no other choices (Heffron, 2016:26)</w:t>
      </w:r>
    </w:p>
    <w:p w14:paraId="3659FA1A" w14:textId="64FA1C0B" w:rsidR="003D6D9B" w:rsidRDefault="003736E2" w:rsidP="003D6D9B">
      <w:pPr>
        <w:spacing w:line="276" w:lineRule="auto"/>
        <w:ind w:firstLine="720"/>
        <w:jc w:val="both"/>
        <w:rPr>
          <w:rFonts w:ascii="Calibri" w:hAnsi="Calibri" w:cs="Calibri"/>
        </w:rPr>
      </w:pPr>
      <w:r>
        <w:rPr>
          <w:rFonts w:ascii="Calibri" w:hAnsi="Calibri" w:cs="Calibri"/>
        </w:rPr>
        <w:t>Heffron’s intention with the article is clear from the beginning: she wishes to address the gap in academia on Assyro-Anatolian religion</w:t>
      </w:r>
      <w:r w:rsidR="00BF7099">
        <w:rPr>
          <w:rFonts w:ascii="Calibri" w:hAnsi="Calibri" w:cs="Calibri"/>
        </w:rPr>
        <w:t xml:space="preserve">, or </w:t>
      </w:r>
      <w:proofErr w:type="spellStart"/>
      <w:r w:rsidR="00BF7099">
        <w:rPr>
          <w:rFonts w:ascii="Calibri" w:hAnsi="Calibri" w:cs="Calibri"/>
        </w:rPr>
        <w:t>Kanešean</w:t>
      </w:r>
      <w:proofErr w:type="spellEnd"/>
      <w:r w:rsidR="00BF7099">
        <w:rPr>
          <w:rFonts w:ascii="Calibri" w:hAnsi="Calibri" w:cs="Calibri"/>
        </w:rPr>
        <w:t xml:space="preserve"> religion as she refers to (Heffron, 2016:25)</w:t>
      </w:r>
      <w:r>
        <w:rPr>
          <w:rFonts w:ascii="Calibri" w:hAnsi="Calibri" w:cs="Calibri"/>
        </w:rPr>
        <w:t>. She immediately highlights that other scholars have written in depth works on Assyrian religion and Anatolian religion respectively but there is little discussion on the cross over between Assyrian and Anatolian religions as its own separate form of practice that blends the two</w:t>
      </w:r>
      <w:r w:rsidR="006839A6">
        <w:rPr>
          <w:rFonts w:ascii="Calibri" w:hAnsi="Calibri" w:cs="Calibri"/>
        </w:rPr>
        <w:t xml:space="preserve"> cults (Heffron, 2016:25). What Heffron (2016:26) acknowledges is that combined practices create a new unique religious niche that does not align with other parts of Anatolia or the Near East of the time, it is majorly reflected in the architecture of </w:t>
      </w:r>
      <w:r w:rsidR="006839A6" w:rsidRPr="006839A6">
        <w:rPr>
          <w:rFonts w:ascii="Calibri" w:hAnsi="Calibri" w:cs="Calibri"/>
        </w:rPr>
        <w:t>Kültepe-Kaneš</w:t>
      </w:r>
      <w:r w:rsidR="006839A6">
        <w:rPr>
          <w:rFonts w:ascii="Calibri" w:hAnsi="Calibri" w:cs="Calibri"/>
        </w:rPr>
        <w:t>, especially in the two – suspected – temples built upon the Upper Mo</w:t>
      </w:r>
      <w:r w:rsidR="003D6D9B">
        <w:rPr>
          <w:rFonts w:ascii="Calibri" w:hAnsi="Calibri" w:cs="Calibri"/>
        </w:rPr>
        <w:t>unt</w:t>
      </w:r>
      <w:r w:rsidR="006839A6">
        <w:rPr>
          <w:rFonts w:ascii="Calibri" w:hAnsi="Calibri" w:cs="Calibri"/>
        </w:rPr>
        <w:t xml:space="preserve"> which reflect architectural features of Urartian temples; Heffron does point out that she is relying on another author’s claim that these buildings are even temples as they lack any kind of sacred iconography</w:t>
      </w:r>
      <w:r w:rsidR="00980A1E">
        <w:rPr>
          <w:rFonts w:ascii="Calibri" w:hAnsi="Calibri" w:cs="Calibri"/>
        </w:rPr>
        <w:t xml:space="preserve"> of deities or distinct altars but being built in such a sacred place is enough to classify them as religious in nature.</w:t>
      </w:r>
      <w:r w:rsidR="006839A6">
        <w:rPr>
          <w:rFonts w:ascii="Calibri" w:hAnsi="Calibri" w:cs="Calibri"/>
          <w:vanish/>
        </w:rPr>
        <w:t xml:space="preserve">effrom </w:t>
      </w:r>
    </w:p>
    <w:p w14:paraId="58360EAC" w14:textId="41E47AF6" w:rsidR="00D07A18" w:rsidRDefault="00BF7099" w:rsidP="006517F2">
      <w:pPr>
        <w:spacing w:line="276" w:lineRule="auto"/>
        <w:ind w:firstLine="720"/>
        <w:jc w:val="both"/>
        <w:rPr>
          <w:rFonts w:ascii="Calibri" w:hAnsi="Calibri" w:cs="Calibri"/>
        </w:rPr>
      </w:pPr>
      <w:r>
        <w:rPr>
          <w:rFonts w:ascii="Calibri" w:hAnsi="Calibri" w:cs="Calibri"/>
        </w:rPr>
        <w:t>This is o</w:t>
      </w:r>
      <w:r w:rsidR="00D07A18">
        <w:rPr>
          <w:rFonts w:ascii="Calibri" w:hAnsi="Calibri" w:cs="Calibri"/>
        </w:rPr>
        <w:t xml:space="preserve">ne of the notable strengths of Heffron’s article </w:t>
      </w:r>
      <w:r>
        <w:rPr>
          <w:rFonts w:ascii="Calibri" w:hAnsi="Calibri" w:cs="Calibri"/>
        </w:rPr>
        <w:t xml:space="preserve">as </w:t>
      </w:r>
      <w:r w:rsidR="00D07A18">
        <w:rPr>
          <w:rFonts w:ascii="Calibri" w:hAnsi="Calibri" w:cs="Calibri"/>
        </w:rPr>
        <w:t xml:space="preserve"> it draws attention to an understudied aspect of ancient Near Eastern religion; by focusing on religion at </w:t>
      </w:r>
      <w:r w:rsidR="00D07A18" w:rsidRPr="00D07A18">
        <w:rPr>
          <w:rFonts w:ascii="Calibri" w:hAnsi="Calibri" w:cs="Calibri"/>
        </w:rPr>
        <w:t>Kültepe-Kaneš</w:t>
      </w:r>
      <w:r w:rsidR="00D07A18">
        <w:rPr>
          <w:rFonts w:ascii="Calibri" w:hAnsi="Calibri" w:cs="Calibri"/>
        </w:rPr>
        <w:t xml:space="preserve"> she </w:t>
      </w:r>
      <w:proofErr w:type="gramStart"/>
      <w:r w:rsidR="00D07A18">
        <w:rPr>
          <w:rFonts w:ascii="Calibri" w:hAnsi="Calibri" w:cs="Calibri"/>
        </w:rPr>
        <w:t>is able to</w:t>
      </w:r>
      <w:proofErr w:type="gramEnd"/>
      <w:r w:rsidR="00D07A18">
        <w:rPr>
          <w:rFonts w:ascii="Calibri" w:hAnsi="Calibri" w:cs="Calibri"/>
        </w:rPr>
        <w:t xml:space="preserve"> directly address the Assyro-Anatolian hybrid religion that takes place here. </w:t>
      </w:r>
      <w:r w:rsidR="006517F2">
        <w:rPr>
          <w:rFonts w:ascii="Calibri" w:hAnsi="Calibri" w:cs="Calibri"/>
        </w:rPr>
        <w:t xml:space="preserve">Instead of treating Assyrian and Anatolian beliefs as sperate and isolated phenomena she is able highlight how cultural hybridity can occur and is valuable; Heffron </w:t>
      </w:r>
      <w:r>
        <w:rPr>
          <w:rFonts w:ascii="Calibri" w:hAnsi="Calibri" w:cs="Calibri"/>
        </w:rPr>
        <w:t xml:space="preserve">uses the example of how priests in </w:t>
      </w:r>
      <w:r w:rsidRPr="006517F2">
        <w:rPr>
          <w:rFonts w:ascii="Calibri" w:hAnsi="Calibri" w:cs="Calibri"/>
        </w:rPr>
        <w:t>Kültepe-Kaneš</w:t>
      </w:r>
      <w:r>
        <w:rPr>
          <w:rFonts w:ascii="Calibri" w:hAnsi="Calibri" w:cs="Calibri"/>
        </w:rPr>
        <w:t xml:space="preserve"> worshipped gods and goddess attributed to the Assyrians, such as </w:t>
      </w:r>
      <w:proofErr w:type="spellStart"/>
      <w:r>
        <w:rPr>
          <w:rFonts w:ascii="Calibri" w:hAnsi="Calibri" w:cs="Calibri"/>
        </w:rPr>
        <w:t>Aššur</w:t>
      </w:r>
      <w:proofErr w:type="spellEnd"/>
      <w:r>
        <w:rPr>
          <w:rFonts w:ascii="Calibri" w:hAnsi="Calibri" w:cs="Calibri"/>
        </w:rPr>
        <w:t xml:space="preserve"> and </w:t>
      </w:r>
      <w:proofErr w:type="spellStart"/>
      <w:r>
        <w:rPr>
          <w:rFonts w:ascii="Calibri" w:hAnsi="Calibri" w:cs="Calibri"/>
        </w:rPr>
        <w:t>Ištar</w:t>
      </w:r>
      <w:proofErr w:type="spellEnd"/>
      <w:r>
        <w:rPr>
          <w:rFonts w:ascii="Calibri" w:hAnsi="Calibri" w:cs="Calibri"/>
        </w:rPr>
        <w:t xml:space="preserve">, alongside Anatolian ‘divinities’, such as </w:t>
      </w:r>
      <w:proofErr w:type="spellStart"/>
      <w:r>
        <w:rPr>
          <w:rFonts w:ascii="Calibri" w:hAnsi="Calibri" w:cs="Calibri"/>
        </w:rPr>
        <w:t>Peruwa</w:t>
      </w:r>
      <w:proofErr w:type="spellEnd"/>
      <w:r>
        <w:rPr>
          <w:rFonts w:ascii="Calibri" w:hAnsi="Calibri" w:cs="Calibri"/>
        </w:rPr>
        <w:t xml:space="preserve"> and </w:t>
      </w:r>
      <w:proofErr w:type="spellStart"/>
      <w:r>
        <w:rPr>
          <w:rFonts w:ascii="Calibri" w:hAnsi="Calibri" w:cs="Calibri"/>
        </w:rPr>
        <w:t>Kubabat</w:t>
      </w:r>
      <w:proofErr w:type="spellEnd"/>
      <w:r w:rsidR="006517F2">
        <w:rPr>
          <w:rFonts w:ascii="Calibri" w:hAnsi="Calibri" w:cs="Calibri"/>
        </w:rPr>
        <w:t xml:space="preserve">. This invites for a more nuanced understanding of how religious beliefs and ritual behaviours were shaped by the long-term interactions, migrations, and trade along </w:t>
      </w:r>
      <w:r w:rsidR="006517F2" w:rsidRPr="006517F2">
        <w:rPr>
          <w:rFonts w:ascii="Calibri" w:hAnsi="Calibri" w:cs="Calibri"/>
        </w:rPr>
        <w:t>Kültepe-Kaneš</w:t>
      </w:r>
      <w:r w:rsidR="006517F2">
        <w:rPr>
          <w:rFonts w:ascii="Calibri" w:hAnsi="Calibri" w:cs="Calibri"/>
        </w:rPr>
        <w:t xml:space="preserve">’s trade network. In this respect, Heffron’s study of religious space in </w:t>
      </w:r>
      <w:r w:rsidR="006517F2" w:rsidRPr="006517F2">
        <w:rPr>
          <w:rFonts w:ascii="Calibri" w:hAnsi="Calibri" w:cs="Calibri"/>
        </w:rPr>
        <w:t>Kültepe-Kaneš</w:t>
      </w:r>
      <w:r w:rsidR="006517F2">
        <w:rPr>
          <w:rFonts w:ascii="Calibri" w:hAnsi="Calibri" w:cs="Calibri"/>
        </w:rPr>
        <w:t xml:space="preserve"> </w:t>
      </w:r>
      <w:proofErr w:type="gramStart"/>
      <w:r w:rsidR="006517F2">
        <w:rPr>
          <w:rFonts w:ascii="Calibri" w:hAnsi="Calibri" w:cs="Calibri"/>
        </w:rPr>
        <w:t>is able to</w:t>
      </w:r>
      <w:proofErr w:type="gramEnd"/>
      <w:r w:rsidR="006517F2">
        <w:rPr>
          <w:rFonts w:ascii="Calibri" w:hAnsi="Calibri" w:cs="Calibri"/>
        </w:rPr>
        <w:t xml:space="preserve"> make a broader contribution to discussions of identity and cultural exchange in Bronze Age Anatolia.</w:t>
      </w:r>
    </w:p>
    <w:p w14:paraId="681AF1FB" w14:textId="160F159F" w:rsidR="003D6D9B" w:rsidRDefault="003D6D9B" w:rsidP="005B4F75">
      <w:pPr>
        <w:spacing w:line="276" w:lineRule="auto"/>
        <w:ind w:firstLine="720"/>
        <w:jc w:val="both"/>
        <w:rPr>
          <w:rFonts w:ascii="Calibri" w:hAnsi="Calibri" w:cs="Calibri"/>
        </w:rPr>
      </w:pPr>
      <w:r>
        <w:rPr>
          <w:rFonts w:ascii="Calibri" w:hAnsi="Calibri" w:cs="Calibri"/>
        </w:rPr>
        <w:lastRenderedPageBreak/>
        <w:t xml:space="preserve">As Heffron is specifically writing about the stelae found at </w:t>
      </w:r>
      <w:r w:rsidRPr="003D6D9B">
        <w:rPr>
          <w:rFonts w:ascii="Calibri" w:hAnsi="Calibri" w:cs="Calibri"/>
        </w:rPr>
        <w:t>Kültepe-Kaneš</w:t>
      </w:r>
      <w:r>
        <w:rPr>
          <w:rFonts w:ascii="Calibri" w:hAnsi="Calibri" w:cs="Calibri"/>
        </w:rPr>
        <w:t xml:space="preserve"> and its relevance to religious space a large section is dedicated to describing them and how they function as a ritual space within a domestic space. </w:t>
      </w:r>
      <w:r w:rsidR="005B4F75">
        <w:rPr>
          <w:rFonts w:ascii="Calibri" w:hAnsi="Calibri" w:cs="Calibri"/>
        </w:rPr>
        <w:t>Although she offers a detailed description of the stelae and their ritual contexts, she does not provide a definition of what a stele is. The omission of this may hinder readers who find themselves unfamiliar with the concept; this article could be strengthened by a clear definition of stele being provided to assist the reader. A stele is generally understood to be a stone or wooden slab that is taller than it is wide that can have many functions including marking graves, decorations, and for ritual practices (Britannica, 2025).</w:t>
      </w:r>
    </w:p>
    <w:p w14:paraId="7109C6AE" w14:textId="4E3CC27E" w:rsidR="005B4F75" w:rsidRDefault="005B4F75" w:rsidP="005B4F75">
      <w:pPr>
        <w:spacing w:line="276" w:lineRule="auto"/>
        <w:ind w:firstLine="720"/>
        <w:jc w:val="both"/>
        <w:rPr>
          <w:rFonts w:ascii="Calibri" w:hAnsi="Calibri" w:cs="Calibri"/>
        </w:rPr>
      </w:pPr>
      <w:r>
        <w:rPr>
          <w:rFonts w:ascii="Calibri" w:hAnsi="Calibri" w:cs="Calibri"/>
        </w:rPr>
        <w:t xml:space="preserve">A point of potential weakness is the article is found in the extensive descriptions of each stele and where they were found. While the detail in the documentation is </w:t>
      </w:r>
      <w:proofErr w:type="gramStart"/>
      <w:r>
        <w:rPr>
          <w:rFonts w:ascii="Calibri" w:hAnsi="Calibri" w:cs="Calibri"/>
        </w:rPr>
        <w:t>a valuable asset</w:t>
      </w:r>
      <w:proofErr w:type="gramEnd"/>
      <w:r>
        <w:rPr>
          <w:rFonts w:ascii="Calibri" w:hAnsi="Calibri" w:cs="Calibri"/>
        </w:rPr>
        <w:t xml:space="preserve"> to the work, the level of repetition becomes redundant as stele generally share broad and similar characteristics: large carved surfaces that tapper i</w:t>
      </w:r>
      <w:r w:rsidR="004E1908">
        <w:rPr>
          <w:rFonts w:ascii="Calibri" w:hAnsi="Calibri" w:cs="Calibri"/>
        </w:rPr>
        <w:t>n form to create a triangular shape (Heffron, 2016:27). Although the contextualisation Heffron offers enriches the discussion by illustrating how steles are used and may influence domestic and ritual practice, the description draws focus away from the core of the article being about ho</w:t>
      </w:r>
      <w:r w:rsidR="00BF7099">
        <w:rPr>
          <w:rFonts w:ascii="Calibri" w:hAnsi="Calibri" w:cs="Calibri"/>
        </w:rPr>
        <w:t>w</w:t>
      </w:r>
      <w:r w:rsidR="004E1908">
        <w:rPr>
          <w:rFonts w:ascii="Calibri" w:hAnsi="Calibri" w:cs="Calibri"/>
        </w:rPr>
        <w:t xml:space="preserve"> stelae are related to religious space. </w:t>
      </w:r>
    </w:p>
    <w:p w14:paraId="7BBB575E" w14:textId="4367AB45" w:rsidR="00AE399A" w:rsidRDefault="00AE399A" w:rsidP="005B4F75">
      <w:pPr>
        <w:spacing w:line="276" w:lineRule="auto"/>
        <w:ind w:firstLine="720"/>
        <w:jc w:val="both"/>
        <w:rPr>
          <w:rFonts w:ascii="Calibri" w:hAnsi="Calibri" w:cs="Calibri"/>
        </w:rPr>
      </w:pPr>
      <w:r>
        <w:rPr>
          <w:rFonts w:ascii="Calibri" w:hAnsi="Calibri" w:cs="Calibri"/>
        </w:rPr>
        <w:t xml:space="preserve">Although the article </w:t>
      </w:r>
      <w:proofErr w:type="gramStart"/>
      <w:r>
        <w:rPr>
          <w:rFonts w:ascii="Calibri" w:hAnsi="Calibri" w:cs="Calibri"/>
        </w:rPr>
        <w:t>fairly short</w:t>
      </w:r>
      <w:proofErr w:type="gramEnd"/>
      <w:r>
        <w:rPr>
          <w:rFonts w:ascii="Calibri" w:hAnsi="Calibri" w:cs="Calibri"/>
        </w:rPr>
        <w:t xml:space="preserve">, just 20 pages with the inclusion of maps and diagrams (Heffron, 2016:27-31, 34), its readability can be affected by the way the information is presented. Though it may be a personal fault, seeing the journal article presented in a two collum format made the reading of this text more daunting. This paired with excessive descriptions added up to a laborious reading experience that was not totally enjoyable. The most relevant portion of the article, where Heffron starts explaining how stelae are used within the domestic space (2016:33, 35), takes almost 10 pages to get to which resulted in lost momentum to finish the text. This choice to front load so much information about how the stelae look makes the article feel somewhat disjointed and seems to give the impression that it goes on forever. </w:t>
      </w:r>
    </w:p>
    <w:p w14:paraId="3518FA27" w14:textId="765627BC" w:rsidR="00BF7099" w:rsidRDefault="00BF7099" w:rsidP="005B4F75">
      <w:pPr>
        <w:spacing w:line="276" w:lineRule="auto"/>
        <w:ind w:firstLine="720"/>
        <w:jc w:val="both"/>
        <w:rPr>
          <w:rFonts w:ascii="Calibri" w:hAnsi="Calibri" w:cs="Calibri"/>
        </w:rPr>
      </w:pPr>
      <w:r>
        <w:rPr>
          <w:rFonts w:ascii="Calibri" w:hAnsi="Calibri" w:cs="Calibri"/>
        </w:rPr>
        <w:t>The</w:t>
      </w:r>
      <w:r w:rsidR="00BB009A">
        <w:rPr>
          <w:rFonts w:ascii="Calibri" w:hAnsi="Calibri" w:cs="Calibri"/>
        </w:rPr>
        <w:t xml:space="preserve"> significant section of the article that drew my attention to it is the discussion of ritual use of the stelae and how they interact with domestic space. It raises the question of what makes a space sacred or religious versus just a domestic living space. Heffron makes strong arguments towards how much to the symbolism and ritual that is attributed to Syrian tradition yet is found in this Anatolian site (2016:32). It is a great example of how cultural hybridity is being completed as the Anatolian people of </w:t>
      </w:r>
      <w:r w:rsidR="00BB009A" w:rsidRPr="006517F2">
        <w:rPr>
          <w:rFonts w:ascii="Calibri" w:hAnsi="Calibri" w:cs="Calibri"/>
        </w:rPr>
        <w:t>Kültepe-Kaneš</w:t>
      </w:r>
      <w:r w:rsidR="00BB009A">
        <w:rPr>
          <w:rFonts w:ascii="Calibri" w:hAnsi="Calibri" w:cs="Calibri"/>
        </w:rPr>
        <w:t xml:space="preserve"> take part in rituals – in this case using the Stelae to mark graves – that would not normally be associated with them but there is still a question on mind after reading this: marking graves is a common practice through the world, why does Heffron suggest that the use of Stelae, large intricate stones of significance, being used to mark graves is a purely Syrian tradition? The concept of the stelae representing a ‘living corpse’ is interesting, it relates to how the cult of the dead is interpreted in </w:t>
      </w:r>
      <w:proofErr w:type="spellStart"/>
      <w:r w:rsidR="00BB009A" w:rsidRPr="006517F2">
        <w:rPr>
          <w:rFonts w:ascii="Calibri" w:hAnsi="Calibri" w:cs="Calibri"/>
        </w:rPr>
        <w:t>Kaneš</w:t>
      </w:r>
      <w:r w:rsidR="00BB009A">
        <w:rPr>
          <w:rFonts w:ascii="Calibri" w:hAnsi="Calibri" w:cs="Calibri"/>
        </w:rPr>
        <w:t>ean</w:t>
      </w:r>
      <w:proofErr w:type="spellEnd"/>
      <w:r w:rsidR="00BB009A">
        <w:rPr>
          <w:rFonts w:ascii="Calibri" w:hAnsi="Calibri" w:cs="Calibri"/>
        </w:rPr>
        <w:t xml:space="preserve"> culture and ties into how the home can be incorporated into funerary rites as many of the stelae are found in homes because </w:t>
      </w:r>
      <w:r w:rsidR="00BB009A" w:rsidRPr="006517F2">
        <w:rPr>
          <w:rFonts w:ascii="Calibri" w:hAnsi="Calibri" w:cs="Calibri"/>
        </w:rPr>
        <w:t>Kültepe-Kaneš</w:t>
      </w:r>
      <w:r w:rsidR="00BB009A">
        <w:rPr>
          <w:rFonts w:ascii="Calibri" w:hAnsi="Calibri" w:cs="Calibri"/>
        </w:rPr>
        <w:t xml:space="preserve"> does not have any shrines or temples in the Lower Town.</w:t>
      </w:r>
    </w:p>
    <w:p w14:paraId="7AEBAD49" w14:textId="1C46D557" w:rsidR="00287898" w:rsidRDefault="00207EBA" w:rsidP="005B4F75">
      <w:pPr>
        <w:spacing w:line="276" w:lineRule="auto"/>
        <w:ind w:firstLine="720"/>
        <w:jc w:val="both"/>
        <w:rPr>
          <w:rFonts w:ascii="Calibri" w:hAnsi="Calibri" w:cs="Calibri"/>
        </w:rPr>
      </w:pPr>
      <w:r>
        <w:rPr>
          <w:rFonts w:ascii="Calibri" w:hAnsi="Calibri" w:cs="Calibri"/>
        </w:rPr>
        <w:t xml:space="preserve">This article makes a significant contribution to an academic space that I had never considered before: a religious niche were two different cultures blend at one site. This article’s greatest strength is how it </w:t>
      </w:r>
      <w:proofErr w:type="gramStart"/>
      <w:r>
        <w:rPr>
          <w:rFonts w:ascii="Calibri" w:hAnsi="Calibri" w:cs="Calibri"/>
        </w:rPr>
        <w:t>is able to</w:t>
      </w:r>
      <w:proofErr w:type="gramEnd"/>
      <w:r>
        <w:rPr>
          <w:rFonts w:ascii="Calibri" w:hAnsi="Calibri" w:cs="Calibri"/>
        </w:rPr>
        <w:t xml:space="preserve"> contextualise the stones and generate visual imagery of how they exist in situ, although photographs of the</w:t>
      </w:r>
      <w:r w:rsidR="00746B0B">
        <w:rPr>
          <w:rFonts w:ascii="Calibri" w:hAnsi="Calibri" w:cs="Calibri"/>
        </w:rPr>
        <w:t xml:space="preserve">m would have been more desirable than the drawings that were provided. Together, the elements of the domestic world and the ritualistic aspect of the stelae coming together to show how different beliefs blend. Despite the perceived limitations of Heffron’s work it </w:t>
      </w:r>
      <w:proofErr w:type="gramStart"/>
      <w:r w:rsidR="00746B0B">
        <w:rPr>
          <w:rFonts w:ascii="Calibri" w:hAnsi="Calibri" w:cs="Calibri"/>
        </w:rPr>
        <w:t>still remains</w:t>
      </w:r>
      <w:proofErr w:type="gramEnd"/>
      <w:r w:rsidR="00746B0B">
        <w:rPr>
          <w:rFonts w:ascii="Calibri" w:hAnsi="Calibri" w:cs="Calibri"/>
        </w:rPr>
        <w:t xml:space="preserve"> </w:t>
      </w:r>
      <w:r w:rsidR="00746B0B">
        <w:rPr>
          <w:rFonts w:ascii="Calibri" w:hAnsi="Calibri" w:cs="Calibri"/>
        </w:rPr>
        <w:lastRenderedPageBreak/>
        <w:t xml:space="preserve">a value resource for future scholarship, offering a strong framework that can inform future discussions of domestic and ritual that is interlaced in Assyrian and Anatolian culture found at </w:t>
      </w:r>
      <w:r w:rsidR="00746B0B" w:rsidRPr="006517F2">
        <w:rPr>
          <w:rFonts w:ascii="Calibri" w:hAnsi="Calibri" w:cs="Calibri"/>
        </w:rPr>
        <w:t>Kültepe-Kaneš</w:t>
      </w:r>
      <w:r w:rsidR="00746B0B">
        <w:rPr>
          <w:rFonts w:ascii="Calibri" w:hAnsi="Calibri" w:cs="Calibri"/>
        </w:rPr>
        <w:t>.</w:t>
      </w:r>
    </w:p>
    <w:p w14:paraId="64732353" w14:textId="77777777" w:rsidR="00287898" w:rsidRDefault="00287898">
      <w:pPr>
        <w:rPr>
          <w:rFonts w:ascii="Calibri" w:hAnsi="Calibri" w:cs="Calibri"/>
        </w:rPr>
      </w:pPr>
      <w:r>
        <w:rPr>
          <w:rFonts w:ascii="Calibri" w:hAnsi="Calibri" w:cs="Calibri"/>
        </w:rPr>
        <w:br w:type="page"/>
      </w:r>
    </w:p>
    <w:p w14:paraId="354CC860" w14:textId="77777777" w:rsidR="00287898" w:rsidRPr="00287898" w:rsidRDefault="00287898" w:rsidP="00287898">
      <w:pPr>
        <w:spacing w:line="276" w:lineRule="auto"/>
        <w:ind w:firstLine="720"/>
        <w:rPr>
          <w:rFonts w:ascii="Calibri" w:hAnsi="Calibri" w:cs="Calibri"/>
          <w:b/>
          <w:bCs/>
        </w:rPr>
      </w:pPr>
      <w:r w:rsidRPr="00287898">
        <w:rPr>
          <w:rFonts w:ascii="Calibri" w:hAnsi="Calibri" w:cs="Calibri"/>
          <w:b/>
          <w:bCs/>
        </w:rPr>
        <w:lastRenderedPageBreak/>
        <w:t>Reference list</w:t>
      </w:r>
    </w:p>
    <w:p w14:paraId="5DAFD248" w14:textId="77777777" w:rsidR="00287898" w:rsidRPr="00287898" w:rsidRDefault="00287898" w:rsidP="00287898">
      <w:pPr>
        <w:spacing w:line="276" w:lineRule="auto"/>
        <w:ind w:firstLine="720"/>
        <w:rPr>
          <w:rFonts w:ascii="Calibri" w:hAnsi="Calibri" w:cs="Calibri"/>
        </w:rPr>
      </w:pPr>
      <w:r w:rsidRPr="00287898">
        <w:rPr>
          <w:rFonts w:ascii="Calibri" w:hAnsi="Calibri" w:cs="Calibri"/>
        </w:rPr>
        <w:t xml:space="preserve">Britannica (2025). </w:t>
      </w:r>
      <w:r w:rsidRPr="00287898">
        <w:rPr>
          <w:rFonts w:ascii="Calibri" w:hAnsi="Calibri" w:cs="Calibri"/>
          <w:i/>
          <w:iCs/>
        </w:rPr>
        <w:t>Stela</w:t>
      </w:r>
      <w:r w:rsidRPr="00287898">
        <w:rPr>
          <w:rFonts w:ascii="Calibri" w:hAnsi="Calibri" w:cs="Calibri"/>
        </w:rPr>
        <w:t xml:space="preserve">. [online] </w:t>
      </w:r>
      <w:proofErr w:type="spellStart"/>
      <w:r w:rsidRPr="00287898">
        <w:rPr>
          <w:rFonts w:ascii="Calibri" w:hAnsi="Calibri" w:cs="Calibri"/>
        </w:rPr>
        <w:t>Encyclopedia</w:t>
      </w:r>
      <w:proofErr w:type="spellEnd"/>
      <w:r w:rsidRPr="00287898">
        <w:rPr>
          <w:rFonts w:ascii="Calibri" w:hAnsi="Calibri" w:cs="Calibri"/>
        </w:rPr>
        <w:t xml:space="preserve"> Britannica. Available at: https://www.britannica.com/topic/stela.</w:t>
      </w:r>
    </w:p>
    <w:p w14:paraId="3D22F1F8" w14:textId="77777777" w:rsidR="00287898" w:rsidRPr="00287898" w:rsidRDefault="00287898" w:rsidP="00287898">
      <w:pPr>
        <w:spacing w:line="276" w:lineRule="auto"/>
        <w:ind w:firstLine="720"/>
        <w:rPr>
          <w:rFonts w:ascii="Calibri" w:hAnsi="Calibri" w:cs="Calibri"/>
        </w:rPr>
      </w:pPr>
      <w:r w:rsidRPr="00287898">
        <w:rPr>
          <w:rFonts w:ascii="Calibri" w:hAnsi="Calibri" w:cs="Calibri"/>
        </w:rPr>
        <w:t xml:space="preserve">Ezer, S. (2014). Kültepe-Kanesh in the Early Bronze Age. In: L. Atici, F. </w:t>
      </w:r>
      <w:proofErr w:type="spellStart"/>
      <w:r w:rsidRPr="00287898">
        <w:rPr>
          <w:rFonts w:ascii="Calibri" w:hAnsi="Calibri" w:cs="Calibri"/>
        </w:rPr>
        <w:t>Kulakoğlu</w:t>
      </w:r>
      <w:proofErr w:type="spellEnd"/>
      <w:r w:rsidRPr="00287898">
        <w:rPr>
          <w:rFonts w:ascii="Calibri" w:hAnsi="Calibri" w:cs="Calibri"/>
        </w:rPr>
        <w:t xml:space="preserve">, G. </w:t>
      </w:r>
      <w:proofErr w:type="spellStart"/>
      <w:r w:rsidRPr="00287898">
        <w:rPr>
          <w:rFonts w:ascii="Calibri" w:hAnsi="Calibri" w:cs="Calibri"/>
        </w:rPr>
        <w:t>Barjamovic</w:t>
      </w:r>
      <w:proofErr w:type="spellEnd"/>
      <w:r w:rsidRPr="00287898">
        <w:rPr>
          <w:rFonts w:ascii="Calibri" w:hAnsi="Calibri" w:cs="Calibri"/>
        </w:rPr>
        <w:t xml:space="preserve"> and A. Fairbairn, eds., </w:t>
      </w:r>
      <w:r w:rsidRPr="00287898">
        <w:rPr>
          <w:rFonts w:ascii="Calibri" w:hAnsi="Calibri" w:cs="Calibri"/>
          <w:i/>
          <w:iCs/>
        </w:rPr>
        <w:t>Journal of Cuneiform Studies Supplemental Series</w:t>
      </w:r>
      <w:r w:rsidRPr="00287898">
        <w:rPr>
          <w:rFonts w:ascii="Calibri" w:hAnsi="Calibri" w:cs="Calibri"/>
        </w:rPr>
        <w:t>. Atlanta: Lockwood Press, pp.5–24.</w:t>
      </w:r>
    </w:p>
    <w:p w14:paraId="00A97A75" w14:textId="77777777" w:rsidR="00287898" w:rsidRPr="00287898" w:rsidRDefault="00287898" w:rsidP="00287898">
      <w:pPr>
        <w:spacing w:line="276" w:lineRule="auto"/>
        <w:ind w:firstLine="720"/>
        <w:rPr>
          <w:rFonts w:ascii="Calibri" w:hAnsi="Calibri" w:cs="Calibri"/>
        </w:rPr>
      </w:pPr>
      <w:r w:rsidRPr="00287898">
        <w:rPr>
          <w:rFonts w:ascii="Calibri" w:hAnsi="Calibri" w:cs="Calibri"/>
        </w:rPr>
        <w:t xml:space="preserve">Heffron, Y. (2016). Stone stelae and religious space at </w:t>
      </w:r>
      <w:proofErr w:type="spellStart"/>
      <w:r w:rsidRPr="00287898">
        <w:rPr>
          <w:rFonts w:ascii="Calibri" w:hAnsi="Calibri" w:cs="Calibri"/>
        </w:rPr>
        <w:t>KültepeKaneš</w:t>
      </w:r>
      <w:proofErr w:type="spellEnd"/>
      <w:r w:rsidRPr="00287898">
        <w:rPr>
          <w:rFonts w:ascii="Calibri" w:hAnsi="Calibri" w:cs="Calibri"/>
        </w:rPr>
        <w:t xml:space="preserve">. </w:t>
      </w:r>
      <w:r w:rsidRPr="00287898">
        <w:rPr>
          <w:rFonts w:ascii="Calibri" w:hAnsi="Calibri" w:cs="Calibri"/>
          <w:i/>
          <w:iCs/>
        </w:rPr>
        <w:t>Anatolian Studies</w:t>
      </w:r>
      <w:r w:rsidRPr="00287898">
        <w:rPr>
          <w:rFonts w:ascii="Calibri" w:hAnsi="Calibri" w:cs="Calibri"/>
        </w:rPr>
        <w:t>, [online] 66, pp.23–42. Available at: https://www.jstor.org/stable/24878362.</w:t>
      </w:r>
    </w:p>
    <w:p w14:paraId="00CB994C" w14:textId="77777777" w:rsidR="00287898" w:rsidRPr="00287898" w:rsidRDefault="00287898" w:rsidP="00287898">
      <w:pPr>
        <w:spacing w:line="276" w:lineRule="auto"/>
        <w:ind w:firstLine="720"/>
        <w:rPr>
          <w:rFonts w:ascii="Calibri" w:hAnsi="Calibri" w:cs="Calibri"/>
        </w:rPr>
      </w:pPr>
      <w:r w:rsidRPr="00287898">
        <w:rPr>
          <w:rFonts w:ascii="Calibri" w:hAnsi="Calibri" w:cs="Calibri"/>
        </w:rPr>
        <w:t xml:space="preserve">UNESCO (2018). </w:t>
      </w:r>
      <w:r w:rsidRPr="00287898">
        <w:rPr>
          <w:rFonts w:ascii="Calibri" w:hAnsi="Calibri" w:cs="Calibri"/>
          <w:i/>
          <w:iCs/>
        </w:rPr>
        <w:t>Archaeological Site of Kültepe-Kanesh</w:t>
      </w:r>
      <w:r w:rsidRPr="00287898">
        <w:rPr>
          <w:rFonts w:ascii="Calibri" w:hAnsi="Calibri" w:cs="Calibri"/>
        </w:rPr>
        <w:t>. [online] Unesco.org. Available at: https://whc.unesco.org/en/tentativelists/5905/.</w:t>
      </w:r>
    </w:p>
    <w:p w14:paraId="088CCAA5" w14:textId="77777777" w:rsidR="00207EBA" w:rsidRDefault="00207EBA" w:rsidP="005B4F75">
      <w:pPr>
        <w:spacing w:line="276" w:lineRule="auto"/>
        <w:ind w:firstLine="720"/>
        <w:jc w:val="both"/>
        <w:rPr>
          <w:rFonts w:ascii="Calibri" w:hAnsi="Calibri" w:cs="Calibri"/>
        </w:rPr>
      </w:pPr>
    </w:p>
    <w:sectPr w:rsidR="00207EB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F8D55" w14:textId="77777777" w:rsidR="002107CA" w:rsidRDefault="002107CA" w:rsidP="002107CA">
      <w:pPr>
        <w:spacing w:after="0" w:line="240" w:lineRule="auto"/>
      </w:pPr>
      <w:r>
        <w:separator/>
      </w:r>
    </w:p>
  </w:endnote>
  <w:endnote w:type="continuationSeparator" w:id="0">
    <w:p w14:paraId="39CA1E95" w14:textId="77777777" w:rsidR="002107CA" w:rsidRDefault="002107CA" w:rsidP="00210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3597B" w14:textId="77777777" w:rsidR="002107CA" w:rsidRDefault="002107CA" w:rsidP="002107CA">
      <w:pPr>
        <w:spacing w:after="0" w:line="240" w:lineRule="auto"/>
      </w:pPr>
      <w:r>
        <w:separator/>
      </w:r>
    </w:p>
  </w:footnote>
  <w:footnote w:type="continuationSeparator" w:id="0">
    <w:p w14:paraId="29995EE3" w14:textId="77777777" w:rsidR="002107CA" w:rsidRDefault="002107CA" w:rsidP="00210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7E43C" w14:textId="11F05433" w:rsidR="002107CA" w:rsidRPr="002107CA" w:rsidRDefault="002107CA" w:rsidP="002107CA">
    <w:pPr>
      <w:pStyle w:val="Header"/>
      <w:jc w:val="center"/>
      <w:rPr>
        <w:rFonts w:ascii="Calibri" w:hAnsi="Calibri" w:cs="Calibri"/>
        <w:b/>
        <w:bCs/>
        <w:sz w:val="24"/>
        <w:szCs w:val="24"/>
      </w:rPr>
    </w:pPr>
    <w:r w:rsidRPr="002107CA">
      <w:rPr>
        <w:rFonts w:ascii="Calibri" w:hAnsi="Calibri" w:cs="Calibri"/>
        <w:b/>
        <w:bCs/>
        <w:sz w:val="24"/>
        <w:szCs w:val="24"/>
      </w:rPr>
      <w:t>Critical Review of “</w:t>
    </w:r>
    <w:r w:rsidR="002D5D72">
      <w:rPr>
        <w:rFonts w:ascii="Calibri" w:hAnsi="Calibri" w:cs="Calibri"/>
        <w:b/>
        <w:bCs/>
        <w:sz w:val="24"/>
        <w:szCs w:val="24"/>
      </w:rPr>
      <w:t>Stone Stelae and Religious Space at Kültepe-Kaneš</w:t>
    </w:r>
    <w:r w:rsidRPr="002107CA">
      <w:rPr>
        <w:rFonts w:ascii="Calibri" w:hAnsi="Calibri" w:cs="Calibri"/>
        <w:b/>
        <w:bCs/>
        <w:sz w:val="24"/>
        <w:szCs w:val="24"/>
      </w:rPr>
      <w:t xml:space="preserve">” by </w:t>
    </w:r>
    <w:r w:rsidR="002D5D72">
      <w:rPr>
        <w:rFonts w:ascii="Calibri" w:hAnsi="Calibri" w:cs="Calibri"/>
        <w:b/>
        <w:bCs/>
        <w:sz w:val="24"/>
        <w:szCs w:val="24"/>
      </w:rPr>
      <w:t>Yağmur Heffron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7CA"/>
    <w:rsid w:val="000F37E4"/>
    <w:rsid w:val="00207EBA"/>
    <w:rsid w:val="002107CA"/>
    <w:rsid w:val="00287898"/>
    <w:rsid w:val="002D5D72"/>
    <w:rsid w:val="0035645A"/>
    <w:rsid w:val="003736E2"/>
    <w:rsid w:val="003D6D9B"/>
    <w:rsid w:val="004E1908"/>
    <w:rsid w:val="005B4F75"/>
    <w:rsid w:val="005D2223"/>
    <w:rsid w:val="006517F2"/>
    <w:rsid w:val="006839A6"/>
    <w:rsid w:val="00746B0B"/>
    <w:rsid w:val="0086148D"/>
    <w:rsid w:val="00980A1E"/>
    <w:rsid w:val="009F2316"/>
    <w:rsid w:val="00A2577B"/>
    <w:rsid w:val="00AE399A"/>
    <w:rsid w:val="00BB009A"/>
    <w:rsid w:val="00BE5AE1"/>
    <w:rsid w:val="00BF7099"/>
    <w:rsid w:val="00CF3555"/>
    <w:rsid w:val="00D07A18"/>
    <w:rsid w:val="00D658A5"/>
    <w:rsid w:val="00DA4C59"/>
    <w:rsid w:val="00DB48A7"/>
    <w:rsid w:val="00E76B0C"/>
    <w:rsid w:val="00F97C55"/>
    <w:rsid w:val="00FA3200"/>
    <w:rsid w:val="00FD7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E9241"/>
  <w15:chartTrackingRefBased/>
  <w15:docId w15:val="{20562D17-9601-4C27-BCFE-F8F80E52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45A"/>
  </w:style>
  <w:style w:type="paragraph" w:styleId="Heading1">
    <w:name w:val="heading 1"/>
    <w:basedOn w:val="Normal"/>
    <w:next w:val="Normal"/>
    <w:link w:val="Heading1Char"/>
    <w:uiPriority w:val="9"/>
    <w:qFormat/>
    <w:rsid w:val="002107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0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7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7CA"/>
    <w:rPr>
      <w:rFonts w:eastAsiaTheme="majorEastAsia" w:cstheme="majorBidi"/>
      <w:color w:val="272727" w:themeColor="text1" w:themeTint="D8"/>
    </w:rPr>
  </w:style>
  <w:style w:type="paragraph" w:styleId="Title">
    <w:name w:val="Title"/>
    <w:basedOn w:val="Normal"/>
    <w:next w:val="Normal"/>
    <w:link w:val="TitleChar"/>
    <w:uiPriority w:val="10"/>
    <w:qFormat/>
    <w:rsid w:val="00210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7CA"/>
    <w:pPr>
      <w:spacing w:before="160"/>
      <w:jc w:val="center"/>
    </w:pPr>
    <w:rPr>
      <w:i/>
      <w:iCs/>
      <w:color w:val="404040" w:themeColor="text1" w:themeTint="BF"/>
    </w:rPr>
  </w:style>
  <w:style w:type="character" w:customStyle="1" w:styleId="QuoteChar">
    <w:name w:val="Quote Char"/>
    <w:basedOn w:val="DefaultParagraphFont"/>
    <w:link w:val="Quote"/>
    <w:uiPriority w:val="29"/>
    <w:rsid w:val="002107CA"/>
    <w:rPr>
      <w:i/>
      <w:iCs/>
      <w:color w:val="404040" w:themeColor="text1" w:themeTint="BF"/>
    </w:rPr>
  </w:style>
  <w:style w:type="paragraph" w:styleId="ListParagraph">
    <w:name w:val="List Paragraph"/>
    <w:basedOn w:val="Normal"/>
    <w:uiPriority w:val="34"/>
    <w:qFormat/>
    <w:rsid w:val="002107CA"/>
    <w:pPr>
      <w:ind w:left="720"/>
      <w:contextualSpacing/>
    </w:pPr>
  </w:style>
  <w:style w:type="character" w:styleId="IntenseEmphasis">
    <w:name w:val="Intense Emphasis"/>
    <w:basedOn w:val="DefaultParagraphFont"/>
    <w:uiPriority w:val="21"/>
    <w:qFormat/>
    <w:rsid w:val="002107CA"/>
    <w:rPr>
      <w:i/>
      <w:iCs/>
      <w:color w:val="0F4761" w:themeColor="accent1" w:themeShade="BF"/>
    </w:rPr>
  </w:style>
  <w:style w:type="paragraph" w:styleId="IntenseQuote">
    <w:name w:val="Intense Quote"/>
    <w:basedOn w:val="Normal"/>
    <w:next w:val="Normal"/>
    <w:link w:val="IntenseQuoteChar"/>
    <w:uiPriority w:val="30"/>
    <w:qFormat/>
    <w:rsid w:val="00210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7CA"/>
    <w:rPr>
      <w:i/>
      <w:iCs/>
      <w:color w:val="0F4761" w:themeColor="accent1" w:themeShade="BF"/>
    </w:rPr>
  </w:style>
  <w:style w:type="character" w:styleId="IntenseReference">
    <w:name w:val="Intense Reference"/>
    <w:basedOn w:val="DefaultParagraphFont"/>
    <w:uiPriority w:val="32"/>
    <w:qFormat/>
    <w:rsid w:val="002107CA"/>
    <w:rPr>
      <w:b/>
      <w:bCs/>
      <w:smallCaps/>
      <w:color w:val="0F4761" w:themeColor="accent1" w:themeShade="BF"/>
      <w:spacing w:val="5"/>
    </w:rPr>
  </w:style>
  <w:style w:type="paragraph" w:styleId="Header">
    <w:name w:val="header"/>
    <w:basedOn w:val="Normal"/>
    <w:link w:val="HeaderChar"/>
    <w:uiPriority w:val="99"/>
    <w:unhideWhenUsed/>
    <w:rsid w:val="00210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7CA"/>
  </w:style>
  <w:style w:type="paragraph" w:styleId="Footer">
    <w:name w:val="footer"/>
    <w:basedOn w:val="Normal"/>
    <w:link w:val="FooterChar"/>
    <w:uiPriority w:val="99"/>
    <w:unhideWhenUsed/>
    <w:rsid w:val="00210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TotalTime>
  <Pages>4</Pages>
  <Words>1365</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ariennepearce@gmail.com</dc:creator>
  <cp:keywords/>
  <dc:description/>
  <cp:lastModifiedBy>ariennepearce@gmail.com</cp:lastModifiedBy>
  <cp:revision>2</cp:revision>
  <dcterms:created xsi:type="dcterms:W3CDTF">2025-11-21T12:14:00Z</dcterms:created>
  <dcterms:modified xsi:type="dcterms:W3CDTF">2025-11-21T22:01:00Z</dcterms:modified>
</cp:coreProperties>
</file>