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A900D" w14:textId="77777777" w:rsidR="00C42E5A" w:rsidRDefault="00145A2F">
      <w:pPr>
        <w:pBdr>
          <w:top w:val="nil"/>
          <w:left w:val="nil"/>
          <w:bottom w:val="nil"/>
          <w:right w:val="nil"/>
          <w:between w:val="nil"/>
        </w:pBdr>
        <w:spacing w:after="0" w:line="240" w:lineRule="auto"/>
        <w:jc w:val="left"/>
        <w:rPr>
          <w:rFonts w:ascii="Calibri" w:eastAsia="Calibri" w:hAnsi="Calibri" w:cs="Calibri"/>
          <w:color w:val="2F5496"/>
          <w:sz w:val="32"/>
          <w:szCs w:val="32"/>
        </w:rPr>
      </w:pPr>
      <w:r>
        <w:rPr>
          <w:rFonts w:ascii="Calibri" w:eastAsia="Calibri" w:hAnsi="Calibri" w:cs="Calibri"/>
          <w:noProof/>
          <w:color w:val="000000"/>
          <w:sz w:val="22"/>
          <w:szCs w:val="22"/>
        </w:rPr>
        <mc:AlternateContent>
          <mc:Choice Requires="wps">
            <w:drawing>
              <wp:anchor distT="0" distB="0" distL="114300" distR="114300" simplePos="0" relativeHeight="251658240" behindDoc="0" locked="0" layoutInCell="1" hidden="0" allowOverlap="1" wp14:anchorId="758A904B" wp14:editId="758A904C">
                <wp:simplePos x="0" y="0"/>
                <wp:positionH relativeFrom="margin">
                  <wp:align>center</wp:align>
                </wp:positionH>
                <wp:positionV relativeFrom="page">
                  <wp:posOffset>1664970</wp:posOffset>
                </wp:positionV>
                <wp:extent cx="3657600" cy="106984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A904D" w14:textId="77777777" w:rsidR="00145A2F" w:rsidRPr="003743AC" w:rsidRDefault="00145A2F" w:rsidP="003743AC">
                            <w:pPr>
                              <w:jc w:val="center"/>
                              <w:rPr>
                                <w:rFonts w:eastAsiaTheme="majorEastAsia"/>
                                <w:color w:val="365F91" w:themeColor="accent1" w:themeShade="BF"/>
                                <w:sz w:val="48"/>
                                <w:szCs w:val="48"/>
                              </w:rPr>
                            </w:pPr>
                            <w:r w:rsidRPr="003743AC">
                              <w:rPr>
                                <w:rFonts w:eastAsiaTheme="majorEastAsia"/>
                                <w:color w:val="365F91" w:themeColor="accent1" w:themeShade="BF"/>
                                <w:sz w:val="48"/>
                                <w:szCs w:val="48"/>
                              </w:rPr>
                              <w:t>Component 2</w:t>
                            </w:r>
                          </w:p>
                          <w:p w14:paraId="758A904E" w14:textId="77777777" w:rsidR="00145A2F" w:rsidRPr="003743AC" w:rsidRDefault="00145A2F" w:rsidP="003743AC">
                            <w:pPr>
                              <w:jc w:val="center"/>
                              <w:rPr>
                                <w:rFonts w:eastAsiaTheme="majorEastAsia"/>
                                <w:color w:val="365F91" w:themeColor="accent1" w:themeShade="BF"/>
                                <w:sz w:val="48"/>
                                <w:szCs w:val="48"/>
                              </w:rPr>
                            </w:pPr>
                            <w:r w:rsidRPr="003743AC">
                              <w:rPr>
                                <w:rFonts w:eastAsiaTheme="majorEastAsia"/>
                                <w:color w:val="365F91" w:themeColor="accent1" w:themeShade="BF"/>
                                <w:sz w:val="48"/>
                                <w:szCs w:val="48"/>
                              </w:rPr>
                              <w:t>Coursework: Essay</w:t>
                            </w:r>
                          </w:p>
                          <w:p w14:paraId="758A904F" w14:textId="77777777" w:rsidR="00145A2F" w:rsidRDefault="00145A2F" w:rsidP="003743AC">
                            <w:pPr>
                              <w:jc w:val="center"/>
                              <w:rPr>
                                <w:rFonts w:eastAsiaTheme="majorEastAsia"/>
                                <w:color w:val="262626" w:themeColor="text1" w:themeTint="D9"/>
                                <w:sz w:val="48"/>
                                <w:szCs w:val="48"/>
                              </w:rPr>
                            </w:pPr>
                          </w:p>
                          <w:p w14:paraId="758A9050" w14:textId="77777777" w:rsidR="00145A2F" w:rsidRDefault="00145A2F" w:rsidP="003743AC">
                            <w:pPr>
                              <w:jc w:val="center"/>
                              <w:rPr>
                                <w:rFonts w:eastAsiaTheme="majorEastAsia"/>
                                <w:color w:val="262626" w:themeColor="text1" w:themeTint="D9"/>
                                <w:sz w:val="48"/>
                                <w:szCs w:val="48"/>
                              </w:rPr>
                            </w:pPr>
                          </w:p>
                          <w:p w14:paraId="758A9051" w14:textId="77777777" w:rsidR="00145A2F" w:rsidRDefault="00145A2F" w:rsidP="003743AC">
                            <w:pPr>
                              <w:jc w:val="center"/>
                              <w:rPr>
                                <w:rFonts w:eastAsiaTheme="majorEastAsia"/>
                                <w:color w:val="262626" w:themeColor="text1" w:themeTint="D9"/>
                                <w:sz w:val="48"/>
                                <w:szCs w:val="48"/>
                              </w:rPr>
                            </w:pPr>
                          </w:p>
                          <w:p w14:paraId="758A9052" w14:textId="77777777" w:rsidR="00145A2F" w:rsidRDefault="00145A2F" w:rsidP="003743AC">
                            <w:pPr>
                              <w:jc w:val="center"/>
                              <w:rPr>
                                <w:rFonts w:eastAsiaTheme="majorEastAsia"/>
                                <w:color w:val="262626" w:themeColor="text1" w:themeTint="D9"/>
                                <w:sz w:val="48"/>
                                <w:szCs w:val="48"/>
                              </w:rPr>
                            </w:pPr>
                          </w:p>
                          <w:p w14:paraId="758A9053" w14:textId="22397ADD" w:rsidR="00145A2F" w:rsidRPr="003743AC" w:rsidRDefault="00145A2F" w:rsidP="003743AC">
                            <w:pPr>
                              <w:jc w:val="center"/>
                              <w:rPr>
                                <w:rFonts w:eastAsiaTheme="majorEastAsia"/>
                                <w:color w:val="262626" w:themeColor="text1" w:themeTint="D9"/>
                                <w:sz w:val="28"/>
                                <w:szCs w:val="28"/>
                              </w:rPr>
                            </w:pPr>
                            <w:r w:rsidRPr="003743AC">
                              <w:rPr>
                                <w:rFonts w:eastAsiaTheme="majorEastAsia"/>
                                <w:color w:val="262626" w:themeColor="text1" w:themeTint="D9"/>
                                <w:sz w:val="28"/>
                                <w:szCs w:val="28"/>
                              </w:rPr>
                              <w:t>Student name:</w:t>
                            </w:r>
                            <w:r>
                              <w:rPr>
                                <w:rFonts w:eastAsiaTheme="majorEastAsia"/>
                                <w:color w:val="262626" w:themeColor="text1" w:themeTint="D9"/>
                                <w:sz w:val="28"/>
                                <w:szCs w:val="28"/>
                              </w:rPr>
                              <w:t xml:space="preserve"> Gina Velicu</w:t>
                            </w:r>
                          </w:p>
                          <w:p w14:paraId="758A9054" w14:textId="35C3C0A6" w:rsidR="00145A2F" w:rsidRPr="003743AC" w:rsidRDefault="00145A2F" w:rsidP="003743AC">
                            <w:pPr>
                              <w:jc w:val="center"/>
                              <w:rPr>
                                <w:rFonts w:eastAsiaTheme="majorEastAsia"/>
                                <w:color w:val="262626" w:themeColor="text1" w:themeTint="D9"/>
                                <w:sz w:val="28"/>
                                <w:szCs w:val="28"/>
                              </w:rPr>
                            </w:pPr>
                            <w:r w:rsidRPr="003743AC">
                              <w:rPr>
                                <w:rFonts w:eastAsiaTheme="majorEastAsia"/>
                                <w:color w:val="262626" w:themeColor="text1" w:themeTint="D9"/>
                                <w:sz w:val="28"/>
                                <w:szCs w:val="28"/>
                              </w:rPr>
                              <w:t>Student ID:</w:t>
                            </w:r>
                            <w:r>
                              <w:rPr>
                                <w:rFonts w:eastAsiaTheme="majorEastAsia"/>
                                <w:color w:val="262626" w:themeColor="text1" w:themeTint="D9"/>
                                <w:sz w:val="28"/>
                                <w:szCs w:val="28"/>
                              </w:rPr>
                              <w:t xml:space="preserve"> 2028707</w:t>
                            </w:r>
                          </w:p>
                          <w:p w14:paraId="758A9055" w14:textId="77777777" w:rsidR="00145A2F" w:rsidRDefault="00145A2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8A904B" id="_x0000_t202" coordsize="21600,21600" o:spt="202" path="m,l,21600r21600,l21600,xe">
                <v:stroke joinstyle="miter"/>
                <v:path gradientshapeok="t" o:connecttype="rect"/>
              </v:shapetype>
              <v:shape id="Text Box 1" o:spid="_x0000_s1026" type="#_x0000_t202" style="position:absolute;margin-left:0;margin-top:131.1pt;width:4in;height:84.25pt;z-index:251658240;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" filled="f" stroked="f" strokeweight=".5pt">
                <v:textbox style="mso-fit-shape-to-text:t" inset="0,0,0,0">
                  <w:txbxContent>
                    <w:p w14:paraId="758A904D" w14:textId="77777777" w:rsidR="00145A2F" w:rsidRPr="003743AC" w:rsidRDefault="00145A2F" w:rsidP="003743AC">
                      <w:pPr>
                        <w:jc w:val="center"/>
                        <w:rPr>
                          <w:rFonts w:eastAsiaTheme="majorEastAsia"/>
                          <w:color w:val="365F91" w:themeColor="accent1" w:themeShade="BF"/>
                          <w:sz w:val="48"/>
                          <w:szCs w:val="48"/>
                        </w:rPr>
                      </w:pPr>
                      <w:r w:rsidRPr="003743AC">
                        <w:rPr>
                          <w:rFonts w:eastAsiaTheme="majorEastAsia"/>
                          <w:color w:val="365F91" w:themeColor="accent1" w:themeShade="BF"/>
                          <w:sz w:val="48"/>
                          <w:szCs w:val="48"/>
                        </w:rPr>
                        <w:t>Component 2</w:t>
                      </w:r>
                    </w:p>
                    <w:p w14:paraId="758A904E" w14:textId="77777777" w:rsidR="00145A2F" w:rsidRPr="003743AC" w:rsidRDefault="00145A2F" w:rsidP="003743AC">
                      <w:pPr>
                        <w:jc w:val="center"/>
                        <w:rPr>
                          <w:rFonts w:eastAsiaTheme="majorEastAsia"/>
                          <w:color w:val="365F91" w:themeColor="accent1" w:themeShade="BF"/>
                          <w:sz w:val="48"/>
                          <w:szCs w:val="48"/>
                        </w:rPr>
                      </w:pPr>
                      <w:r w:rsidRPr="003743AC">
                        <w:rPr>
                          <w:rFonts w:eastAsiaTheme="majorEastAsia"/>
                          <w:color w:val="365F91" w:themeColor="accent1" w:themeShade="BF"/>
                          <w:sz w:val="48"/>
                          <w:szCs w:val="48"/>
                        </w:rPr>
                        <w:t>Coursework: Essay</w:t>
                      </w:r>
                    </w:p>
                    <w:p w14:paraId="758A904F" w14:textId="77777777" w:rsidR="00145A2F" w:rsidRDefault="00145A2F" w:rsidP="003743AC">
                      <w:pPr>
                        <w:jc w:val="center"/>
                        <w:rPr>
                          <w:rFonts w:eastAsiaTheme="majorEastAsia"/>
                          <w:color w:val="262626" w:themeColor="text1" w:themeTint="D9"/>
                          <w:sz w:val="48"/>
                          <w:szCs w:val="48"/>
                        </w:rPr>
                      </w:pPr>
                    </w:p>
                    <w:p w14:paraId="758A9050" w14:textId="77777777" w:rsidR="00145A2F" w:rsidRDefault="00145A2F" w:rsidP="003743AC">
                      <w:pPr>
                        <w:jc w:val="center"/>
                        <w:rPr>
                          <w:rFonts w:eastAsiaTheme="majorEastAsia"/>
                          <w:color w:val="262626" w:themeColor="text1" w:themeTint="D9"/>
                          <w:sz w:val="48"/>
                          <w:szCs w:val="48"/>
                        </w:rPr>
                      </w:pPr>
                    </w:p>
                    <w:p w14:paraId="758A9051" w14:textId="77777777" w:rsidR="00145A2F" w:rsidRDefault="00145A2F" w:rsidP="003743AC">
                      <w:pPr>
                        <w:jc w:val="center"/>
                        <w:rPr>
                          <w:rFonts w:eastAsiaTheme="majorEastAsia"/>
                          <w:color w:val="262626" w:themeColor="text1" w:themeTint="D9"/>
                          <w:sz w:val="48"/>
                          <w:szCs w:val="48"/>
                        </w:rPr>
                      </w:pPr>
                    </w:p>
                    <w:p w14:paraId="758A9052" w14:textId="77777777" w:rsidR="00145A2F" w:rsidRDefault="00145A2F" w:rsidP="003743AC">
                      <w:pPr>
                        <w:jc w:val="center"/>
                        <w:rPr>
                          <w:rFonts w:eastAsiaTheme="majorEastAsia"/>
                          <w:color w:val="262626" w:themeColor="text1" w:themeTint="D9"/>
                          <w:sz w:val="48"/>
                          <w:szCs w:val="48"/>
                        </w:rPr>
                      </w:pPr>
                    </w:p>
                    <w:p w14:paraId="758A9053" w14:textId="22397ADD" w:rsidR="00145A2F" w:rsidRPr="003743AC" w:rsidRDefault="00145A2F" w:rsidP="003743AC">
                      <w:pPr>
                        <w:jc w:val="center"/>
                        <w:rPr>
                          <w:rFonts w:eastAsiaTheme="majorEastAsia"/>
                          <w:color w:val="262626" w:themeColor="text1" w:themeTint="D9"/>
                          <w:sz w:val="28"/>
                          <w:szCs w:val="28"/>
                        </w:rPr>
                      </w:pPr>
                      <w:r w:rsidRPr="003743AC">
                        <w:rPr>
                          <w:rFonts w:eastAsiaTheme="majorEastAsia"/>
                          <w:color w:val="262626" w:themeColor="text1" w:themeTint="D9"/>
                          <w:sz w:val="28"/>
                          <w:szCs w:val="28"/>
                        </w:rPr>
                        <w:t>Student name:</w:t>
                      </w:r>
                      <w:r>
                        <w:rPr>
                          <w:rFonts w:eastAsiaTheme="majorEastAsia"/>
                          <w:color w:val="262626" w:themeColor="text1" w:themeTint="D9"/>
                          <w:sz w:val="28"/>
                          <w:szCs w:val="28"/>
                        </w:rPr>
                        <w:t xml:space="preserve"> Gina Velicu</w:t>
                      </w:r>
                    </w:p>
                    <w:p w14:paraId="758A9054" w14:textId="35C3C0A6" w:rsidR="00145A2F" w:rsidRPr="003743AC" w:rsidRDefault="00145A2F" w:rsidP="003743AC">
                      <w:pPr>
                        <w:jc w:val="center"/>
                        <w:rPr>
                          <w:rFonts w:eastAsiaTheme="majorEastAsia"/>
                          <w:color w:val="262626" w:themeColor="text1" w:themeTint="D9"/>
                          <w:sz w:val="28"/>
                          <w:szCs w:val="28"/>
                        </w:rPr>
                      </w:pPr>
                      <w:r w:rsidRPr="003743AC">
                        <w:rPr>
                          <w:rFonts w:eastAsiaTheme="majorEastAsia"/>
                          <w:color w:val="262626" w:themeColor="text1" w:themeTint="D9"/>
                          <w:sz w:val="28"/>
                          <w:szCs w:val="28"/>
                        </w:rPr>
                        <w:t>Student ID:</w:t>
                      </w:r>
                      <w:r>
                        <w:rPr>
                          <w:rFonts w:eastAsiaTheme="majorEastAsia"/>
                          <w:color w:val="262626" w:themeColor="text1" w:themeTint="D9"/>
                          <w:sz w:val="28"/>
                          <w:szCs w:val="28"/>
                        </w:rPr>
                        <w:t xml:space="preserve"> 2028707</w:t>
                      </w:r>
                    </w:p>
                    <w:p w14:paraId="758A9055" w14:textId="77777777" w:rsidR="00145A2F" w:rsidRDefault="00145A2F">
                      <w:pPr>
                        <w:spacing w:before="120"/>
                        <w:rPr>
                          <w:color w:val="404040" w:themeColor="text1" w:themeTint="BF"/>
                          <w:sz w:val="36"/>
                          <w:szCs w:val="36"/>
                        </w:rPr>
                      </w:pPr>
                    </w:p>
                  </w:txbxContent>
                </v:textbox>
                <w10:wrap anchorx="margin" anchory="page"/>
              </v:shape>
            </w:pict>
          </mc:Fallback>
        </mc:AlternateContent>
      </w:r>
      <w:r>
        <w:br w:type="page"/>
      </w:r>
    </w:p>
    <w:p w14:paraId="758A900E" w14:textId="77777777" w:rsidR="00C42E5A" w:rsidRDefault="00145A2F">
      <w:pPr>
        <w:keepNext/>
        <w:keepLines/>
        <w:pBdr>
          <w:top w:val="nil"/>
          <w:left w:val="nil"/>
          <w:bottom w:val="nil"/>
          <w:right w:val="nil"/>
          <w:between w:val="nil"/>
        </w:pBdr>
        <w:spacing w:before="240" w:after="0"/>
        <w:jc w:val="left"/>
        <w:rPr>
          <w:b/>
          <w:color w:val="2F5496"/>
          <w:sz w:val="32"/>
          <w:szCs w:val="32"/>
        </w:rPr>
      </w:pPr>
      <w:r>
        <w:rPr>
          <w:b/>
          <w:color w:val="2F5496"/>
          <w:sz w:val="32"/>
          <w:szCs w:val="32"/>
        </w:rPr>
        <w:lastRenderedPageBreak/>
        <w:t>Contents</w:t>
      </w:r>
    </w:p>
    <w:sdt>
      <w:sdtPr>
        <w:id w:val="-906294004"/>
        <w:docPartObj>
          <w:docPartGallery w:val="Table of Contents"/>
          <w:docPartUnique/>
        </w:docPartObj>
      </w:sdtPr>
      <w:sdtEndPr/>
      <w:sdtContent>
        <w:p w14:paraId="758A900F" w14:textId="77777777" w:rsidR="00C42E5A" w:rsidRDefault="00145A2F">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1</w:t>
            </w:r>
          </w:hyperlink>
        </w:p>
        <w:p w14:paraId="758A9010" w14:textId="77777777" w:rsidR="00C42E5A" w:rsidRDefault="00145A2F">
          <w:pPr>
            <w:pBdr>
              <w:top w:val="nil"/>
              <w:left w:val="nil"/>
              <w:bottom w:val="nil"/>
              <w:right w:val="nil"/>
              <w:between w:val="nil"/>
            </w:pBdr>
            <w:tabs>
              <w:tab w:val="right" w:leader="dot" w:pos="9350"/>
            </w:tabs>
            <w:spacing w:after="100"/>
            <w:rPr>
              <w:color w:val="000000"/>
            </w:rPr>
          </w:pPr>
          <w:hyperlink w:anchor="_30j0zll">
            <w:r>
              <w:rPr>
                <w:color w:val="000000"/>
              </w:rPr>
              <w:t>Budget Analysis</w:t>
            </w:r>
            <w:r>
              <w:rPr>
                <w:color w:val="000000"/>
              </w:rPr>
              <w:tab/>
              <w:t>2</w:t>
            </w:r>
          </w:hyperlink>
        </w:p>
        <w:p w14:paraId="758A9011" w14:textId="77777777" w:rsidR="00C42E5A" w:rsidRDefault="00145A2F">
          <w:pPr>
            <w:pBdr>
              <w:top w:val="nil"/>
              <w:left w:val="nil"/>
              <w:bottom w:val="nil"/>
              <w:right w:val="nil"/>
              <w:between w:val="nil"/>
            </w:pBdr>
            <w:tabs>
              <w:tab w:val="right" w:leader="dot" w:pos="9350"/>
            </w:tabs>
            <w:spacing w:after="100"/>
            <w:rPr>
              <w:color w:val="000000"/>
            </w:rPr>
          </w:pPr>
          <w:hyperlink w:anchor="_1fob9te">
            <w:r>
              <w:rPr>
                <w:color w:val="000000"/>
              </w:rPr>
              <w:t>Time Management</w:t>
            </w:r>
            <w:r>
              <w:rPr>
                <w:color w:val="000000"/>
              </w:rPr>
              <w:tab/>
              <w:t>2</w:t>
            </w:r>
          </w:hyperlink>
        </w:p>
        <w:p w14:paraId="758A9012" w14:textId="77777777" w:rsidR="00C42E5A" w:rsidRDefault="00145A2F">
          <w:pPr>
            <w:pBdr>
              <w:top w:val="nil"/>
              <w:left w:val="nil"/>
              <w:bottom w:val="nil"/>
              <w:right w:val="nil"/>
              <w:between w:val="nil"/>
            </w:pBdr>
            <w:tabs>
              <w:tab w:val="right" w:leader="dot" w:pos="9350"/>
            </w:tabs>
            <w:spacing w:after="100"/>
            <w:rPr>
              <w:color w:val="000000"/>
            </w:rPr>
          </w:pPr>
          <w:hyperlink w:anchor="_3znysh7">
            <w:r>
              <w:rPr>
                <w:color w:val="000000"/>
              </w:rPr>
              <w:t>Quality Assessment</w:t>
            </w:r>
            <w:r>
              <w:rPr>
                <w:color w:val="000000"/>
              </w:rPr>
              <w:tab/>
              <w:t>3</w:t>
            </w:r>
          </w:hyperlink>
        </w:p>
        <w:p w14:paraId="758A9013" w14:textId="77777777" w:rsidR="00C42E5A" w:rsidRDefault="00145A2F">
          <w:pPr>
            <w:pBdr>
              <w:top w:val="nil"/>
              <w:left w:val="nil"/>
              <w:bottom w:val="nil"/>
              <w:right w:val="nil"/>
              <w:between w:val="nil"/>
            </w:pBdr>
            <w:tabs>
              <w:tab w:val="right" w:leader="dot" w:pos="9350"/>
            </w:tabs>
            <w:spacing w:after="100"/>
            <w:rPr>
              <w:color w:val="000000"/>
            </w:rPr>
          </w:pPr>
          <w:hyperlink w:anchor="_2et92p0">
            <w:r>
              <w:rPr>
                <w:color w:val="000000"/>
              </w:rPr>
              <w:t>Stakeholder Analysis</w:t>
            </w:r>
            <w:r>
              <w:rPr>
                <w:color w:val="000000"/>
              </w:rPr>
              <w:tab/>
              <w:t>4</w:t>
            </w:r>
          </w:hyperlink>
        </w:p>
        <w:p w14:paraId="758A9014" w14:textId="77777777" w:rsidR="00C42E5A" w:rsidRDefault="00145A2F">
          <w:pPr>
            <w:pBdr>
              <w:top w:val="nil"/>
              <w:left w:val="nil"/>
              <w:bottom w:val="nil"/>
              <w:right w:val="nil"/>
              <w:between w:val="nil"/>
            </w:pBdr>
            <w:tabs>
              <w:tab w:val="right" w:leader="dot" w:pos="9350"/>
            </w:tabs>
            <w:spacing w:after="100"/>
            <w:rPr>
              <w:color w:val="000000"/>
            </w:rPr>
          </w:pPr>
          <w:hyperlink w:anchor="_tyjcwt">
            <w:r>
              <w:rPr>
                <w:color w:val="000000"/>
              </w:rPr>
              <w:t>Risk Management</w:t>
            </w:r>
            <w:r>
              <w:rPr>
                <w:color w:val="000000"/>
              </w:rPr>
              <w:tab/>
              <w:t>5</w:t>
            </w:r>
          </w:hyperlink>
        </w:p>
        <w:p w14:paraId="758A9015" w14:textId="77777777" w:rsidR="00C42E5A" w:rsidRDefault="00145A2F">
          <w:pPr>
            <w:pBdr>
              <w:top w:val="nil"/>
              <w:left w:val="nil"/>
              <w:bottom w:val="nil"/>
              <w:right w:val="nil"/>
              <w:between w:val="nil"/>
            </w:pBdr>
            <w:tabs>
              <w:tab w:val="right" w:leader="dot" w:pos="9350"/>
            </w:tabs>
            <w:spacing w:after="100"/>
            <w:rPr>
              <w:color w:val="000000"/>
            </w:rPr>
          </w:pPr>
          <w:hyperlink w:anchor="_3dy6vkm">
            <w:r>
              <w:rPr>
                <w:color w:val="000000"/>
              </w:rPr>
              <w:t>Effects on the Environment and Society</w:t>
            </w:r>
            <w:r>
              <w:rPr>
                <w:color w:val="000000"/>
              </w:rPr>
              <w:tab/>
              <w:t>6</w:t>
            </w:r>
          </w:hyperlink>
        </w:p>
        <w:p w14:paraId="758A9016" w14:textId="77777777" w:rsidR="00C42E5A" w:rsidRDefault="00145A2F">
          <w:pPr>
            <w:pBdr>
              <w:top w:val="nil"/>
              <w:left w:val="nil"/>
              <w:bottom w:val="nil"/>
              <w:right w:val="nil"/>
              <w:between w:val="nil"/>
            </w:pBdr>
            <w:tabs>
              <w:tab w:val="right" w:leader="dot" w:pos="9350"/>
            </w:tabs>
            <w:spacing w:after="100"/>
            <w:rPr>
              <w:color w:val="000000"/>
            </w:rPr>
          </w:pPr>
          <w:hyperlink w:anchor="_1t3h5sf">
            <w:r>
              <w:rPr>
                <w:color w:val="000000"/>
              </w:rPr>
              <w:t>Conclusion and Recommendations</w:t>
            </w:r>
            <w:r>
              <w:rPr>
                <w:color w:val="000000"/>
              </w:rPr>
              <w:tab/>
              <w:t>8</w:t>
            </w:r>
          </w:hyperlink>
        </w:p>
        <w:p w14:paraId="758A9017" w14:textId="77777777" w:rsidR="00C42E5A" w:rsidRDefault="00145A2F">
          <w:pPr>
            <w:pBdr>
              <w:top w:val="nil"/>
              <w:left w:val="nil"/>
              <w:bottom w:val="nil"/>
              <w:right w:val="nil"/>
              <w:between w:val="nil"/>
            </w:pBdr>
            <w:tabs>
              <w:tab w:val="right" w:leader="dot" w:pos="9350"/>
            </w:tabs>
            <w:spacing w:after="100"/>
            <w:rPr>
              <w:color w:val="000000"/>
            </w:rPr>
          </w:pPr>
          <w:hyperlink w:anchor="_4d34og8">
            <w:r>
              <w:rPr>
                <w:color w:val="000000"/>
              </w:rPr>
              <w:t>References</w:t>
            </w:r>
            <w:r>
              <w:rPr>
                <w:color w:val="000000"/>
              </w:rPr>
              <w:tab/>
              <w:t>10</w:t>
            </w:r>
          </w:hyperlink>
        </w:p>
        <w:p w14:paraId="758A9018" w14:textId="77777777" w:rsidR="00C42E5A" w:rsidRDefault="00145A2F">
          <w:r>
            <w:fldChar w:fldCharType="end"/>
          </w:r>
        </w:p>
      </w:sdtContent>
    </w:sdt>
    <w:p w14:paraId="758A9019" w14:textId="77777777" w:rsidR="00C42E5A" w:rsidRDefault="00145A2F">
      <w:pPr>
        <w:spacing w:line="259" w:lineRule="auto"/>
        <w:jc w:val="left"/>
        <w:rPr>
          <w:b/>
          <w:color w:val="2F5496"/>
          <w:sz w:val="32"/>
          <w:szCs w:val="32"/>
        </w:rPr>
      </w:pPr>
      <w:bookmarkStart w:id="0" w:name="_gjdgxs" w:colFirst="0" w:colLast="0"/>
      <w:bookmarkEnd w:id="0"/>
      <w:r>
        <w:br w:type="page"/>
      </w:r>
    </w:p>
    <w:p w14:paraId="758A901A" w14:textId="77777777" w:rsidR="00C42E5A" w:rsidRDefault="00145A2F">
      <w:pPr>
        <w:pStyle w:val="Heading1"/>
      </w:pPr>
      <w:r>
        <w:lastRenderedPageBreak/>
        <w:t>Introduction</w:t>
      </w:r>
    </w:p>
    <w:p w14:paraId="758A901B" w14:textId="77777777" w:rsidR="00C42E5A" w:rsidRDefault="00145A2F">
      <w:r>
        <w:t>The Google King's Cross Project marks a significant milestone in the global expansion of one of the world's leading technology companies. This massive undertaking, costing over a billion pounds, illustrates not only Google's success but also the company's dedication to sustainability and cutting-edge research. Located in central London, next to King's Cross Station, this massive project spans over 60,400 square meters. Its location and potential make it an ideal center for innovation and research, bolsterin</w:t>
      </w:r>
      <w:r>
        <w:t xml:space="preserve">g the region's growing knowledge sector. Central to this project is the construction of Google's new headquarters, a facility that will stand out as the first entirely owned and designed Google building outside the United States. This cutting-edge building has 11 stories and can provide room for up to 4,500 workers. It features offices as well as cafeterias, a gym, a multi-use gaming area, and a swimming pool. Furthermore, Google's dedication to creating a healthy and well-rounded workplace is reflected in </w:t>
      </w:r>
      <w:r>
        <w:t>the building's top-floor jogging track and planted terraces (Maylor, 2017</w:t>
      </w:r>
      <w:proofErr w:type="gramStart"/>
      <w:r>
        <w:t>).This</w:t>
      </w:r>
      <w:proofErr w:type="gramEnd"/>
      <w:r>
        <w:t xml:space="preserve"> report has multiple goals. The purpose of this document is to give a thorough analysis of the project's most important aspects, such as its cost, duration, quality requirements, stakeholder participation, and risk mitigation techniques. The purpose of this study is to determine how well the project plan worked and where adjustments need to be made. This report's scope goes well beyond its numerical and technical components, and </w:t>
      </w:r>
      <w:r>
        <w:t>it also includes an analysis of the project's effects on the environment and its value to the local economy. This report, therefore, serves as a vital tool in understanding not only the success of the Google King's Cross Project but also its larger ramifications in the domains of technology, commerce, and urban development.</w:t>
      </w:r>
    </w:p>
    <w:p w14:paraId="758A901C" w14:textId="77777777" w:rsidR="00C42E5A" w:rsidRDefault="00145A2F">
      <w:pPr>
        <w:spacing w:line="259" w:lineRule="auto"/>
        <w:jc w:val="left"/>
      </w:pPr>
      <w:r>
        <w:br w:type="page"/>
      </w:r>
    </w:p>
    <w:p w14:paraId="758A901D" w14:textId="77777777" w:rsidR="00C42E5A" w:rsidRDefault="00145A2F">
      <w:pPr>
        <w:pStyle w:val="Heading1"/>
      </w:pPr>
      <w:bookmarkStart w:id="1" w:name="_30j0zll" w:colFirst="0" w:colLast="0"/>
      <w:bookmarkEnd w:id="1"/>
      <w:r>
        <w:lastRenderedPageBreak/>
        <w:t>Budget Analysis</w:t>
      </w:r>
    </w:p>
    <w:p w14:paraId="758A901E" w14:textId="77777777" w:rsidR="00C42E5A" w:rsidRDefault="00145A2F">
      <w:r>
        <w:t xml:space="preserve">The Google King's Cross Project's financial framework is essential to the success of the endeavor and so must be carefully planned and conducted. With a stunning expenditure of one billion pounds, the project is a shining example of Google's commitment to its long-term success. A full breakdown of this budget is vital for understanding the allocation of funds and the financial health of the project. Due to the ambitious and massive nature of the project, </w:t>
      </w:r>
      <w:proofErr w:type="gramStart"/>
      <w:r>
        <w:t>the majority of</w:t>
      </w:r>
      <w:proofErr w:type="gramEnd"/>
      <w:r>
        <w:t xml:space="preserve"> the budget will go towards construction expenses such as materials, labor, and design. Large sums are also spent on sustainability features and technological infrastructure to demonstrate Google's dedication to environmental responsibility. Insights into the project's fiscal management can be gained by comparing actual expenditures with initial budget forecasts. Initial estimates often establish a baseline; but large-scale projects like these are prone to modifications due to unforeseen prob</w:t>
      </w:r>
      <w:r>
        <w:t>lems and market volatility. It's worth noting that, with only a few small adjustments, the project's budget has stayed remarkably consistent thus far. This precision is evidence of the project team's meticulous planning and skillful cost management. There will always be financial uncertainty with undertakings of this scale. Unanticipated building difficulties, changes in the cost of raw materials, and probable delays could all contribute to a price increase. Multiple strategies have been implemented to redu</w:t>
      </w:r>
      <w:r>
        <w:t xml:space="preserve">ce exposure to these dangers (Lock, 2017). This involves the formation of a contingency fund to meet unforeseen expenses, frequent financial audits to verify adherence to the budget, and flexible contracting practices to accommodate market changes. In addition, cutting-edge predictive analytics are used in the project to foresee and reduce potential financial problems, allowing for preventative measures to be taken </w:t>
      </w:r>
      <w:proofErr w:type="gramStart"/>
      <w:r>
        <w:t>in the area of</w:t>
      </w:r>
      <w:proofErr w:type="gramEnd"/>
      <w:r>
        <w:t xml:space="preserve"> money management. In conclusion, the Google King's Cross Project budget analys</w:t>
      </w:r>
      <w:r>
        <w:t>is demonstrates a well-thought-out financial strategy. So far, the project has done an admirable job of sticking to its budget and avoiding or at least minimizing any potential financial disasters. This financial due diligence is crucial to guaranteeing the project's completion within its budgetary constraints and, ultimately, achieving its goals.</w:t>
      </w:r>
    </w:p>
    <w:p w14:paraId="758A901F" w14:textId="77777777" w:rsidR="00C42E5A" w:rsidRDefault="00145A2F">
      <w:pPr>
        <w:pStyle w:val="Heading1"/>
      </w:pPr>
      <w:bookmarkStart w:id="2" w:name="_1fob9te" w:colFirst="0" w:colLast="0"/>
      <w:bookmarkEnd w:id="2"/>
      <w:r>
        <w:t>Time Management</w:t>
      </w:r>
    </w:p>
    <w:p w14:paraId="758A9020" w14:textId="77777777" w:rsidR="00C42E5A" w:rsidRDefault="00145A2F">
      <w:r>
        <w:t xml:space="preserve">The Google King's Cross Project's time management is just as important as its budgetary management, and a clear schedule is key to its success. The project, which will take several years to complete, has been carefully broken down into stages, each of which has its own set of </w:t>
      </w:r>
      <w:r>
        <w:lastRenderedPageBreak/>
        <w:t xml:space="preserve">objectives and due dates. The beginning phase, which covered site preparation and comprehensive planning, set the basis. The next most time-consuming part is the ongoing construction phase. During this </w:t>
      </w:r>
      <w:proofErr w:type="gramStart"/>
      <w:r>
        <w:t>time period</w:t>
      </w:r>
      <w:proofErr w:type="gramEnd"/>
      <w:r>
        <w:t xml:space="preserve">, the building is built, the inside and outside are finished, and the technology backbone is installed. The project schedule was meticulously developed to accommodate Google's strategic goals and the site's ongoing functionality. The primary structural work is finished, interior fitting has begun, </w:t>
      </w:r>
      <w:r>
        <w:t xml:space="preserve">and the building has been handed over. These benchmarks are all essential and have hard due dates. One example of well-managed time is the completion of the project's structural structure at its intended midpoint. However, delays are a natural part of a project of this scale. Delays could occur </w:t>
      </w:r>
      <w:proofErr w:type="gramStart"/>
      <w:r>
        <w:t>as a result of</w:t>
      </w:r>
      <w:proofErr w:type="gramEnd"/>
      <w:r>
        <w:t xml:space="preserve"> problems in the supply chain, unusual difficulties during building, or the introduction of new regulations or adverse weather (Heagney, 2021). To mitigate these risks, the project implements different </w:t>
      </w:r>
      <w:r>
        <w:t xml:space="preserve">contingency techniques. First, a buffer period is inserted into each phase to </w:t>
      </w:r>
      <w:proofErr w:type="gramStart"/>
      <w:r>
        <w:t>compensate</w:t>
      </w:r>
      <w:proofErr w:type="gramEnd"/>
      <w:r>
        <w:t xml:space="preserve"> potential delays. Second, agile project management is heavily emphasized because of the advantages it provides in terms of responsiveness to unforeseen developments. In addition, there are routine reviews of progress made to spot and deal with any problems as soon as they arise. The Google King's Cross Project's use of time indicates a methodical strategy. The project is an example </w:t>
      </w:r>
      <w:proofErr w:type="gramStart"/>
      <w:r>
        <w:t>for</w:t>
      </w:r>
      <w:proofErr w:type="gramEnd"/>
      <w:r>
        <w:t xml:space="preserve"> how large-scale construction proje</w:t>
      </w:r>
      <w:r>
        <w:t>cts should manage time, with clearly defined milestones and deadlines and robust contingency plans. This methodical approach to time management is crucial to the project's success, since it will ensure that its objectives are met in a timely manner.</w:t>
      </w:r>
    </w:p>
    <w:p w14:paraId="758A9021" w14:textId="77777777" w:rsidR="00C42E5A" w:rsidRDefault="00145A2F">
      <w:pPr>
        <w:pStyle w:val="Heading1"/>
      </w:pPr>
      <w:bookmarkStart w:id="3" w:name="_3znysh7" w:colFirst="0" w:colLast="0"/>
      <w:bookmarkEnd w:id="3"/>
      <w:r>
        <w:t>Quality Assessment</w:t>
      </w:r>
    </w:p>
    <w:p w14:paraId="758A9022" w14:textId="77777777" w:rsidR="00C42E5A" w:rsidRDefault="00145A2F">
      <w:r>
        <w:t>Due to its size and significance, the Google King's Cross Project requires strict adherence to all applicable quality norms and criteria. In this sense, quality comprises not just the building's structural soundness, but also its visual appeal, its practicality, its environmental friendliness, and its technological innovation. The project follows local UK building rules in addition to international standards such as ISO certifications. These regulations guarantee that the structure is not only secure and lo</w:t>
      </w:r>
      <w:r>
        <w:t xml:space="preserve">ng-lasting, but also eco-friendly and economical to run (Schwalbe, 2018). This London landmark is being designed in accordance with stringent architectural and engineering standards. The British Standards for Building ensure that things like material quality, structural design, and safety measures are adhered to. The building's design also integrates cutting-edge technology and unique office designs, matching with Google's reputation for creating creative </w:t>
      </w:r>
      <w:r>
        <w:lastRenderedPageBreak/>
        <w:t xml:space="preserve">and dynamic work environments. The realization of a </w:t>
      </w:r>
      <w:r>
        <w:t>structure that serves its purpose and serves as a source of inspiration requires these high architectural requirements. During the building process, it is crucial to implement quality control procedures to ensure that these criteria are met. Independent specialists will conduct quality audits, compliance checks, and regular on-site inspections to ensure that all regulations are being followed. The project uses a methodical strategy for quality control, with rigorous evaluation and testing occurring at multi</w:t>
      </w:r>
      <w:r>
        <w:t xml:space="preserve">ple stages (Turner,2016). This careful procedure guarantees that the entire structure, from the ground up to the last detail, is of the highest quality. However, maintaining such high standards creates its own set of obstacles. Expertise is required due to the complexity of the design and the usage of cutting-edge materials and technology. It's also a huge job to coordinate the project's many contractors and suppliers to maintain uniformity and high quality throughout. As this article has shown, Google has </w:t>
      </w:r>
      <w:r>
        <w:t>taken great pains to ensure that its King's Cross Project is of the highest quality throughout. The project is on track to deliver a building that is a testament to architectural and engineering excellence and a reflection of Google's commitment to quality and innovation thanks to strict adherence to standards and benchmarks, rigorous quality control measures, and the successful navigation of associated challenges.</w:t>
      </w:r>
    </w:p>
    <w:p w14:paraId="758A9023" w14:textId="77777777" w:rsidR="00C42E5A" w:rsidRDefault="00145A2F">
      <w:pPr>
        <w:pStyle w:val="Heading1"/>
      </w:pPr>
      <w:bookmarkStart w:id="4" w:name="_2et92p0" w:colFirst="0" w:colLast="0"/>
      <w:bookmarkEnd w:id="4"/>
      <w:r>
        <w:t>Stakeholder Analysis</w:t>
      </w:r>
    </w:p>
    <w:p w14:paraId="758A9024" w14:textId="77777777" w:rsidR="00C42E5A" w:rsidRDefault="00145A2F">
      <w:r>
        <w:t>Because of its scope and significance, the Google King's Cross Project involves many different parties, each with their own priorities and spheres of influence. Identifying and comprehending these stakeholders is crucial for the project's success. Google, as the principal investor and prospective tenant, as well as the building firms and contractors, local government authorities, the neighboring community, employees, and environmental groups, are all important parties to consider. As the project's client an</w:t>
      </w:r>
      <w:r>
        <w:t xml:space="preserve">d key investor, Google has a vested interest in seeing it through to a successful conclusion and has high standards for on-time delivery, cost-effectiveness, and conformity to their specifications (Gido &amp; Clements, 2019). Companies and individuals involved in building the project are essential players. Their </w:t>
      </w:r>
      <w:proofErr w:type="gramStart"/>
      <w:r>
        <w:t>first priority</w:t>
      </w:r>
      <w:proofErr w:type="gramEnd"/>
      <w:r>
        <w:t xml:space="preserve"> is finishing the job on schedule and on budget without sacrificing quality. All regulatory requirements must be met, and the project must also benefit the local economy and infrastructure</w:t>
      </w:r>
      <w:r>
        <w:t xml:space="preserve">, all of which are in the interest of the local government. Businesses and residents in the area are stakeholders because they may be directly or indirectly affected by the project. They predict minimal disturbance and positive long-term </w:t>
      </w:r>
      <w:r>
        <w:lastRenderedPageBreak/>
        <w:t>advantages. Employees, as potential tenants, are an important internal constituency to consider. Their ideal workplace would be one that encourages creativity and sustainability while also fostering efficiency and well-being. The environmental community is also a significan</w:t>
      </w:r>
      <w:r>
        <w:t>t stakeholder because of Google's commitment to environmental responsibility. These parties have high hopes that the project will be environmentally responsible and beneficial to the area's ecosystem. The project uses a wide range of approaches to actively include these parties (Schwalbe, 2018). Transparency is maintained and issues are addressed through regular briefings and discussions with local officials and community leaders. Smooth operations and adherence to quality standards are made possible by col</w:t>
      </w:r>
      <w:r>
        <w:t xml:space="preserve">laborative methods with contractors and suppliers. Employee feedback is solicited to align the workspace with their needs. </w:t>
      </w:r>
      <w:proofErr w:type="gramStart"/>
      <w:r>
        <w:t>Last but not least</w:t>
      </w:r>
      <w:proofErr w:type="gramEnd"/>
      <w:r>
        <w:t>, the project is kept in constant communication with environmental groups to guarantee that sustainability targets are met. The research of Google's King's Cross project's stakeholders reveals a wide variety of concerns and goals for the endeavor. Successfully navigating the difficulties of the project and delivering a conclusion that satisfies all parties requires eff</w:t>
      </w:r>
      <w:r>
        <w:t>ective engagement and communication with various stakeholders.</w:t>
      </w:r>
    </w:p>
    <w:p w14:paraId="758A9025" w14:textId="77777777" w:rsidR="00C42E5A" w:rsidRDefault="00145A2F">
      <w:pPr>
        <w:pStyle w:val="Heading1"/>
      </w:pPr>
      <w:bookmarkStart w:id="5" w:name="_tyjcwt" w:colFirst="0" w:colLast="0"/>
      <w:bookmarkEnd w:id="5"/>
      <w:r>
        <w:t>Risk Management</w:t>
      </w:r>
    </w:p>
    <w:p w14:paraId="758A9026" w14:textId="77777777" w:rsidR="00C42E5A" w:rsidRDefault="00145A2F">
      <w:r>
        <w:t xml:space="preserve">The Google King's Cross Project, by virtue of its scale and complexity, faces a plethora of possible risks, demanding a sophisticated risk management system. </w:t>
      </w:r>
      <w:proofErr w:type="gramStart"/>
      <w:r>
        <w:t>In order to</w:t>
      </w:r>
      <w:proofErr w:type="gramEnd"/>
      <w:r>
        <w:t xml:space="preserve"> ensure the project's smooth advancement and successful conclusion, it is crucial to identify, assess, prioritize, and mitigate these risks. Delays in building, increased costs, threats to regulatory and compliance, difficulties in implementing new technologies, and negative effects on the environment are among the most prominent concerns (Flyvbjerg, 2021). There are many potential causes of construction delays, including problems in the supply chain, a lack of available labor, or unforeseen stru</w:t>
      </w:r>
      <w:r>
        <w:t xml:space="preserve">ctural obstacles. Overspending is another significant threat, which can result from anything from fluctuating commodity prices to redesigning the entire project. Failure to adhere to environmental and zoning laws constitutes a regulatory risk that may lead to fines and delays. Given the project's focus on integrating cutting-edge technologies, technological issues are of particular importance. </w:t>
      </w:r>
      <w:proofErr w:type="gramStart"/>
      <w:r>
        <w:t>Last but not least</w:t>
      </w:r>
      <w:proofErr w:type="gramEnd"/>
      <w:r>
        <w:t>, there is the threat to the surrounding environment from building operations. Assessing the pote</w:t>
      </w:r>
      <w:r>
        <w:t xml:space="preserve">ntial for harm and the severity of that risk is what risk assessment is all about. Delays and cost overruns in construction are prioritized because of their high likelihood and potential severity. </w:t>
      </w:r>
      <w:r>
        <w:lastRenderedPageBreak/>
        <w:t xml:space="preserve">Although regulatory risks are less likely to occur, they can have serious consequences if they do. Given Google's skills and dedication to sustainability, technological and environmental hazards are viewed as mild but require diligent control. </w:t>
      </w:r>
      <w:proofErr w:type="gramStart"/>
      <w:r>
        <w:t>In order to</w:t>
      </w:r>
      <w:proofErr w:type="gramEnd"/>
      <w:r>
        <w:t xml:space="preserve"> deal with potential dangers, the project uses several metho</w:t>
      </w:r>
      <w:r>
        <w:t xml:space="preserve">ds. There are advanced project management technologies in place, and a buffer fund is kept in case of construction setbacks or cost increases. Audits for compliance and communication with regulatory agencies help guarantee that rules are followed. Problems with technology are solved through teamwork between specialists in the field and extensive testing. Sustainable building methods and regular assessments of environmental impacts help reduce any negative effects on the environment. The Google King's Cross </w:t>
      </w:r>
      <w:r>
        <w:t xml:space="preserve">Project relies heavily on careful risk assessment and mitigation. Project risks will be identified, prioritized, and mitigation techniques will be implemented </w:t>
      </w:r>
      <w:proofErr w:type="gramStart"/>
      <w:r>
        <w:t>in an effort to</w:t>
      </w:r>
      <w:proofErr w:type="gramEnd"/>
      <w:r>
        <w:t xml:space="preserve"> keep the project on schedule to meet its lofty goals with as little negative impact as possible.</w:t>
      </w:r>
    </w:p>
    <w:p w14:paraId="758A9027" w14:textId="77777777" w:rsidR="00C42E5A" w:rsidRDefault="00145A2F">
      <w:pPr>
        <w:pStyle w:val="Heading1"/>
      </w:pPr>
      <w:bookmarkStart w:id="6" w:name="_3dy6vkm" w:colFirst="0" w:colLast="0"/>
      <w:bookmarkEnd w:id="6"/>
      <w:r>
        <w:t>Effects on the Environment and Society</w:t>
      </w:r>
    </w:p>
    <w:p w14:paraId="758A9028" w14:textId="77777777" w:rsidR="00C42E5A" w:rsidRDefault="00145A2F">
      <w:r>
        <w:t xml:space="preserve">The Google King's Cross Project is not only a landmark in terms of technology and architectural innovation but also serves as a beacon of environmental and social responsibility. Sustainability measures, community involvement, and the project's impact on the regional economy and knowledge sector are only a few examples of the project's wide-ranging environmental and social impact. The design of the building prioritized environmental friendliness. To lessen its impact on the planet, the project makes use of </w:t>
      </w:r>
      <w:proofErr w:type="gramStart"/>
      <w:r>
        <w:t>a number of</w:t>
      </w:r>
      <w:proofErr w:type="gramEnd"/>
      <w:r>
        <w:t xml:space="preserve"> eco-friendly elements (Cleland &amp; Ireland, 2020). Systems that conserve energy, renewable energy sources, and water conservation are all examples of this. Advanced heating, ventilation, and air conditioning technologies, as well as the building's strategic placement to take use of natural light, contribute to its low energy footprint. Also, the project is committed to reducing its carbon footprint during construction by using sustainable and locally produced materials whenever possible. The initi</w:t>
      </w:r>
      <w:r>
        <w:t xml:space="preserve">ative places a premium on community involvement and social responsibility. Google has launched </w:t>
      </w:r>
      <w:proofErr w:type="gramStart"/>
      <w:r>
        <w:t>a number of</w:t>
      </w:r>
      <w:proofErr w:type="gramEnd"/>
      <w:r>
        <w:t xml:space="preserve"> community engagement initiatives to increase buy-in for the project and maximize its beneficial impact on the neighborhood. Opportunities for local employment, improvements to local infrastructure, and educational programs all fall under this category. The project seeks to be not simply a physical structure but a part of the social fabric, contributing to community growth and well-being. It will have a</w:t>
      </w:r>
      <w:r>
        <w:t xml:space="preserve"> major effect on the local economy and the knowledge economy. Numerous jobs in both </w:t>
      </w:r>
      <w:r>
        <w:lastRenderedPageBreak/>
        <w:t xml:space="preserve">building and operation are anticipated </w:t>
      </w:r>
      <w:proofErr w:type="gramStart"/>
      <w:r>
        <w:t>as a result of</w:t>
      </w:r>
      <w:proofErr w:type="gramEnd"/>
      <w:r>
        <w:t xml:space="preserve"> the project's contribution to the economy. King's Cross's status as a center for technological innovation will be enhanced, and it will draw firms and skilled workers. It is expected that having Google's headquarters in the area will boost the local technology sector by encouraging collaboration and drawing talent to the area. When it comes to large-scale developments tha</w:t>
      </w:r>
      <w:r>
        <w:t>t also prioritize environmental sustainability, social responsibility, and economic progress, the Google King's Cross Project serves as a model. The initiative raises the bar for urban renewal by establishing a new benchmark for sustainable design, community involvement, and economic and intellectual stimulation.</w:t>
      </w:r>
    </w:p>
    <w:p w14:paraId="758A9029" w14:textId="77777777" w:rsidR="00C42E5A" w:rsidRDefault="00C42E5A">
      <w:pPr>
        <w:spacing w:line="259" w:lineRule="auto"/>
        <w:jc w:val="left"/>
      </w:pPr>
    </w:p>
    <w:p w14:paraId="758A902A" w14:textId="77777777" w:rsidR="00C42E5A" w:rsidRDefault="00145A2F">
      <w:pPr>
        <w:spacing w:line="259" w:lineRule="auto"/>
        <w:jc w:val="left"/>
        <w:rPr>
          <w:b/>
          <w:color w:val="2F5496"/>
          <w:sz w:val="32"/>
          <w:szCs w:val="32"/>
        </w:rPr>
      </w:pPr>
      <w:r>
        <w:br w:type="page"/>
      </w:r>
    </w:p>
    <w:p w14:paraId="758A902B" w14:textId="77777777" w:rsidR="00C42E5A" w:rsidRDefault="00145A2F">
      <w:pPr>
        <w:pStyle w:val="Heading1"/>
      </w:pPr>
      <w:bookmarkStart w:id="7" w:name="_1t3h5sf" w:colFirst="0" w:colLast="0"/>
      <w:bookmarkEnd w:id="7"/>
      <w:r>
        <w:lastRenderedPageBreak/>
        <w:t>Conclusion and Recommendations</w:t>
      </w:r>
    </w:p>
    <w:p w14:paraId="758A902C" w14:textId="77777777" w:rsidR="00C42E5A" w:rsidRDefault="00145A2F">
      <w:r>
        <w:t>An examination of the Google King's Cross Project reveals an ambitious and well-planned plan, with the potential to become a model for future megacities. The project's primary findings highlight its strengths in multiple aspects: budget management, time management, quality assurance, stakeholder engagement, risk management, and environmental and social effect. The budget analysis shows that the finances are well-planned, with the project staying within its allotted budget and the risks being adequately miti</w:t>
      </w:r>
      <w:r>
        <w:t>gated. With a methodical approach and well-thought-out backup plans, the project has shown excellent time management skills. Assessment of quality indicates rigorous adherence to high standards and benchmarks, guaranteeing a structure that satisfies in form and function. The examination of the project's stakeholders demonstrates its commitment to including a wide variety of interested parties, from financial backers to members of the community at large (Bentley, 2018). Successful risk management measures ha</w:t>
      </w:r>
      <w:r>
        <w:t xml:space="preserve">ve been used, allowing for the smooth progression of the project Bennett, 2017). </w:t>
      </w:r>
      <w:proofErr w:type="gramStart"/>
      <w:r>
        <w:t>Last but not least</w:t>
      </w:r>
      <w:proofErr w:type="gramEnd"/>
      <w:r>
        <w:t>, the project's dedication to sustainability and constructive community interaction is emphasized by the environmental and social impact study.</w:t>
      </w:r>
    </w:p>
    <w:p w14:paraId="758A902D" w14:textId="77777777" w:rsidR="00C42E5A" w:rsidRDefault="00145A2F">
      <w:r>
        <w:t xml:space="preserve">Strategic suggestions for achieving the project's goals have been developed </w:t>
      </w:r>
      <w:proofErr w:type="gramStart"/>
      <w:r>
        <w:t>on the basis of</w:t>
      </w:r>
      <w:proofErr w:type="gramEnd"/>
      <w:r>
        <w:t xml:space="preserve"> these findings.</w:t>
      </w:r>
    </w:p>
    <w:p w14:paraId="758A902E" w14:textId="77777777" w:rsidR="00C42E5A" w:rsidRDefault="00145A2F">
      <w:pPr>
        <w:rPr>
          <w:b/>
          <w:color w:val="2F5496"/>
        </w:rPr>
      </w:pPr>
      <w:r>
        <w:rPr>
          <w:b/>
          <w:color w:val="2F5496"/>
        </w:rPr>
        <w:t xml:space="preserve">Regular Checking and Modifying: </w:t>
      </w:r>
    </w:p>
    <w:p w14:paraId="758A902F" w14:textId="77777777" w:rsidR="00C42E5A" w:rsidRDefault="00145A2F">
      <w:r>
        <w:t>It's important to keep tabs on how the project is coming along in relation to its planned time and budget so that any necessary adjustments can be made as soon as possible.</w:t>
      </w:r>
    </w:p>
    <w:p w14:paraId="758A9030" w14:textId="77777777" w:rsidR="00C42E5A" w:rsidRDefault="00145A2F">
      <w:pPr>
        <w:rPr>
          <w:b/>
          <w:color w:val="2F5496"/>
        </w:rPr>
      </w:pPr>
      <w:r>
        <w:rPr>
          <w:b/>
          <w:color w:val="2F5496"/>
        </w:rPr>
        <w:t xml:space="preserve">Communication Improvements with Stakeholders </w:t>
      </w:r>
    </w:p>
    <w:p w14:paraId="758A9031" w14:textId="77777777" w:rsidR="00C42E5A" w:rsidRDefault="00145A2F">
      <w:r>
        <w:t>Especially with the local community and regulatory organizations, it is important to improve lines of communication to provide transparency and develop confidence.</w:t>
      </w:r>
    </w:p>
    <w:p w14:paraId="758A9032" w14:textId="77777777" w:rsidR="00C42E5A" w:rsidRDefault="00145A2F">
      <w:pPr>
        <w:rPr>
          <w:b/>
          <w:color w:val="2F5496"/>
        </w:rPr>
      </w:pPr>
      <w:r>
        <w:rPr>
          <w:b/>
          <w:color w:val="2F5496"/>
        </w:rPr>
        <w:t xml:space="preserve">Sustainability Focus: </w:t>
      </w:r>
    </w:p>
    <w:p w14:paraId="758A9033" w14:textId="77777777" w:rsidR="00C42E5A" w:rsidRDefault="00145A2F">
      <w:r>
        <w:t>Maintain an emphasis on environmental responsibility, looking into creative ways to lessen the project's impact on the planet as it progresses.</w:t>
      </w:r>
    </w:p>
    <w:p w14:paraId="758A9034" w14:textId="77777777" w:rsidR="00C42E5A" w:rsidRDefault="00145A2F">
      <w:pPr>
        <w:rPr>
          <w:b/>
          <w:color w:val="2F5496"/>
        </w:rPr>
      </w:pPr>
      <w:r>
        <w:rPr>
          <w:b/>
          <w:color w:val="2F5496"/>
        </w:rPr>
        <w:t xml:space="preserve">Community Participation and Assistance: </w:t>
      </w:r>
    </w:p>
    <w:p w14:paraId="758A9035" w14:textId="77777777" w:rsidR="00C42E5A" w:rsidRDefault="00145A2F">
      <w:r>
        <w:lastRenderedPageBreak/>
        <w:t>Increase efforts to involve the community by looking to the future and seeing how you can help with things like jobs, schools, and infrastructure.</w:t>
      </w:r>
    </w:p>
    <w:p w14:paraId="758A9036" w14:textId="77777777" w:rsidR="00C42E5A" w:rsidRDefault="00145A2F">
      <w:pPr>
        <w:rPr>
          <w:b/>
          <w:color w:val="2F5496"/>
        </w:rPr>
      </w:pPr>
      <w:r>
        <w:rPr>
          <w:b/>
          <w:color w:val="2F5496"/>
        </w:rPr>
        <w:t xml:space="preserve">Incorporating New Technologies: </w:t>
      </w:r>
    </w:p>
    <w:p w14:paraId="758A9037" w14:textId="77777777" w:rsidR="00C42E5A" w:rsidRDefault="00145A2F">
      <w:r>
        <w:t>Stay on the cutting edge of technology so that your building can say the same.</w:t>
      </w:r>
    </w:p>
    <w:p w14:paraId="758A9038" w14:textId="77777777" w:rsidR="00C42E5A" w:rsidRDefault="00145A2F">
      <w:pPr>
        <w:rPr>
          <w:b/>
          <w:color w:val="2F5496"/>
        </w:rPr>
      </w:pPr>
      <w:r>
        <w:rPr>
          <w:b/>
          <w:color w:val="2F5496"/>
        </w:rPr>
        <w:t xml:space="preserve">Post-Completion Phase Planning: </w:t>
      </w:r>
    </w:p>
    <w:p w14:paraId="758A9039" w14:textId="77777777" w:rsidR="00C42E5A" w:rsidRDefault="00145A2F">
      <w:r>
        <w:t>Create a strategy for the building's ongoing use that accounts for all aspects of upkeep, sustainability, and community involvement.</w:t>
      </w:r>
    </w:p>
    <w:p w14:paraId="758A903A" w14:textId="77777777" w:rsidR="00C42E5A" w:rsidRDefault="00145A2F">
      <w:pPr>
        <w:spacing w:line="259" w:lineRule="auto"/>
        <w:jc w:val="left"/>
      </w:pPr>
      <w:r>
        <w:br w:type="page"/>
      </w:r>
    </w:p>
    <w:p w14:paraId="758A903B" w14:textId="77777777" w:rsidR="00C42E5A" w:rsidRDefault="00145A2F">
      <w:pPr>
        <w:pStyle w:val="Heading1"/>
      </w:pPr>
      <w:bookmarkStart w:id="8" w:name="_4d34og8" w:colFirst="0" w:colLast="0"/>
      <w:bookmarkEnd w:id="8"/>
      <w:r>
        <w:lastRenderedPageBreak/>
        <w:t xml:space="preserve">References </w:t>
      </w:r>
    </w:p>
    <w:p w14:paraId="758A903C" w14:textId="77777777" w:rsidR="00C42E5A" w:rsidRDefault="00145A2F">
      <w:r>
        <w:t>Bentley, C., 2018. Practical Prince2. 6th ed. Stationery Office.</w:t>
      </w:r>
    </w:p>
    <w:p w14:paraId="758A903D" w14:textId="77777777" w:rsidR="00C42E5A" w:rsidRDefault="00145A2F">
      <w:r>
        <w:t>Cleland, D.I., &amp; Ireland, L.R., 2020. Project Management: Strategic Design and Implementation. 6th ed. McGraw-Hill.</w:t>
      </w:r>
    </w:p>
    <w:p w14:paraId="758A903E" w14:textId="77777777" w:rsidR="00C42E5A" w:rsidRDefault="00145A2F">
      <w:r>
        <w:t>Fewings, P., 2019. Construction Project Management: An Integrated Approach. 2nd ed. Routledge.</w:t>
      </w:r>
    </w:p>
    <w:p w14:paraId="758A903F" w14:textId="77777777" w:rsidR="00C42E5A" w:rsidRDefault="00145A2F">
      <w:r>
        <w:t>Flyvbjerg, B., 2021. Megaprojects and Risk: An Anatomy of Ambition. Cambridge University Press.</w:t>
      </w:r>
    </w:p>
    <w:p w14:paraId="758A9040" w14:textId="77777777" w:rsidR="00C42E5A" w:rsidRDefault="00145A2F">
      <w:r>
        <w:t>Gido, J., &amp; Clements, J.P., 2019. Successful Project Management. 7th ed. Cengage Learning.</w:t>
      </w:r>
    </w:p>
    <w:p w14:paraId="758A9041" w14:textId="77777777" w:rsidR="00C42E5A" w:rsidRDefault="00145A2F">
      <w:r>
        <w:t>Heagney, J., 2021. Fundamentals of Project Management. 6th ed. AMACOM.</w:t>
      </w:r>
    </w:p>
    <w:p w14:paraId="758A9042" w14:textId="77777777" w:rsidR="00C42E5A" w:rsidRDefault="00145A2F">
      <w:r>
        <w:t>Hillson, D., &amp; Simon, P., 2020. Practical Project Risk Management: The ATOM Methodology. 3rd ed. Management Concepts Press.</w:t>
      </w:r>
    </w:p>
    <w:p w14:paraId="758A9043" w14:textId="77777777" w:rsidR="00C42E5A" w:rsidRDefault="00145A2F">
      <w:r>
        <w:t>Kerzner, H., 2021. Project Management: A Systems Approach to Planning, Scheduling, and Controlling. 12th ed. Wiley.</w:t>
      </w:r>
    </w:p>
    <w:p w14:paraId="758A9044" w14:textId="77777777" w:rsidR="00C42E5A" w:rsidRDefault="00145A2F">
      <w:r>
        <w:t>Lock, D., 2017. Project Management. 11th ed. Gower Publishing Ltd.</w:t>
      </w:r>
    </w:p>
    <w:p w14:paraId="758A9045" w14:textId="77777777" w:rsidR="00C42E5A" w:rsidRDefault="00145A2F">
      <w:r>
        <w:t>Maylor, H., 2017. Project Management. 5th ed. Pearson Education.</w:t>
      </w:r>
    </w:p>
    <w:p w14:paraId="758A9046" w14:textId="77777777" w:rsidR="00C42E5A" w:rsidRDefault="00145A2F">
      <w:r>
        <w:t>Office of Government Commerce, 2020. Managing Successful Projects with PRINCE2. 6th ed. Stationery Office.</w:t>
      </w:r>
    </w:p>
    <w:p w14:paraId="758A9047" w14:textId="77777777" w:rsidR="00C42E5A" w:rsidRDefault="00145A2F">
      <w:r>
        <w:t xml:space="preserve">Olander, S., 2018. Stakeholder Impact Analysis in Construction Project Management. Routledge. </w:t>
      </w:r>
    </w:p>
    <w:p w14:paraId="758A9048" w14:textId="77777777" w:rsidR="00C42E5A" w:rsidRDefault="00145A2F">
      <w:r>
        <w:t>PMI, 2021. A Guide to the Project Management Body of Knowledge (PMBOK Guide). 7th ed. Project Management Institute.</w:t>
      </w:r>
    </w:p>
    <w:p w14:paraId="758A9049" w14:textId="77777777" w:rsidR="00C42E5A" w:rsidRDefault="00145A2F">
      <w:r>
        <w:t>Schwalbe, K., 2018. Information Technology Project Management. 9th ed. Cengage Learning.</w:t>
      </w:r>
    </w:p>
    <w:p w14:paraId="758A904A" w14:textId="77777777" w:rsidR="00C42E5A" w:rsidRDefault="00145A2F">
      <w:r>
        <w:t>Turner, J.R., 2016. The Handbook of Project-based Management. 4th ed. McGraw-Hill.</w:t>
      </w:r>
    </w:p>
    <w:sectPr w:rsidR="00C42E5A">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E5A"/>
    <w:rsid w:val="00145A2F"/>
    <w:rsid w:val="00C4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A900D"/>
  <w15:docId w15:val="{E8E734D8-F745-4E14-8568-1AF3C9355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3097</Words>
  <Characters>17658</Characters>
  <Application>Microsoft Office Word</Application>
  <DocSecurity>0</DocSecurity>
  <Lines>147</Lines>
  <Paragraphs>41</Paragraphs>
  <ScaleCrop>false</ScaleCrop>
  <Company/>
  <LinksUpToDate>false</LinksUpToDate>
  <CharactersWithSpaces>20714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2</cp:revision>
  <dcterms:created xsi:type="dcterms:W3CDTF">2023-11-30T13:08:00Z</dcterms:created>
  <dcterms:modified xsi:type="dcterms:W3CDTF">2023-11-30T13:09:00Z</dcterms:modified>
</cp:coreProperties>
</file>