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2719252"/>
        <w:docPartObj>
          <w:docPartGallery w:val="Cover Pages"/>
          <w:docPartUnique/>
        </w:docPartObj>
      </w:sdtPr>
      <w:sdtEndPr/>
      <w:sdtContent>
        <w:p w:rsidR="00E3069C" w:rsidRDefault="00E3069C"/>
        <w:p w:rsidR="00E3069C" w:rsidRDefault="00E3069C">
          <w:pPr>
            <w:rPr>
              <w:rFonts w:asciiTheme="majorHAnsi" w:eastAsiaTheme="majorEastAsia" w:hAnsiTheme="majorHAnsi" w:cstheme="majorBidi"/>
              <w:color w:val="2F5496" w:themeColor="accent1" w:themeShade="BF"/>
              <w:sz w:val="32"/>
              <w:szCs w:val="32"/>
            </w:rPr>
          </w:pPr>
          <w:r>
            <w:rPr>
              <w:noProof/>
              <w:lang w:eastAsia="en-GB"/>
            </w:rPr>
            <mc:AlternateContent>
              <mc:Choice Requires="wps">
                <w:drawing>
                  <wp:anchor distT="0" distB="0" distL="114300" distR="114300" simplePos="0" relativeHeight="251662336" behindDoc="0" locked="0" layoutInCell="1" allowOverlap="1" wp14:anchorId="2EABDD34" wp14:editId="1251F29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17-11-18T00:00:00Z">
                                    <w:dateFormat w:val="MMMM d, yyyy"/>
                                    <w:lid w:val="en-US"/>
                                    <w:storeMappedDataAs w:val="dateTime"/>
                                    <w:calendar w:val="gregorian"/>
                                  </w:date>
                                </w:sdtPr>
                                <w:sdtEndPr/>
                                <w:sdtContent>
                                  <w:p w:rsidR="00E3069C" w:rsidRDefault="00E5354F">
                                    <w:pPr>
                                      <w:pStyle w:val="NoSpacing"/>
                                      <w:jc w:val="right"/>
                                      <w:rPr>
                                        <w:caps/>
                                        <w:color w:val="323E4F" w:themeColor="text2" w:themeShade="BF"/>
                                        <w:sz w:val="40"/>
                                        <w:szCs w:val="40"/>
                                      </w:rPr>
                                    </w:pPr>
                                    <w:r>
                                      <w:rPr>
                                        <w:caps/>
                                        <w:color w:val="323E4F" w:themeColor="text2" w:themeShade="BF"/>
                                        <w:sz w:val="40"/>
                                        <w:szCs w:val="40"/>
                                      </w:rPr>
                                      <w:t>November 18, 2017</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2EABDD34"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17-11-18T00:00:00Z">
                              <w:dateFormat w:val="MMMM d, yyyy"/>
                              <w:lid w:val="en-US"/>
                              <w:storeMappedDataAs w:val="dateTime"/>
                              <w:calendar w:val="gregorian"/>
                            </w:date>
                          </w:sdtPr>
                          <w:sdtEndPr/>
                          <w:sdtContent>
                            <w:p w:rsidR="00E3069C" w:rsidRDefault="00E5354F">
                              <w:pPr>
                                <w:pStyle w:val="NoSpacing"/>
                                <w:jc w:val="right"/>
                                <w:rPr>
                                  <w:caps/>
                                  <w:color w:val="323E4F" w:themeColor="text2" w:themeShade="BF"/>
                                  <w:sz w:val="40"/>
                                  <w:szCs w:val="40"/>
                                </w:rPr>
                              </w:pPr>
                              <w:r>
                                <w:rPr>
                                  <w:caps/>
                                  <w:color w:val="323E4F" w:themeColor="text2" w:themeShade="BF"/>
                                  <w:sz w:val="40"/>
                                  <w:szCs w:val="40"/>
                                </w:rPr>
                                <w:t>November 18, 2017</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6CD4C832" wp14:editId="3A11269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rsidR="00E3069C" w:rsidRDefault="00E3069C">
                                    <w:pPr>
                                      <w:pStyle w:val="NoSpacing"/>
                                      <w:jc w:val="right"/>
                                      <w:rPr>
                                        <w:caps/>
                                        <w:color w:val="262626" w:themeColor="text1" w:themeTint="D9"/>
                                        <w:sz w:val="28"/>
                                        <w:szCs w:val="28"/>
                                      </w:rPr>
                                    </w:pPr>
                                    <w:r>
                                      <w:rPr>
                                        <w:caps/>
                                        <w:color w:val="262626" w:themeColor="text1" w:themeTint="D9"/>
                                        <w:sz w:val="28"/>
                                        <w:szCs w:val="28"/>
                                      </w:rPr>
                                      <w:t>Christian Felices</w:t>
                                    </w:r>
                                  </w:p>
                                </w:sdtContent>
                              </w:sdt>
                              <w:p w:rsidR="00E3069C" w:rsidRDefault="0005152B">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E3069C">
                                      <w:rPr>
                                        <w:caps/>
                                        <w:color w:val="262626" w:themeColor="text1" w:themeTint="D9"/>
                                        <w:sz w:val="20"/>
                                        <w:szCs w:val="20"/>
                                      </w:rPr>
                                      <w:t>1402056</w:t>
                                    </w:r>
                                  </w:sdtContent>
                                </w:sdt>
                              </w:p>
                              <w:p w:rsidR="00E3069C" w:rsidRDefault="0005152B">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E3069C">
                                      <w:rPr>
                                        <w:color w:val="262626" w:themeColor="text1" w:themeTint="D9"/>
                                        <w:sz w:val="20"/>
                                        <w:szCs w:val="20"/>
                                      </w:rPr>
                                      <w:t>UWTSD PGCE (PCET)</w:t>
                                    </w:r>
                                  </w:sdtContent>
                                </w:sdt>
                                <w:r w:rsidR="00E3069C">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6CD4C832"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rsidR="00E3069C" w:rsidRDefault="00E3069C">
                              <w:pPr>
                                <w:pStyle w:val="NoSpacing"/>
                                <w:jc w:val="right"/>
                                <w:rPr>
                                  <w:caps/>
                                  <w:color w:val="262626" w:themeColor="text1" w:themeTint="D9"/>
                                  <w:sz w:val="28"/>
                                  <w:szCs w:val="28"/>
                                </w:rPr>
                              </w:pPr>
                              <w:r>
                                <w:rPr>
                                  <w:caps/>
                                  <w:color w:val="262626" w:themeColor="text1" w:themeTint="D9"/>
                                  <w:sz w:val="28"/>
                                  <w:szCs w:val="28"/>
                                </w:rPr>
                                <w:t>Christian Felices</w:t>
                              </w:r>
                            </w:p>
                          </w:sdtContent>
                        </w:sdt>
                        <w:p w:rsidR="00E3069C" w:rsidRDefault="0005152B">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E3069C">
                                <w:rPr>
                                  <w:caps/>
                                  <w:color w:val="262626" w:themeColor="text1" w:themeTint="D9"/>
                                  <w:sz w:val="20"/>
                                  <w:szCs w:val="20"/>
                                </w:rPr>
                                <w:t>1402056</w:t>
                              </w:r>
                            </w:sdtContent>
                          </w:sdt>
                        </w:p>
                        <w:p w:rsidR="00E3069C" w:rsidRDefault="0005152B">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EndPr/>
                            <w:sdtContent>
                              <w:r w:rsidR="00E3069C">
                                <w:rPr>
                                  <w:color w:val="262626" w:themeColor="text1" w:themeTint="D9"/>
                                  <w:sz w:val="20"/>
                                  <w:szCs w:val="20"/>
                                </w:rPr>
                                <w:t>UWTSD PGCE (PCET)</w:t>
                              </w:r>
                            </w:sdtContent>
                          </w:sdt>
                          <w:r w:rsidR="00E3069C">
                            <w:rPr>
                              <w:color w:val="262626" w:themeColor="text1" w:themeTint="D9"/>
                              <w:sz w:val="20"/>
                              <w:szCs w:val="20"/>
                            </w:rPr>
                            <w:t xml:space="preserve"> </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3F025595" wp14:editId="579A101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3069C" w:rsidRDefault="0005152B">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E3069C">
                                      <w:rPr>
                                        <w:caps/>
                                        <w:color w:val="323E4F" w:themeColor="text2" w:themeShade="BF"/>
                                        <w:sz w:val="52"/>
                                        <w:szCs w:val="52"/>
                                      </w:rPr>
                                      <w:t>M6X02269</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rsidR="00E3069C" w:rsidRDefault="00E3069C">
                                    <w:pPr>
                                      <w:pStyle w:val="NoSpacing"/>
                                      <w:jc w:val="right"/>
                                      <w:rPr>
                                        <w:smallCaps/>
                                        <w:color w:val="44546A" w:themeColor="text2"/>
                                        <w:sz w:val="36"/>
                                        <w:szCs w:val="36"/>
                                      </w:rPr>
                                    </w:pPr>
                                    <w:r>
                                      <w:rPr>
                                        <w:smallCaps/>
                                        <w:color w:val="44546A" w:themeColor="text2"/>
                                        <w:sz w:val="36"/>
                                        <w:szCs w:val="36"/>
                                      </w:rPr>
                                      <w:t>EFFECTIVE TEACHING, LEARNING AND ASSESSMENT IN PCET</w:t>
                                    </w:r>
                                    <w:r w:rsidR="00CE680F">
                                      <w:rPr>
                                        <w:smallCaps/>
                                        <w:color w:val="44546A" w:themeColor="text2"/>
                                        <w:sz w:val="36"/>
                                        <w:szCs w:val="36"/>
                                      </w:rPr>
                                      <w:t xml:space="preserve"> word count: 2538</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3F025595"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rsidR="00E3069C" w:rsidRDefault="0005152B">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E3069C">
                                <w:rPr>
                                  <w:caps/>
                                  <w:color w:val="323E4F" w:themeColor="text2" w:themeShade="BF"/>
                                  <w:sz w:val="52"/>
                                  <w:szCs w:val="52"/>
                                </w:rPr>
                                <w:t>M6X02269</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rsidR="00E3069C" w:rsidRDefault="00E3069C">
                              <w:pPr>
                                <w:pStyle w:val="NoSpacing"/>
                                <w:jc w:val="right"/>
                                <w:rPr>
                                  <w:smallCaps/>
                                  <w:color w:val="44546A" w:themeColor="text2"/>
                                  <w:sz w:val="36"/>
                                  <w:szCs w:val="36"/>
                                </w:rPr>
                              </w:pPr>
                              <w:r>
                                <w:rPr>
                                  <w:smallCaps/>
                                  <w:color w:val="44546A" w:themeColor="text2"/>
                                  <w:sz w:val="36"/>
                                  <w:szCs w:val="36"/>
                                </w:rPr>
                                <w:t>EFFECTIVE TEACHING, LEARNING AND ASSESSMENT IN PCET</w:t>
                              </w:r>
                              <w:r w:rsidR="00CE680F">
                                <w:rPr>
                                  <w:smallCaps/>
                                  <w:color w:val="44546A" w:themeColor="text2"/>
                                  <w:sz w:val="36"/>
                                  <w:szCs w:val="36"/>
                                </w:rPr>
                                <w:t xml:space="preserve"> word count: 2538</w:t>
                              </w:r>
                            </w:p>
                          </w:sdtContent>
                        </w:sdt>
                      </w:txbxContent>
                    </v:textbox>
                    <w10:wrap type="square" anchorx="page" anchory="page"/>
                  </v:shape>
                </w:pict>
              </mc:Fallback>
            </mc:AlternateContent>
          </w:r>
          <w:r>
            <w:rPr>
              <w:noProof/>
              <w:lang w:eastAsia="en-GB"/>
            </w:rPr>
            <mc:AlternateContent>
              <mc:Choice Requires="wpg">
                <w:drawing>
                  <wp:anchor distT="0" distB="0" distL="114300" distR="114300" simplePos="0" relativeHeight="251659264" behindDoc="0" locked="0" layoutInCell="1" allowOverlap="1" wp14:anchorId="4C682FD3" wp14:editId="53FF99F4">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57FEF3D"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br w:type="page"/>
          </w:r>
        </w:p>
      </w:sdtContent>
    </w:sdt>
    <w:p w:rsidR="00E5354F" w:rsidRDefault="00E5354F" w:rsidP="008E1FA6"/>
    <w:p w:rsidR="00E5354F" w:rsidRDefault="00E5354F" w:rsidP="008E1FA6"/>
    <w:p w:rsidR="00E3069C" w:rsidRDefault="00E3069C" w:rsidP="008E1FA6">
      <w:r>
        <w:fldChar w:fldCharType="begin"/>
      </w:r>
      <w:r>
        <w:instrText xml:space="preserve"> XE "</w:instrText>
      </w:r>
      <w:r w:rsidRPr="00A37240">
        <w:instrText>authentic</w:instrText>
      </w:r>
      <w:r>
        <w:instrText xml:space="preserve">" \i </w:instrText>
      </w:r>
      <w:r>
        <w:fldChar w:fldCharType="end"/>
      </w:r>
    </w:p>
    <w:sdt>
      <w:sdtPr>
        <w:id w:val="-75588971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CE680F" w:rsidRDefault="00CE680F">
          <w:pPr>
            <w:pStyle w:val="TOCHeading"/>
          </w:pPr>
          <w:r>
            <w:t>Table of Contents</w:t>
          </w:r>
        </w:p>
        <w:p w:rsidR="00E5354F" w:rsidRDefault="00CE680F">
          <w:pPr>
            <w:pStyle w:val="TOC1"/>
            <w:tabs>
              <w:tab w:val="right" w:leader="dot" w:pos="9016"/>
            </w:tabs>
            <w:rPr>
              <w:rFonts w:eastAsiaTheme="minorEastAsia"/>
              <w:noProof/>
              <w:lang w:val="en-US"/>
            </w:rPr>
          </w:pPr>
          <w:r>
            <w:fldChar w:fldCharType="begin"/>
          </w:r>
          <w:r>
            <w:instrText xml:space="preserve"> TOC \o "1-3" \h \z \u </w:instrText>
          </w:r>
          <w:r>
            <w:fldChar w:fldCharType="separate"/>
          </w:r>
          <w:hyperlink w:anchor="_Toc498810760" w:history="1">
            <w:r w:rsidR="00E5354F" w:rsidRPr="00AC314A">
              <w:rPr>
                <w:rStyle w:val="Hyperlink"/>
                <w:noProof/>
              </w:rPr>
              <w:t>Introduction</w:t>
            </w:r>
            <w:r w:rsidR="00E5354F">
              <w:rPr>
                <w:noProof/>
                <w:webHidden/>
              </w:rPr>
              <w:tab/>
            </w:r>
            <w:r w:rsidR="00E5354F">
              <w:rPr>
                <w:noProof/>
                <w:webHidden/>
              </w:rPr>
              <w:fldChar w:fldCharType="begin"/>
            </w:r>
            <w:r w:rsidR="00E5354F">
              <w:rPr>
                <w:noProof/>
                <w:webHidden/>
              </w:rPr>
              <w:instrText xml:space="preserve"> PAGEREF _Toc498810760 \h </w:instrText>
            </w:r>
            <w:r w:rsidR="00E5354F">
              <w:rPr>
                <w:noProof/>
                <w:webHidden/>
              </w:rPr>
            </w:r>
            <w:r w:rsidR="00E5354F">
              <w:rPr>
                <w:noProof/>
                <w:webHidden/>
              </w:rPr>
              <w:fldChar w:fldCharType="separate"/>
            </w:r>
            <w:r w:rsidR="00E5354F">
              <w:rPr>
                <w:noProof/>
                <w:webHidden/>
              </w:rPr>
              <w:t>3</w:t>
            </w:r>
            <w:r w:rsidR="00E5354F">
              <w:rPr>
                <w:noProof/>
                <w:webHidden/>
              </w:rPr>
              <w:fldChar w:fldCharType="end"/>
            </w:r>
          </w:hyperlink>
        </w:p>
        <w:p w:rsidR="00E5354F" w:rsidRDefault="00E5354F">
          <w:pPr>
            <w:pStyle w:val="TOC1"/>
            <w:tabs>
              <w:tab w:val="right" w:leader="dot" w:pos="9016"/>
            </w:tabs>
            <w:rPr>
              <w:rFonts w:eastAsiaTheme="minorEastAsia"/>
              <w:noProof/>
              <w:lang w:val="en-US"/>
            </w:rPr>
          </w:pPr>
          <w:hyperlink w:anchor="_Toc498810761" w:history="1">
            <w:r w:rsidRPr="00AC314A">
              <w:rPr>
                <w:rStyle w:val="Hyperlink"/>
                <w:noProof/>
              </w:rPr>
              <w:t>Findings</w:t>
            </w:r>
            <w:r>
              <w:rPr>
                <w:noProof/>
                <w:webHidden/>
              </w:rPr>
              <w:tab/>
            </w:r>
            <w:r>
              <w:rPr>
                <w:noProof/>
                <w:webHidden/>
              </w:rPr>
              <w:fldChar w:fldCharType="begin"/>
            </w:r>
            <w:r>
              <w:rPr>
                <w:noProof/>
                <w:webHidden/>
              </w:rPr>
              <w:instrText xml:space="preserve"> PAGEREF _Toc498810761 \h </w:instrText>
            </w:r>
            <w:r>
              <w:rPr>
                <w:noProof/>
                <w:webHidden/>
              </w:rPr>
            </w:r>
            <w:r>
              <w:rPr>
                <w:noProof/>
                <w:webHidden/>
              </w:rPr>
              <w:fldChar w:fldCharType="separate"/>
            </w:r>
            <w:r>
              <w:rPr>
                <w:noProof/>
                <w:webHidden/>
              </w:rPr>
              <w:t>3</w:t>
            </w:r>
            <w:r>
              <w:rPr>
                <w:noProof/>
                <w:webHidden/>
              </w:rPr>
              <w:fldChar w:fldCharType="end"/>
            </w:r>
          </w:hyperlink>
        </w:p>
        <w:p w:rsidR="00E5354F" w:rsidRDefault="00E5354F">
          <w:pPr>
            <w:pStyle w:val="TOC1"/>
            <w:tabs>
              <w:tab w:val="right" w:leader="dot" w:pos="9016"/>
            </w:tabs>
            <w:rPr>
              <w:rFonts w:eastAsiaTheme="minorEastAsia"/>
              <w:noProof/>
              <w:lang w:val="en-US"/>
            </w:rPr>
          </w:pPr>
          <w:hyperlink w:anchor="_Toc498810762" w:history="1">
            <w:r w:rsidRPr="00AC314A">
              <w:rPr>
                <w:rStyle w:val="Hyperlink"/>
                <w:noProof/>
              </w:rPr>
              <w:t>Cross-cutting themes versus Cross-curricular themes</w:t>
            </w:r>
            <w:r>
              <w:rPr>
                <w:noProof/>
                <w:webHidden/>
              </w:rPr>
              <w:tab/>
            </w:r>
            <w:r>
              <w:rPr>
                <w:noProof/>
                <w:webHidden/>
              </w:rPr>
              <w:fldChar w:fldCharType="begin"/>
            </w:r>
            <w:r>
              <w:rPr>
                <w:noProof/>
                <w:webHidden/>
              </w:rPr>
              <w:instrText xml:space="preserve"> PAGEREF _Toc498810762 \h </w:instrText>
            </w:r>
            <w:r>
              <w:rPr>
                <w:noProof/>
                <w:webHidden/>
              </w:rPr>
            </w:r>
            <w:r>
              <w:rPr>
                <w:noProof/>
                <w:webHidden/>
              </w:rPr>
              <w:fldChar w:fldCharType="separate"/>
            </w:r>
            <w:r>
              <w:rPr>
                <w:noProof/>
                <w:webHidden/>
              </w:rPr>
              <w:t>3</w:t>
            </w:r>
            <w:r>
              <w:rPr>
                <w:noProof/>
                <w:webHidden/>
              </w:rPr>
              <w:fldChar w:fldCharType="end"/>
            </w:r>
          </w:hyperlink>
        </w:p>
        <w:p w:rsidR="00E5354F" w:rsidRDefault="00E5354F">
          <w:pPr>
            <w:pStyle w:val="TOC1"/>
            <w:tabs>
              <w:tab w:val="right" w:leader="dot" w:pos="9016"/>
            </w:tabs>
            <w:rPr>
              <w:rFonts w:eastAsiaTheme="minorEastAsia"/>
              <w:noProof/>
              <w:lang w:val="en-US"/>
            </w:rPr>
          </w:pPr>
          <w:hyperlink w:anchor="_Toc498810763" w:history="1">
            <w:r w:rsidRPr="00AC314A">
              <w:rPr>
                <w:rStyle w:val="Hyperlink"/>
                <w:noProof/>
              </w:rPr>
              <w:t>The session</w:t>
            </w:r>
            <w:r>
              <w:rPr>
                <w:noProof/>
                <w:webHidden/>
              </w:rPr>
              <w:tab/>
            </w:r>
            <w:r>
              <w:rPr>
                <w:noProof/>
                <w:webHidden/>
              </w:rPr>
              <w:fldChar w:fldCharType="begin"/>
            </w:r>
            <w:r>
              <w:rPr>
                <w:noProof/>
                <w:webHidden/>
              </w:rPr>
              <w:instrText xml:space="preserve"> PAGEREF _Toc498810763 \h </w:instrText>
            </w:r>
            <w:r>
              <w:rPr>
                <w:noProof/>
                <w:webHidden/>
              </w:rPr>
            </w:r>
            <w:r>
              <w:rPr>
                <w:noProof/>
                <w:webHidden/>
              </w:rPr>
              <w:fldChar w:fldCharType="separate"/>
            </w:r>
            <w:r>
              <w:rPr>
                <w:noProof/>
                <w:webHidden/>
              </w:rPr>
              <w:t>6</w:t>
            </w:r>
            <w:r>
              <w:rPr>
                <w:noProof/>
                <w:webHidden/>
              </w:rPr>
              <w:fldChar w:fldCharType="end"/>
            </w:r>
          </w:hyperlink>
        </w:p>
        <w:p w:rsidR="00E5354F" w:rsidRDefault="00E5354F">
          <w:pPr>
            <w:pStyle w:val="TOC1"/>
            <w:tabs>
              <w:tab w:val="right" w:leader="dot" w:pos="9016"/>
            </w:tabs>
            <w:rPr>
              <w:rFonts w:eastAsiaTheme="minorEastAsia"/>
              <w:noProof/>
              <w:lang w:val="en-US"/>
            </w:rPr>
          </w:pPr>
          <w:hyperlink w:anchor="_Toc498810764" w:history="1">
            <w:r w:rsidRPr="00AC314A">
              <w:rPr>
                <w:rStyle w:val="Hyperlink"/>
                <w:noProof/>
              </w:rPr>
              <w:t>Summary</w:t>
            </w:r>
            <w:r>
              <w:rPr>
                <w:noProof/>
                <w:webHidden/>
              </w:rPr>
              <w:tab/>
            </w:r>
            <w:r>
              <w:rPr>
                <w:noProof/>
                <w:webHidden/>
              </w:rPr>
              <w:fldChar w:fldCharType="begin"/>
            </w:r>
            <w:r>
              <w:rPr>
                <w:noProof/>
                <w:webHidden/>
              </w:rPr>
              <w:instrText xml:space="preserve"> PAGEREF _Toc498810764 \h </w:instrText>
            </w:r>
            <w:r>
              <w:rPr>
                <w:noProof/>
                <w:webHidden/>
              </w:rPr>
            </w:r>
            <w:r>
              <w:rPr>
                <w:noProof/>
                <w:webHidden/>
              </w:rPr>
              <w:fldChar w:fldCharType="separate"/>
            </w:r>
            <w:r>
              <w:rPr>
                <w:noProof/>
                <w:webHidden/>
              </w:rPr>
              <w:t>9</w:t>
            </w:r>
            <w:r>
              <w:rPr>
                <w:noProof/>
                <w:webHidden/>
              </w:rPr>
              <w:fldChar w:fldCharType="end"/>
            </w:r>
          </w:hyperlink>
        </w:p>
        <w:p w:rsidR="00E5354F" w:rsidRDefault="00E5354F">
          <w:pPr>
            <w:pStyle w:val="TOC1"/>
            <w:tabs>
              <w:tab w:val="right" w:leader="dot" w:pos="9016"/>
            </w:tabs>
            <w:rPr>
              <w:rFonts w:eastAsiaTheme="minorEastAsia"/>
              <w:noProof/>
              <w:lang w:val="en-US"/>
            </w:rPr>
          </w:pPr>
          <w:hyperlink w:anchor="_Toc498810765" w:history="1">
            <w:r w:rsidRPr="00AC314A">
              <w:rPr>
                <w:rStyle w:val="Hyperlink"/>
                <w:noProof/>
              </w:rPr>
              <w:t>References</w:t>
            </w:r>
            <w:r>
              <w:rPr>
                <w:noProof/>
                <w:webHidden/>
              </w:rPr>
              <w:tab/>
            </w:r>
            <w:r>
              <w:rPr>
                <w:noProof/>
                <w:webHidden/>
              </w:rPr>
              <w:fldChar w:fldCharType="begin"/>
            </w:r>
            <w:r>
              <w:rPr>
                <w:noProof/>
                <w:webHidden/>
              </w:rPr>
              <w:instrText xml:space="preserve"> PAGEREF _Toc498810765 \h </w:instrText>
            </w:r>
            <w:r>
              <w:rPr>
                <w:noProof/>
                <w:webHidden/>
              </w:rPr>
            </w:r>
            <w:r>
              <w:rPr>
                <w:noProof/>
                <w:webHidden/>
              </w:rPr>
              <w:fldChar w:fldCharType="separate"/>
            </w:r>
            <w:r>
              <w:rPr>
                <w:noProof/>
                <w:webHidden/>
              </w:rPr>
              <w:t>10</w:t>
            </w:r>
            <w:r>
              <w:rPr>
                <w:noProof/>
                <w:webHidden/>
              </w:rPr>
              <w:fldChar w:fldCharType="end"/>
            </w:r>
          </w:hyperlink>
        </w:p>
        <w:p w:rsidR="00E5354F" w:rsidRDefault="00E5354F">
          <w:pPr>
            <w:pStyle w:val="TOC1"/>
            <w:tabs>
              <w:tab w:val="right" w:leader="dot" w:pos="9016"/>
            </w:tabs>
            <w:rPr>
              <w:rFonts w:eastAsiaTheme="minorEastAsia"/>
              <w:noProof/>
              <w:lang w:val="en-US"/>
            </w:rPr>
          </w:pPr>
          <w:hyperlink w:anchor="_Toc498810766" w:history="1">
            <w:r w:rsidRPr="00AC314A">
              <w:rPr>
                <w:rStyle w:val="Hyperlink"/>
                <w:noProof/>
              </w:rPr>
              <w:t>Appendices</w:t>
            </w:r>
            <w:r>
              <w:rPr>
                <w:noProof/>
                <w:webHidden/>
              </w:rPr>
              <w:tab/>
            </w:r>
            <w:r>
              <w:rPr>
                <w:noProof/>
                <w:webHidden/>
              </w:rPr>
              <w:fldChar w:fldCharType="begin"/>
            </w:r>
            <w:r>
              <w:rPr>
                <w:noProof/>
                <w:webHidden/>
              </w:rPr>
              <w:instrText xml:space="preserve"> PAGEREF _Toc498810766 \h </w:instrText>
            </w:r>
            <w:r>
              <w:rPr>
                <w:noProof/>
                <w:webHidden/>
              </w:rPr>
            </w:r>
            <w:r>
              <w:rPr>
                <w:noProof/>
                <w:webHidden/>
              </w:rPr>
              <w:fldChar w:fldCharType="separate"/>
            </w:r>
            <w:r>
              <w:rPr>
                <w:noProof/>
                <w:webHidden/>
              </w:rPr>
              <w:t>13</w:t>
            </w:r>
            <w:r>
              <w:rPr>
                <w:noProof/>
                <w:webHidden/>
              </w:rPr>
              <w:fldChar w:fldCharType="end"/>
            </w:r>
          </w:hyperlink>
        </w:p>
        <w:p w:rsidR="00CE680F" w:rsidRDefault="00CE680F">
          <w:r>
            <w:rPr>
              <w:b/>
              <w:bCs/>
              <w:noProof/>
            </w:rPr>
            <w:fldChar w:fldCharType="end"/>
          </w:r>
        </w:p>
      </w:sdtContent>
    </w:sdt>
    <w:p w:rsidR="00E5354F" w:rsidRDefault="00E5354F">
      <w:pPr>
        <w:rPr>
          <w:rFonts w:asciiTheme="majorHAnsi" w:eastAsiaTheme="majorEastAsia" w:hAnsiTheme="majorHAnsi" w:cstheme="majorBidi"/>
          <w:color w:val="2F5496" w:themeColor="accent1" w:themeShade="BF"/>
          <w:sz w:val="32"/>
          <w:szCs w:val="32"/>
        </w:rPr>
      </w:pPr>
      <w:bookmarkStart w:id="0" w:name="_Toc498810760"/>
      <w:r>
        <w:br w:type="page"/>
      </w:r>
    </w:p>
    <w:p w:rsidR="00E3069C" w:rsidRDefault="00E3069C" w:rsidP="007B0F28">
      <w:pPr>
        <w:pStyle w:val="Heading1"/>
      </w:pPr>
      <w:r>
        <w:t>Introduction</w:t>
      </w:r>
      <w:bookmarkEnd w:id="0"/>
    </w:p>
    <w:p w:rsidR="00CE680F" w:rsidRDefault="00CE680F" w:rsidP="00CE680F">
      <w:pPr>
        <w:pStyle w:val="TimesRoman"/>
        <w:jc w:val="both"/>
      </w:pPr>
      <w:r>
        <w:t xml:space="preserve">The main component of the course is within the teaching practice, albeit on placement or within the micro-teach sessions. The development of growth opportunities that are presented within this setting is paramount in deepening levels of comprehension. </w:t>
      </w:r>
    </w:p>
    <w:p w:rsidR="00E3069C" w:rsidRDefault="00CE680F" w:rsidP="00CE680F">
      <w:pPr>
        <w:pStyle w:val="TimesRoman"/>
        <w:jc w:val="both"/>
      </w:pPr>
      <w:r>
        <w:t>How do we achieve this?</w:t>
      </w:r>
    </w:p>
    <w:p w:rsidR="00CE680F" w:rsidRDefault="00CE680F" w:rsidP="00CE680F">
      <w:pPr>
        <w:pStyle w:val="TimesRoman"/>
        <w:jc w:val="both"/>
      </w:pPr>
      <w:r>
        <w:t>Understanding the learning opportunities that the reflective process presents, and the manner in which people best understand, is the route in which a fuller level of growth can be achieved. To better comprehend this, contemporary pedagogies and cross-cutting themes were to be explored within this second micro-teach. The concept was to embed a cross-cutting theme, to the session to develop a multi-faceted teaching and learning experience.</w:t>
      </w:r>
    </w:p>
    <w:p w:rsidR="00CE680F" w:rsidRPr="003B39FA" w:rsidRDefault="00CE680F" w:rsidP="00CE680F">
      <w:pPr>
        <w:pStyle w:val="TimesRoman"/>
        <w:jc w:val="both"/>
      </w:pPr>
      <w:r>
        <w:t>Mindfulness was the chosen session, but the question arose – what is a cross-cutting theme? How can we implement it and add value?</w:t>
      </w:r>
    </w:p>
    <w:p w:rsidR="00E3069C" w:rsidRDefault="00E3069C" w:rsidP="007B0F28">
      <w:pPr>
        <w:pStyle w:val="Heading1"/>
      </w:pPr>
      <w:bookmarkStart w:id="1" w:name="_Toc498810761"/>
      <w:r>
        <w:t>Findings</w:t>
      </w:r>
      <w:bookmarkEnd w:id="1"/>
    </w:p>
    <w:p w:rsidR="00E3069C" w:rsidRPr="00A81E2C" w:rsidRDefault="00E3069C" w:rsidP="003F22BD">
      <w:pPr>
        <w:pStyle w:val="TimesRoman"/>
        <w:jc w:val="both"/>
      </w:pPr>
      <w:r>
        <w:t>During the evolutionary process that is the PGCE (PCET) course, and beyond into the wider industry, the focus is based around reflective and contemplative practice to develop a broader and deeper comprehension. The continuation of peer reviewed micro-teach sessions, instrumental in the attainment of such comprehension</w:t>
      </w:r>
      <w:r w:rsidR="00A81E2C">
        <w:t xml:space="preserve">. Nicol and Dosser </w:t>
      </w:r>
      <w:sdt>
        <w:sdtPr>
          <w:id w:val="400959288"/>
          <w:citation/>
        </w:sdtPr>
        <w:sdtContent>
          <w:r w:rsidR="00A81E2C">
            <w:fldChar w:fldCharType="begin"/>
          </w:r>
          <w:r w:rsidR="00A81E2C">
            <w:instrText xml:space="preserve">CITATION Nic161 \p 34 \n  \l 2057 </w:instrText>
          </w:r>
          <w:r w:rsidR="00A81E2C">
            <w:fldChar w:fldCharType="separate"/>
          </w:r>
          <w:r w:rsidR="00CE680F" w:rsidRPr="00CE680F">
            <w:rPr>
              <w:noProof/>
            </w:rPr>
            <w:t>(2016, p. 34)</w:t>
          </w:r>
          <w:r w:rsidR="00A81E2C">
            <w:fldChar w:fldCharType="end"/>
          </w:r>
        </w:sdtContent>
      </w:sdt>
      <w:r w:rsidR="00A81E2C">
        <w:t xml:space="preserve"> suggests that </w:t>
      </w:r>
      <w:r w:rsidR="00A81E2C" w:rsidRPr="00CE680F">
        <w:rPr>
          <w:rFonts w:cs="Times New Roman"/>
          <w:color w:val="555555"/>
          <w:szCs w:val="24"/>
          <w:shd w:val="clear" w:color="auto" w:fill="FFFFFF"/>
        </w:rPr>
        <w:t>“</w:t>
      </w:r>
      <w:r w:rsidR="00A81E2C" w:rsidRPr="00CE680F">
        <w:rPr>
          <w:rFonts w:cs="Times New Roman"/>
          <w:i/>
          <w:szCs w:val="24"/>
        </w:rPr>
        <w:t>the reflective process can be used as a valuable learning tool in preparation for revalidation</w:t>
      </w:r>
      <w:r w:rsidR="00A81E2C" w:rsidRPr="00A81E2C">
        <w:rPr>
          <w:rFonts w:cs="Times New Roman"/>
          <w:i/>
          <w:szCs w:val="24"/>
        </w:rPr>
        <w:t>”</w:t>
      </w:r>
      <w:r w:rsidR="00A81E2C" w:rsidRPr="00CE680F">
        <w:rPr>
          <w:rFonts w:cs="Times New Roman"/>
          <w:i/>
          <w:szCs w:val="24"/>
        </w:rPr>
        <w:t>.</w:t>
      </w:r>
      <w:r w:rsidR="00A81E2C">
        <w:rPr>
          <w:rFonts w:cs="Times New Roman"/>
          <w:i/>
          <w:szCs w:val="24"/>
        </w:rPr>
        <w:t xml:space="preserve"> </w:t>
      </w:r>
      <w:r w:rsidR="00A81E2C" w:rsidRPr="00CE680F">
        <w:rPr>
          <w:rFonts w:cs="Times New Roman"/>
          <w:szCs w:val="24"/>
        </w:rPr>
        <w:t>It is this very reason that</w:t>
      </w:r>
      <w:r w:rsidR="00A81E2C">
        <w:rPr>
          <w:rFonts w:cs="Times New Roman"/>
          <w:i/>
          <w:szCs w:val="24"/>
        </w:rPr>
        <w:t xml:space="preserve"> </w:t>
      </w:r>
      <w:r w:rsidR="00A81E2C">
        <w:rPr>
          <w:rFonts w:cs="Times New Roman"/>
          <w:szCs w:val="24"/>
        </w:rPr>
        <w:t>necessitates the usage of reflection for continuous development</w:t>
      </w:r>
      <w:r w:rsidR="006E088C">
        <w:rPr>
          <w:rFonts w:cs="Times New Roman"/>
          <w:szCs w:val="24"/>
        </w:rPr>
        <w:t xml:space="preserve"> and improvement</w:t>
      </w:r>
      <w:r w:rsidR="00A81E2C">
        <w:rPr>
          <w:rFonts w:cs="Times New Roman"/>
          <w:szCs w:val="24"/>
        </w:rPr>
        <w:t xml:space="preserve"> practices</w:t>
      </w:r>
      <w:r w:rsidR="00D24745">
        <w:rPr>
          <w:rFonts w:cs="Times New Roman"/>
          <w:szCs w:val="24"/>
        </w:rPr>
        <w:t>.</w:t>
      </w:r>
      <w:r w:rsidR="00A81E2C">
        <w:rPr>
          <w:rFonts w:cs="Times New Roman"/>
          <w:szCs w:val="24"/>
        </w:rPr>
        <w:t xml:space="preserve"> </w:t>
      </w:r>
    </w:p>
    <w:p w:rsidR="00E3069C" w:rsidRDefault="00E3069C" w:rsidP="003F22BD">
      <w:pPr>
        <w:pStyle w:val="TimesRoman"/>
        <w:jc w:val="both"/>
      </w:pPr>
      <w:r>
        <w:t>This second micro-teach was to be designed in such a manner as to introduce contemporary methods of teaching, or pedagogies, and how they can enhance the learner experience; promoting an engaging and inclusive environment. To coincide with the new methods, a cross-cutting theme was to be embedded, which could transcend far beyond the initial subject matter. Before we progress with the session, we must establish an understanding as to what constitutes a cross-cutting theme (CCT), and the pertinence of such in the modern education system.</w:t>
      </w:r>
    </w:p>
    <w:p w:rsidR="00E3069C" w:rsidRDefault="00E3069C" w:rsidP="003F22BD">
      <w:pPr>
        <w:pStyle w:val="Heading1"/>
      </w:pPr>
      <w:bookmarkStart w:id="2" w:name="_Toc498810762"/>
      <w:r>
        <w:t>Cross-cutting themes versus Cross-curricular themes</w:t>
      </w:r>
      <w:bookmarkEnd w:id="2"/>
    </w:p>
    <w:p w:rsidR="00E3069C" w:rsidRDefault="00E3069C" w:rsidP="003F22BD">
      <w:pPr>
        <w:pStyle w:val="TimesRoman"/>
        <w:jc w:val="both"/>
      </w:pPr>
      <w:r>
        <w:t>Upon the realisation of the necessity to include CCTs</w:t>
      </w:r>
      <w:r>
        <w:fldChar w:fldCharType="begin"/>
      </w:r>
      <w:r>
        <w:instrText xml:space="preserve"> XE "</w:instrText>
      </w:r>
      <w:r w:rsidRPr="00FC6456">
        <w:rPr>
          <w:noProof/>
        </w:rPr>
        <w:instrText>CCTs:</w:instrText>
      </w:r>
      <w:r w:rsidRPr="00FC6456">
        <w:instrText>CCT</w:instrText>
      </w:r>
      <w:r>
        <w:instrText xml:space="preserve">" \i </w:instrText>
      </w:r>
      <w:r>
        <w:fldChar w:fldCharType="end"/>
      </w:r>
      <w:r>
        <w:t xml:space="preserve">, there was, and continues to be some confusion amongst the cohort as to “what exactly is a cross-cutting theme?” </w:t>
      </w:r>
      <w:r w:rsidRPr="003F22BD">
        <w:t xml:space="preserve">The notion of </w:t>
      </w:r>
      <w:r>
        <w:t>CCTs</w:t>
      </w:r>
      <w:r>
        <w:fldChar w:fldCharType="begin"/>
      </w:r>
      <w:r>
        <w:instrText xml:space="preserve"> XE "</w:instrText>
      </w:r>
      <w:r w:rsidRPr="00FC6456">
        <w:rPr>
          <w:noProof/>
        </w:rPr>
        <w:instrText>CCTs:</w:instrText>
      </w:r>
      <w:r w:rsidRPr="00FC6456">
        <w:instrText>CCT</w:instrText>
      </w:r>
      <w:r>
        <w:instrText xml:space="preserve">" \i </w:instrText>
      </w:r>
      <w:r>
        <w:fldChar w:fldCharType="end"/>
      </w:r>
      <w:r w:rsidRPr="003F22BD">
        <w:t xml:space="preserve"> is a broad aspect: the basics are that unrelated subjects can overlap and be taught concurrently. They vary through tangible and</w:t>
      </w:r>
      <w:r>
        <w:t xml:space="preserve"> intangible (for example: Numeracy, ICT</w:t>
      </w:r>
      <w:r w:rsidRPr="003F22BD">
        <w:t>, English</w:t>
      </w:r>
      <w:r>
        <w:t xml:space="preserve"> (Tangible)</w:t>
      </w:r>
      <w:r w:rsidRPr="003F22BD">
        <w:t xml:space="preserve"> &amp; behaviours, moral compass</w:t>
      </w:r>
      <w:r>
        <w:t xml:space="preserve"> (Intangible)</w:t>
      </w:r>
      <w:r w:rsidRPr="003F22BD">
        <w:t xml:space="preserve">). </w:t>
      </w:r>
      <w:r>
        <w:t>As</w:t>
      </w:r>
      <w:r w:rsidRPr="003F22BD">
        <w:t xml:space="preserve"> </w:t>
      </w:r>
      <w:r>
        <w:t>illustrations we can suggest that</w:t>
      </w:r>
      <w:r w:rsidRPr="003F22BD">
        <w:t xml:space="preserve"> by learning accounting, you also </w:t>
      </w:r>
      <w:r>
        <w:t xml:space="preserve">inadvertently </w:t>
      </w:r>
      <w:r w:rsidRPr="003F22BD">
        <w:t>learn excel</w:t>
      </w:r>
      <w:r>
        <w:t>,</w:t>
      </w:r>
      <w:r w:rsidRPr="003F22BD">
        <w:t xml:space="preserve"> or by stud</w:t>
      </w:r>
      <w:r>
        <w:t>y</w:t>
      </w:r>
      <w:r w:rsidRPr="003F22BD">
        <w:t>ing ethics you also become more aware of, a</w:t>
      </w:r>
      <w:r>
        <w:t>nd adjust your moral compass. This notion of CCTs</w:t>
      </w:r>
      <w:r>
        <w:fldChar w:fldCharType="begin"/>
      </w:r>
      <w:r>
        <w:instrText xml:space="preserve"> XE "</w:instrText>
      </w:r>
      <w:r w:rsidRPr="00FC6456">
        <w:rPr>
          <w:noProof/>
        </w:rPr>
        <w:instrText>CCTs:</w:instrText>
      </w:r>
      <w:r w:rsidRPr="00FC6456">
        <w:instrText>CCT</w:instrText>
      </w:r>
      <w:r>
        <w:instrText xml:space="preserve">" \i </w:instrText>
      </w:r>
      <w:r>
        <w:fldChar w:fldCharType="end"/>
      </w:r>
      <w:r>
        <w:t xml:space="preserve"> conforms to that of the International Bureau of Education (IBE-UNESCO)</w:t>
      </w:r>
      <w:sdt>
        <w:sdtPr>
          <w:id w:val="-775092603"/>
          <w:citation/>
        </w:sdtPr>
        <w:sdtEndPr/>
        <w:sdtContent>
          <w:r>
            <w:fldChar w:fldCharType="begin"/>
          </w:r>
          <w:r>
            <w:instrText xml:space="preserve">CITATION IBE17 \n  \l 2057 </w:instrText>
          </w:r>
          <w:r>
            <w:fldChar w:fldCharType="separate"/>
          </w:r>
          <w:r w:rsidR="00CE680F">
            <w:rPr>
              <w:noProof/>
            </w:rPr>
            <w:t xml:space="preserve"> </w:t>
          </w:r>
          <w:r w:rsidR="00CE680F" w:rsidRPr="00CE680F">
            <w:rPr>
              <w:noProof/>
            </w:rPr>
            <w:t>(2017)</w:t>
          </w:r>
          <w:r>
            <w:fldChar w:fldCharType="end"/>
          </w:r>
        </w:sdtContent>
      </w:sdt>
      <w:r>
        <w:t xml:space="preserve">, which states that a CCT is: </w:t>
      </w:r>
    </w:p>
    <w:p w:rsidR="00E3069C" w:rsidRDefault="00E3069C" w:rsidP="003F22BD">
      <w:pPr>
        <w:pStyle w:val="TimesRoman"/>
        <w:ind w:left="540"/>
        <w:jc w:val="both"/>
        <w:rPr>
          <w:i/>
        </w:rPr>
      </w:pPr>
      <w:r w:rsidRPr="003F22BD">
        <w:rPr>
          <w:i/>
        </w:rPr>
        <w:t>“Important curriculum content which is to be covered across subjects (or disciplines or learning areas), rather than being taught and learned in one particular subject.</w:t>
      </w:r>
      <w:r>
        <w:rPr>
          <w:i/>
        </w:rPr>
        <w:t xml:space="preserve"> T</w:t>
      </w:r>
      <w:r w:rsidRPr="003F22BD">
        <w:rPr>
          <w:i/>
        </w:rPr>
        <w:t xml:space="preserve">hese themes can connect programme content across disciplinary boundaries”. </w:t>
      </w:r>
    </w:p>
    <w:p w:rsidR="00E3069C" w:rsidRDefault="00E3069C" w:rsidP="003F22BD">
      <w:pPr>
        <w:pStyle w:val="TimesRoman"/>
        <w:jc w:val="both"/>
      </w:pPr>
      <w:r>
        <w:t xml:space="preserve">It must be stated that the Welsh Government </w:t>
      </w:r>
      <w:sdt>
        <w:sdtPr>
          <w:id w:val="1190033653"/>
          <w:citation/>
        </w:sdtPr>
        <w:sdtEndPr/>
        <w:sdtContent>
          <w:r>
            <w:fldChar w:fldCharType="begin"/>
          </w:r>
          <w:r>
            <w:instrText xml:space="preserve">CITATION Wel17 \n  \l 2057 </w:instrText>
          </w:r>
          <w:r>
            <w:fldChar w:fldCharType="separate"/>
          </w:r>
          <w:r w:rsidR="00CE680F" w:rsidRPr="00CE680F">
            <w:rPr>
              <w:noProof/>
            </w:rPr>
            <w:t>(2017)</w:t>
          </w:r>
          <w:r>
            <w:fldChar w:fldCharType="end"/>
          </w:r>
        </w:sdtContent>
      </w:sdt>
      <w:r>
        <w:t xml:space="preserve"> has outlined CCTs</w:t>
      </w:r>
      <w:r>
        <w:fldChar w:fldCharType="begin"/>
      </w:r>
      <w:r>
        <w:instrText xml:space="preserve"> XE "</w:instrText>
      </w:r>
      <w:r w:rsidRPr="00FC6456">
        <w:rPr>
          <w:noProof/>
        </w:rPr>
        <w:instrText>CCTs:</w:instrText>
      </w:r>
      <w:r w:rsidRPr="00FC6456">
        <w:instrText>CCT</w:instrText>
      </w:r>
      <w:r>
        <w:instrText xml:space="preserve">" \i </w:instrText>
      </w:r>
      <w:r>
        <w:fldChar w:fldCharType="end"/>
      </w:r>
      <w:r>
        <w:t xml:space="preserve"> as being of social awareness: Embedding equal opportunities, gender mainstreaming, sustainable development, Tackling poverty and social exclusion. These CCTs</w:t>
      </w:r>
      <w:r>
        <w:fldChar w:fldCharType="begin"/>
      </w:r>
      <w:r>
        <w:instrText xml:space="preserve"> XE "</w:instrText>
      </w:r>
      <w:r w:rsidRPr="00FC6456">
        <w:rPr>
          <w:noProof/>
        </w:rPr>
        <w:instrText>CCTs:</w:instrText>
      </w:r>
      <w:r w:rsidRPr="00FC6456">
        <w:instrText>CCT</w:instrText>
      </w:r>
      <w:r>
        <w:instrText xml:space="preserve">" \i </w:instrText>
      </w:r>
      <w:r>
        <w:fldChar w:fldCharType="end"/>
      </w:r>
      <w:r>
        <w:t xml:space="preserve"> are aligned to those of the EU and UNESCO. While these indeed do constitute the ‘Global’ objectives of CCTs</w:t>
      </w:r>
      <w:r>
        <w:fldChar w:fldCharType="begin"/>
      </w:r>
      <w:r>
        <w:instrText xml:space="preserve"> XE "</w:instrText>
      </w:r>
      <w:r w:rsidRPr="00FC6456">
        <w:rPr>
          <w:noProof/>
        </w:rPr>
        <w:instrText>CCTs:</w:instrText>
      </w:r>
      <w:r w:rsidRPr="00FC6456">
        <w:instrText>CCT</w:instrText>
      </w:r>
      <w:r>
        <w:instrText xml:space="preserve">" \i </w:instrText>
      </w:r>
      <w:r>
        <w:fldChar w:fldCharType="end"/>
      </w:r>
      <w:r>
        <w:t>, on the smaller, domestic agenda we are looking more at employability and essential skills</w:t>
      </w:r>
      <w:r>
        <w:rPr>
          <w:noProof/>
        </w:rPr>
        <w:t xml:space="preserve"> (NPTCgroup, 2017; Dixon &amp; Casey, 2013; </w:t>
      </w:r>
      <w:r w:rsidRPr="003F22BD">
        <w:rPr>
          <w:noProof/>
        </w:rPr>
        <w:t>Learning, Skills &amp; Innovation Partnership, 2016)</w:t>
      </w:r>
      <w:r>
        <w:rPr>
          <w:noProof/>
        </w:rPr>
        <w:t>.</w:t>
      </w:r>
      <w:r>
        <w:t xml:space="preserve"> </w:t>
      </w:r>
    </w:p>
    <w:p w:rsidR="00E3069C" w:rsidRDefault="00E3069C" w:rsidP="003F22BD">
      <w:pPr>
        <w:pStyle w:val="TimesRoman"/>
        <w:jc w:val="both"/>
      </w:pPr>
      <w:r>
        <w:t xml:space="preserve">Employability skills are a multi-faceted and multi-dimensional concept that includes knowledge, skills and attributes that should be possessed in order to succeed in the workplace </w:t>
      </w:r>
      <w:sdt>
        <w:sdtPr>
          <w:id w:val="-968437883"/>
          <w:citation/>
        </w:sdtPr>
        <w:sdtEndPr/>
        <w:sdtContent>
          <w:r>
            <w:fldChar w:fldCharType="begin"/>
          </w:r>
          <w:r>
            <w:instrText xml:space="preserve"> CITATION Dee14 \l 2057 </w:instrText>
          </w:r>
          <w:r>
            <w:fldChar w:fldCharType="separate"/>
          </w:r>
          <w:r w:rsidR="00CE680F" w:rsidRPr="00CE680F">
            <w:rPr>
              <w:noProof/>
            </w:rPr>
            <w:t>(Deeley, 2014)</w:t>
          </w:r>
          <w:r>
            <w:fldChar w:fldCharType="end"/>
          </w:r>
        </w:sdtContent>
      </w:sdt>
      <w:r>
        <w:t>. These attributes are moving beyond that of the generic job description and in to a wider remit of organisational and social growth. In fact, the current ‘top 10’ list of what employers are looking for include the following (amongst others):</w:t>
      </w:r>
    </w:p>
    <w:p w:rsidR="00E3069C" w:rsidRDefault="00E3069C" w:rsidP="00174795">
      <w:pPr>
        <w:pStyle w:val="TimesRoman"/>
        <w:numPr>
          <w:ilvl w:val="0"/>
          <w:numId w:val="10"/>
        </w:numPr>
        <w:jc w:val="both"/>
      </w:pPr>
      <w:r>
        <w:t>Communication, both written and verbal</w:t>
      </w:r>
    </w:p>
    <w:p w:rsidR="00E3069C" w:rsidRDefault="00E3069C" w:rsidP="00174795">
      <w:pPr>
        <w:pStyle w:val="TimesRoman"/>
        <w:numPr>
          <w:ilvl w:val="0"/>
          <w:numId w:val="10"/>
        </w:numPr>
        <w:jc w:val="both"/>
      </w:pPr>
      <w:r>
        <w:t>Teamwork</w:t>
      </w:r>
    </w:p>
    <w:p w:rsidR="00E3069C" w:rsidRDefault="00E3069C" w:rsidP="00174795">
      <w:pPr>
        <w:pStyle w:val="TimesRoman"/>
        <w:numPr>
          <w:ilvl w:val="0"/>
          <w:numId w:val="10"/>
        </w:numPr>
        <w:jc w:val="both"/>
      </w:pPr>
      <w:r>
        <w:t>Planning and organising</w:t>
      </w:r>
    </w:p>
    <w:p w:rsidR="00E3069C" w:rsidRDefault="00E3069C" w:rsidP="00174795">
      <w:pPr>
        <w:pStyle w:val="TimesRoman"/>
        <w:numPr>
          <w:ilvl w:val="0"/>
          <w:numId w:val="10"/>
        </w:numPr>
        <w:jc w:val="both"/>
      </w:pPr>
      <w:r>
        <w:t>Time management</w:t>
      </w:r>
    </w:p>
    <w:p w:rsidR="00E3069C" w:rsidRDefault="00E3069C" w:rsidP="00174795">
      <w:pPr>
        <w:pStyle w:val="TimesRoman"/>
        <w:jc w:val="both"/>
      </w:pPr>
      <w:r>
        <w:t xml:space="preserve">These items listed are rather generic, and in </w:t>
      </w:r>
      <w:r w:rsidR="00CE680F">
        <w:t>reality,</w:t>
      </w:r>
      <w:r>
        <w:t xml:space="preserve"> should be embedded in any and all sessions within an education setting. Perhaps the more pressing agenda should be a manner in which that core skills that are deemed to be in high demand can be administered. This is perhaps where ICT becomes more prevalent</w:t>
      </w:r>
      <w:r w:rsidR="00D24745">
        <w:t>?</w:t>
      </w:r>
      <w:r>
        <w:t xml:space="preserve"> However, the UK as a whole</w:t>
      </w:r>
      <w:r w:rsidR="00D24745">
        <w:t>,</w:t>
      </w:r>
      <w:r>
        <w:t xml:space="preserve"> has many skills and competence shortages, drawn from an economy that has moved from manufacturing to the service sector, and an education system that is bound to strict values and bureaucratic procedure. </w:t>
      </w:r>
      <w:r w:rsidR="00D24745">
        <w:t xml:space="preserve">While the education system is focused on key skills, it is obviously failing; the Federation of Small Business amongst others, suggesting levels of literacy and numeracy as concerning </w:t>
      </w:r>
      <w:r w:rsidR="00D24745">
        <w:rPr>
          <w:noProof/>
        </w:rPr>
        <w:t xml:space="preserve">(Gordon, 2015; </w:t>
      </w:r>
      <w:r w:rsidR="00D24745" w:rsidRPr="00CE680F">
        <w:rPr>
          <w:noProof/>
        </w:rPr>
        <w:t>Elkin, 2013)</w:t>
      </w:r>
      <w:r w:rsidR="00D24745">
        <w:rPr>
          <w:noProof/>
        </w:rPr>
        <w:t>.</w:t>
      </w:r>
    </w:p>
    <w:p w:rsidR="00E3069C" w:rsidRDefault="00E3069C" w:rsidP="00174795">
      <w:pPr>
        <w:pStyle w:val="TimesRoman"/>
        <w:jc w:val="both"/>
      </w:pPr>
      <w:r>
        <w:t>While there is a necessity to establish a baseline standard of core competences, surely a more admirable and prosperous approach would be to focus upon developing and educating for ‘beyond the now’, whilst retaining these core elements? This could then be utilised as a means to move beyond, blending notion</w:t>
      </w:r>
      <w:r w:rsidR="00CE680F">
        <w:t>s</w:t>
      </w:r>
      <w:r>
        <w:t xml:space="preserve"> of cross-cutting themes and cro</w:t>
      </w:r>
      <w:r w:rsidR="00CE680F">
        <w:t>ss-curricular activity in to a positivistic</w:t>
      </w:r>
      <w:r>
        <w:t xml:space="preserve"> hidden curriculum.</w:t>
      </w:r>
    </w:p>
    <w:p w:rsidR="00CE680F" w:rsidRDefault="00CE680F" w:rsidP="00174795">
      <w:pPr>
        <w:pStyle w:val="TimesRoman"/>
        <w:jc w:val="both"/>
      </w:pPr>
      <w:r>
        <w:t xml:space="preserve">The hidden curriculum is the way in which values and behaviours are transmitted through the culture </w:t>
      </w:r>
      <w:r>
        <w:t>of the institution</w:t>
      </w:r>
      <w:r>
        <w:t xml:space="preserve"> </w:t>
      </w:r>
      <w:sdt>
        <w:sdtPr>
          <w:id w:val="-1447309900"/>
          <w:citation/>
        </w:sdtPr>
        <w:sdtContent>
          <w:r>
            <w:fldChar w:fldCharType="begin"/>
          </w:r>
          <w:r>
            <w:instrText xml:space="preserve"> CITATION Sco09 \l 2057 </w:instrText>
          </w:r>
          <w:r>
            <w:fldChar w:fldCharType="separate"/>
          </w:r>
          <w:r w:rsidRPr="00CE680F">
            <w:rPr>
              <w:noProof/>
            </w:rPr>
            <w:t>(Scott &amp; Marshall, 2009)</w:t>
          </w:r>
          <w:r>
            <w:fldChar w:fldCharType="end"/>
          </w:r>
        </w:sdtContent>
      </w:sdt>
      <w:r>
        <w:t xml:space="preserve"> as a side effect, lessons that are not intended or as Jackson </w:t>
      </w:r>
      <w:sdt>
        <w:sdtPr>
          <w:id w:val="100304492"/>
          <w:citation/>
        </w:sdtPr>
        <w:sdtContent>
          <w:r>
            <w:fldChar w:fldCharType="begin"/>
          </w:r>
          <w:r>
            <w:instrText xml:space="preserve">CITATION Jac68 \p 17 \n  \l 2057 </w:instrText>
          </w:r>
          <w:r>
            <w:fldChar w:fldCharType="separate"/>
          </w:r>
          <w:r w:rsidRPr="00CE680F">
            <w:rPr>
              <w:noProof/>
            </w:rPr>
            <w:t>(1968, p. 17)</w:t>
          </w:r>
          <w:r>
            <w:fldChar w:fldCharType="end"/>
          </w:r>
        </w:sdtContent>
      </w:sdt>
      <w:r>
        <w:t xml:space="preserve"> stated </w:t>
      </w:r>
      <w:r w:rsidRPr="00CE680F">
        <w:rPr>
          <w:i/>
        </w:rPr>
        <w:t>“The unpublicised features of school life”.</w:t>
      </w:r>
      <w:r>
        <w:t xml:space="preserve"> Within this remit we ultimately have an opportunity to change the culture of where we teach, and the well-being of future generations.</w:t>
      </w:r>
    </w:p>
    <w:p w:rsidR="00E3069C" w:rsidRDefault="00E3069C" w:rsidP="003F22BD">
      <w:pPr>
        <w:pStyle w:val="TimesRoman"/>
        <w:jc w:val="both"/>
      </w:pPr>
      <w:r w:rsidRPr="003F22BD">
        <w:t>Cross-curricular</w:t>
      </w:r>
      <w:r>
        <w:t>,</w:t>
      </w:r>
      <w:r w:rsidRPr="003F22BD">
        <w:t xml:space="preserve"> is more about how outside subjects can influence or assist in the</w:t>
      </w:r>
      <w:r>
        <w:t xml:space="preserve"> teaching of a primary subject by design. An example of which can be how the use and understanding of historical president can integrated in to a lesson plan to construct a basis for contemporary issues; or a more relevant usage would be one that Rowley and Cooper </w:t>
      </w:r>
      <w:sdt>
        <w:sdtPr>
          <w:id w:val="1124350368"/>
          <w:citation/>
        </w:sdtPr>
        <w:sdtEndPr/>
        <w:sdtContent>
          <w:r>
            <w:fldChar w:fldCharType="begin"/>
          </w:r>
          <w:r>
            <w:instrText xml:space="preserve">CITATION Row09 \n  \l 2057 </w:instrText>
          </w:r>
          <w:r>
            <w:fldChar w:fldCharType="separate"/>
          </w:r>
          <w:r w:rsidR="00CE680F" w:rsidRPr="00CE680F">
            <w:rPr>
              <w:noProof/>
            </w:rPr>
            <w:t>(2009)</w:t>
          </w:r>
          <w:r>
            <w:fldChar w:fldCharType="end"/>
          </w:r>
        </w:sdtContent>
      </w:sdt>
      <w:r>
        <w:t xml:space="preserve"> suggests: using ICT as a means of enhancing the knowledge transfer when teaching geography. A further feasible example of a cross-curricular activity can be broached in the realms of psychology and business: knowledge of how you customers think can, and will influence how you operate your business.</w:t>
      </w:r>
    </w:p>
    <w:p w:rsidR="00E3069C" w:rsidRDefault="00E3069C" w:rsidP="003F22BD">
      <w:pPr>
        <w:pStyle w:val="TimesRoman"/>
        <w:jc w:val="both"/>
      </w:pPr>
      <w:r>
        <w:t>While this has moved beyond what was initially intended for this section of the document, it has highlighted perhaps some of the potential shortcomings of the CCT approach to improving long-term productivity, and thus the need to approach the subject from a different direction. A possible direction in which I wanted to explore and hopefully develop</w:t>
      </w:r>
      <w:r w:rsidR="00CE680F">
        <w:t xml:space="preserve"> within personal teaching practices</w:t>
      </w:r>
      <w:r>
        <w:t>.</w:t>
      </w:r>
    </w:p>
    <w:p w:rsidR="00E3069C" w:rsidRDefault="00E3069C" w:rsidP="003F22BD">
      <w:pPr>
        <w:pStyle w:val="TimesRoman"/>
        <w:jc w:val="both"/>
      </w:pPr>
      <w:r>
        <w:t>For this micro-teach, the concept of introducing a CCT became the session itself, and the decision was made to bring something that has been of personal benefit. A subject matter that can be implemented across any discipline and enhance the learner experience and multiple CCTs</w:t>
      </w:r>
      <w:r>
        <w:fldChar w:fldCharType="begin"/>
      </w:r>
      <w:r>
        <w:instrText xml:space="preserve"> XE "</w:instrText>
      </w:r>
      <w:r w:rsidRPr="00FC6456">
        <w:rPr>
          <w:noProof/>
        </w:rPr>
        <w:instrText>CCTs:</w:instrText>
      </w:r>
      <w:r w:rsidRPr="00FC6456">
        <w:instrText>CCT</w:instrText>
      </w:r>
      <w:r>
        <w:instrText xml:space="preserve">" \i </w:instrText>
      </w:r>
      <w:r>
        <w:fldChar w:fldCharType="end"/>
      </w:r>
      <w:r>
        <w:t xml:space="preserve"> concurrently, cohesively and subliminally </w:t>
      </w:r>
      <w:sdt>
        <w:sdtPr>
          <w:id w:val="361254748"/>
          <w:citation/>
        </w:sdtPr>
        <w:sdtEndPr/>
        <w:sdtContent>
          <w:r>
            <w:fldChar w:fldCharType="begin"/>
          </w:r>
          <w:r>
            <w:instrText xml:space="preserve"> CITATION Ano16 \l 2057 </w:instrText>
          </w:r>
          <w:r>
            <w:fldChar w:fldCharType="separate"/>
          </w:r>
          <w:r w:rsidR="00CE680F" w:rsidRPr="00CE680F">
            <w:rPr>
              <w:noProof/>
            </w:rPr>
            <w:t>(Anon, 2016)</w:t>
          </w:r>
          <w:r>
            <w:fldChar w:fldCharType="end"/>
          </w:r>
        </w:sdtContent>
      </w:sdt>
      <w:r>
        <w:t>. Establishing a sense of ‘cognitive belief’ and well-being will intrinsically link to, and benefit countless other CCTs, and society as a whole.</w:t>
      </w:r>
    </w:p>
    <w:p w:rsidR="00E3069C" w:rsidRDefault="00E3069C" w:rsidP="003F22BD">
      <w:pPr>
        <w:pStyle w:val="TimesRoman"/>
        <w:jc w:val="both"/>
      </w:pPr>
      <w:r>
        <w:t xml:space="preserve">Mindfulness has been proven to enhance Creative thinking, Problem solving and innovation whilst also reducing anxiety and stress </w:t>
      </w:r>
      <w:r>
        <w:rPr>
          <w:noProof/>
        </w:rPr>
        <w:t xml:space="preserve">(Dasa &amp; Brendel, 2017; </w:t>
      </w:r>
      <w:r w:rsidRPr="003F22BD">
        <w:rPr>
          <w:noProof/>
        </w:rPr>
        <w:t>Hülsheger, et al., 2013)</w:t>
      </w:r>
      <w:r>
        <w:t xml:space="preserve">. As such, is fast becoming a core component of social development </w:t>
      </w:r>
      <w:r w:rsidRPr="00A311FF">
        <w:rPr>
          <w:noProof/>
        </w:rPr>
        <w:t xml:space="preserve">(Schonert-Reichl, </w:t>
      </w:r>
      <w:r w:rsidRPr="00A311FF">
        <w:rPr>
          <w:i/>
          <w:noProof/>
        </w:rPr>
        <w:t>et al</w:t>
      </w:r>
      <w:r>
        <w:rPr>
          <w:noProof/>
        </w:rPr>
        <w:t xml:space="preserve">., 2015; </w:t>
      </w:r>
      <w:r w:rsidRPr="00A311FF">
        <w:rPr>
          <w:noProof/>
        </w:rPr>
        <w:t>Brown &amp; Ryan, 2003)</w:t>
      </w:r>
      <w:r>
        <w:t>. While it may not have been in strict adherence to the session brief, the benefits of mindfulness, could in turn become the CCTs</w:t>
      </w:r>
      <w:r>
        <w:fldChar w:fldCharType="begin"/>
      </w:r>
      <w:r>
        <w:instrText xml:space="preserve"> XE "</w:instrText>
      </w:r>
      <w:r w:rsidRPr="00FC6456">
        <w:rPr>
          <w:noProof/>
        </w:rPr>
        <w:instrText>CCTs:</w:instrText>
      </w:r>
      <w:r w:rsidRPr="00FC6456">
        <w:instrText>CCT</w:instrText>
      </w:r>
      <w:r>
        <w:instrText xml:space="preserve">" \i </w:instrText>
      </w:r>
      <w:r>
        <w:fldChar w:fldCharType="end"/>
      </w:r>
      <w:r>
        <w:t xml:space="preserve"> for this instance: Creative thinking, Problem solving, and innovation are of profound importance to the traditional notion of employability skills and general workplace well-being</w:t>
      </w:r>
      <w:r w:rsidR="00D24745">
        <w:t xml:space="preserve"> </w:t>
      </w:r>
      <w:r w:rsidR="00D24745" w:rsidRPr="00CE680F">
        <w:rPr>
          <w:noProof/>
        </w:rPr>
        <w:t xml:space="preserve">(Desai, </w:t>
      </w:r>
      <w:r w:rsidR="00D24745" w:rsidRPr="00CE680F">
        <w:rPr>
          <w:i/>
          <w:noProof/>
        </w:rPr>
        <w:t>et al</w:t>
      </w:r>
      <w:r w:rsidR="00D24745" w:rsidRPr="00CE680F">
        <w:rPr>
          <w:noProof/>
        </w:rPr>
        <w:t>., 2016</w:t>
      </w:r>
      <w:r w:rsidR="00D24745" w:rsidRPr="00D24745">
        <w:rPr>
          <w:noProof/>
        </w:rPr>
        <w:t xml:space="preserve">; </w:t>
      </w:r>
      <w:r w:rsidR="00D24745" w:rsidRPr="00CE680F">
        <w:rPr>
          <w:noProof/>
        </w:rPr>
        <w:t xml:space="preserve">Sarkar, </w:t>
      </w:r>
      <w:r w:rsidR="00D24745" w:rsidRPr="00CE680F">
        <w:rPr>
          <w:i/>
          <w:noProof/>
        </w:rPr>
        <w:t>et al</w:t>
      </w:r>
      <w:r w:rsidR="00D24745" w:rsidRPr="00CE680F">
        <w:rPr>
          <w:noProof/>
        </w:rPr>
        <w:t>., 2016)</w:t>
      </w:r>
      <w:r>
        <w:t>.</w:t>
      </w:r>
    </w:p>
    <w:p w:rsidR="00E3069C" w:rsidRDefault="00E3069C" w:rsidP="004563B0">
      <w:pPr>
        <w:pStyle w:val="Heading1"/>
      </w:pPr>
      <w:bookmarkStart w:id="3" w:name="_Toc498810763"/>
      <w:r>
        <w:t>The session</w:t>
      </w:r>
      <w:bookmarkEnd w:id="3"/>
    </w:p>
    <w:p w:rsidR="00E3069C" w:rsidRDefault="00E3069C" w:rsidP="003F22BD">
      <w:pPr>
        <w:pStyle w:val="TimesRoman"/>
        <w:jc w:val="both"/>
      </w:pPr>
      <w:r>
        <w:t>The session was outlined to start with a brief history of mindfulness,</w:t>
      </w:r>
      <w:r w:rsidR="00D24745">
        <w:t xml:space="preserve"> which touched upon its foundations in Hinduism and Buddhism. How it</w:t>
      </w:r>
      <w:r w:rsidR="006E088C">
        <w:t xml:space="preserve"> has</w:t>
      </w:r>
      <w:r w:rsidR="00D24745">
        <w:t xml:space="preserve"> influences</w:t>
      </w:r>
      <w:r w:rsidR="006E088C">
        <w:t xml:space="preserve"> within</w:t>
      </w:r>
      <w:r w:rsidR="00D24745">
        <w:t xml:space="preserve"> Islam and Christianity. The session</w:t>
      </w:r>
      <w:r>
        <w:t xml:space="preserve"> then</w:t>
      </w:r>
      <w:r w:rsidR="00D24745">
        <w:t xml:space="preserve"> went on to</w:t>
      </w:r>
      <w:r>
        <w:t xml:space="preserve"> </w:t>
      </w:r>
      <w:r w:rsidR="00D24745">
        <w:t>explore the possibilities of</w:t>
      </w:r>
      <w:r>
        <w:t xml:space="preserve"> mindfulness in context. This contemporary usage of mindfulness elaborated on its uses within the realms of Cognitive Behavioural Therapy</w:t>
      </w:r>
      <w:r w:rsidR="00D24745">
        <w:t xml:space="preserve"> </w:t>
      </w:r>
      <w:sdt>
        <w:sdtPr>
          <w:id w:val="1375738933"/>
          <w:citation/>
        </w:sdtPr>
        <w:sdtContent>
          <w:r w:rsidR="00D24745">
            <w:fldChar w:fldCharType="begin"/>
          </w:r>
          <w:r w:rsidR="00D24745">
            <w:instrText xml:space="preserve"> CITATION Seg12 \l 2057 </w:instrText>
          </w:r>
          <w:r w:rsidR="00D24745">
            <w:fldChar w:fldCharType="separate"/>
          </w:r>
          <w:r w:rsidR="00CE680F" w:rsidRPr="00CE680F">
            <w:rPr>
              <w:noProof/>
            </w:rPr>
            <w:t>(Segal, et al., 2012)</w:t>
          </w:r>
          <w:r w:rsidR="00D24745">
            <w:fldChar w:fldCharType="end"/>
          </w:r>
        </w:sdtContent>
      </w:sdt>
      <w:r w:rsidR="006E088C">
        <w:t>, Mindfulness-Based Stress Reduction (MBSR),</w:t>
      </w:r>
      <w:r>
        <w:t xml:space="preserve"> and the latest research pertaining to mindfulness being an additive treatment for those with autistic tendencies </w:t>
      </w:r>
      <w:r w:rsidRPr="00A311FF">
        <w:rPr>
          <w:noProof/>
        </w:rPr>
        <w:t xml:space="preserve">(Spek, </w:t>
      </w:r>
      <w:r w:rsidRPr="00A311FF">
        <w:rPr>
          <w:i/>
          <w:noProof/>
        </w:rPr>
        <w:t>et al</w:t>
      </w:r>
      <w:r>
        <w:rPr>
          <w:noProof/>
        </w:rPr>
        <w:t xml:space="preserve">., 2013; </w:t>
      </w:r>
      <w:r w:rsidRPr="00A311FF">
        <w:rPr>
          <w:noProof/>
        </w:rPr>
        <w:t>Cachia, 2017)</w:t>
      </w:r>
      <w:r>
        <w:t>. From here, the session flowed in to two contemporary pedagogies</w:t>
      </w:r>
      <w:r w:rsidR="006E088C">
        <w:t xml:space="preserve"> to help ingratiate the knowledge upon the cohort</w:t>
      </w:r>
      <w:r>
        <w:t>.</w:t>
      </w:r>
    </w:p>
    <w:p w:rsidR="00E3069C" w:rsidRDefault="00E3069C" w:rsidP="003F22BD">
      <w:pPr>
        <w:pStyle w:val="TimesRoman"/>
        <w:jc w:val="both"/>
      </w:pPr>
      <w:r>
        <w:t>Contemporary pedagogies move away from the parent/child approaches of traditional pedagogies, and the notion of leaders and followers. These contemporary pedagogies can be both numerous and diverse: Case studies and discussions/ debates currently proving to be the more popular as they can be easily controlled. However, are better suited to a different subject matter than intended in this instance.</w:t>
      </w:r>
    </w:p>
    <w:p w:rsidR="00E3069C" w:rsidRDefault="00E3069C" w:rsidP="003F22BD">
      <w:pPr>
        <w:pStyle w:val="TimesRoman"/>
        <w:jc w:val="both"/>
      </w:pPr>
      <w:r>
        <w:t xml:space="preserve">The demonstrative pedagogy becomes pertinent when there is limited literature outlining the theory and the practice </w:t>
      </w:r>
      <w:sdt>
        <w:sdtPr>
          <w:id w:val="-98257761"/>
          <w:citation/>
        </w:sdtPr>
        <w:sdtEndPr/>
        <w:sdtContent>
          <w:r>
            <w:fldChar w:fldCharType="begin"/>
          </w:r>
          <w:r>
            <w:instrText xml:space="preserve"> CITATION McL17 \l 2057 </w:instrText>
          </w:r>
          <w:r>
            <w:fldChar w:fldCharType="separate"/>
          </w:r>
          <w:r w:rsidR="00CE680F" w:rsidRPr="00CE680F">
            <w:rPr>
              <w:noProof/>
            </w:rPr>
            <w:t>(McLain, 2017)</w:t>
          </w:r>
          <w:r>
            <w:fldChar w:fldCharType="end"/>
          </w:r>
        </w:sdtContent>
      </w:sdt>
      <w:r>
        <w:t xml:space="preserve">. The teacher becoming an expert or knowledgeable other </w:t>
      </w:r>
      <w:sdt>
        <w:sdtPr>
          <w:id w:val="1082491903"/>
          <w:citation/>
        </w:sdtPr>
        <w:sdtEndPr/>
        <w:sdtContent>
          <w:r>
            <w:fldChar w:fldCharType="begin"/>
          </w:r>
          <w:r>
            <w:instrText xml:space="preserve"> CITATION Vyg781 \l 2057 </w:instrText>
          </w:r>
          <w:r>
            <w:fldChar w:fldCharType="separate"/>
          </w:r>
          <w:r w:rsidR="00CE680F" w:rsidRPr="00CE680F">
            <w:rPr>
              <w:noProof/>
            </w:rPr>
            <w:t>(Vygotsky, 1978)</w:t>
          </w:r>
          <w:r>
            <w:fldChar w:fldCharType="end"/>
          </w:r>
        </w:sdtContent>
      </w:sdt>
      <w:r>
        <w:t xml:space="preserve">, places the process within a more meaningful context. </w:t>
      </w:r>
    </w:p>
    <w:p w:rsidR="00E3069C" w:rsidRPr="008E1FA6" w:rsidRDefault="00E3069C" w:rsidP="008E1FA6">
      <w:pPr>
        <w:pStyle w:val="TimesRoman"/>
        <w:ind w:left="720"/>
        <w:jc w:val="both"/>
        <w:rPr>
          <w:i/>
        </w:rPr>
      </w:pPr>
      <w:r w:rsidRPr="008E1FA6">
        <w:rPr>
          <w:i/>
        </w:rPr>
        <w:t>“Modelling is an active process, not merely the provision of an example. It involves the teacher as the ‘expert’, demonstrating how to do something and making explicit the thinking involved.”</w:t>
      </w:r>
      <w:sdt>
        <w:sdtPr>
          <w:rPr>
            <w:i/>
          </w:rPr>
          <w:id w:val="-1291117469"/>
          <w:citation/>
        </w:sdtPr>
        <w:sdtEndPr/>
        <w:sdtContent>
          <w:r>
            <w:rPr>
              <w:i/>
            </w:rPr>
            <w:fldChar w:fldCharType="begin"/>
          </w:r>
          <w:r>
            <w:rPr>
              <w:i/>
            </w:rPr>
            <w:instrText xml:space="preserve"> CITATION DfE04 \l 2057 </w:instrText>
          </w:r>
          <w:r>
            <w:rPr>
              <w:i/>
            </w:rPr>
            <w:fldChar w:fldCharType="separate"/>
          </w:r>
          <w:r w:rsidR="00CE680F">
            <w:rPr>
              <w:i/>
              <w:noProof/>
            </w:rPr>
            <w:t xml:space="preserve"> </w:t>
          </w:r>
          <w:r w:rsidR="00CE680F" w:rsidRPr="00CE680F">
            <w:rPr>
              <w:noProof/>
            </w:rPr>
            <w:t>(DfES, 2004)</w:t>
          </w:r>
          <w:r>
            <w:rPr>
              <w:i/>
            </w:rPr>
            <w:fldChar w:fldCharType="end"/>
          </w:r>
        </w:sdtContent>
      </w:sdt>
    </w:p>
    <w:p w:rsidR="00E3069C" w:rsidRDefault="00E3069C" w:rsidP="003F22BD">
      <w:pPr>
        <w:pStyle w:val="TimesRoman"/>
        <w:jc w:val="both"/>
      </w:pPr>
      <w:r>
        <w:t xml:space="preserve">The pedagogic approaches used were through practical application and dissemination of the subject to form a deeper, more personal attribution. For this type of subject, the only way to understand and appreciate it, is through doing, thus the only viable pedagogic approach was through a demonstrative practice and perform a simple meditation and breathing exercise to focus on the moment and centre ones-self. This then transitioned on to the second practical element: Origami is deemed to be of benefit to mindfulness as it to </w:t>
      </w:r>
      <w:r w:rsidRPr="00A311FF">
        <w:t>“enhances the ability to be aware of what is happening in the moment and focus”</w:t>
      </w:r>
      <w:r>
        <w:t xml:space="preserve"> </w:t>
      </w:r>
      <w:sdt>
        <w:sdtPr>
          <w:id w:val="-874081610"/>
          <w:citation/>
        </w:sdtPr>
        <w:sdtEndPr/>
        <w:sdtContent>
          <w:r>
            <w:fldChar w:fldCharType="begin"/>
          </w:r>
          <w:r>
            <w:instrText xml:space="preserve"> CITATION Wei16 \l 2057 </w:instrText>
          </w:r>
          <w:r>
            <w:fldChar w:fldCharType="separate"/>
          </w:r>
          <w:r w:rsidR="00CE680F" w:rsidRPr="00CE680F">
            <w:rPr>
              <w:noProof/>
            </w:rPr>
            <w:t>(Wei, 2016)</w:t>
          </w:r>
          <w:r>
            <w:fldChar w:fldCharType="end"/>
          </w:r>
        </w:sdtContent>
      </w:sdt>
      <w:r>
        <w:t>, however with the time constraints imposed, an alternative was devised and implemented.</w:t>
      </w:r>
    </w:p>
    <w:p w:rsidR="006E088C" w:rsidRDefault="006E088C" w:rsidP="003F22BD">
      <w:pPr>
        <w:pStyle w:val="TimesRoman"/>
        <w:jc w:val="both"/>
      </w:pPr>
      <w:r>
        <w:t xml:space="preserve">While the demonstrative pedagogies do not conform to McLain’s (2017) prescribed description outlined above; there are numerous types of literature spanning the generations; the thoughts deferred to the old maxim: </w:t>
      </w:r>
    </w:p>
    <w:p w:rsidR="006E088C" w:rsidRDefault="006E088C" w:rsidP="006E088C">
      <w:pPr>
        <w:pStyle w:val="TimesRoman"/>
        <w:jc w:val="both"/>
      </w:pPr>
      <w:r>
        <w:t xml:space="preserve">We learn only ten percent of what we read, twenty percent of what we hear, 30% of what we see, and 90% of what we do. Whether this maxim is correct is also up for debate, as there are numerous writers such as </w:t>
      </w:r>
      <w:r w:rsidRPr="006E088C">
        <w:rPr>
          <w:noProof/>
        </w:rPr>
        <w:t>Thalheimer (</w:t>
      </w:r>
      <w:r w:rsidRPr="00CE680F">
        <w:rPr>
          <w:noProof/>
        </w:rPr>
        <w:t>2015)</w:t>
      </w:r>
      <w:r>
        <w:t xml:space="preserve"> attempting to debunk it.</w:t>
      </w:r>
    </w:p>
    <w:p w:rsidR="00E3069C" w:rsidRDefault="00E3069C" w:rsidP="003F22BD">
      <w:pPr>
        <w:pStyle w:val="TimesRoman"/>
        <w:jc w:val="both"/>
      </w:pPr>
      <w:r>
        <w:t>Although not as focused as the practice of Origami, making paper aeroplanes also focuses and centres the mind on the precision of the folding, yet is less time consuming. As an additional element, the students were asked to write on the paper before folding, something that was causing stress at that time. Once the aeroplanes were complete, a fun element was introduced to lighten the moment: throwing the planes across the room and in to the rubbish bin. This was to form closure, not only on the session but also of the thing that was causing the individual stress.</w:t>
      </w:r>
    </w:p>
    <w:p w:rsidR="00E3069C" w:rsidRDefault="00E3069C" w:rsidP="003F22BD">
      <w:pPr>
        <w:pStyle w:val="TimesRoman"/>
        <w:jc w:val="both"/>
      </w:pPr>
      <w:r>
        <w:t xml:space="preserve">Once the necessity of CCT inclusion was relayed, the thoughts instantly turned to mindfulness and how it could be brought across in to an actual teaching session. The thought of Learning Objectives and overall desired outcome posing many questions: </w:t>
      </w:r>
    </w:p>
    <w:p w:rsidR="00E3069C" w:rsidRDefault="00E3069C" w:rsidP="004563B0">
      <w:pPr>
        <w:pStyle w:val="TimesRoman"/>
        <w:numPr>
          <w:ilvl w:val="1"/>
          <w:numId w:val="5"/>
        </w:numPr>
        <w:jc w:val="both"/>
      </w:pPr>
      <w:r>
        <w:t>How could a complex behaviour be introduced, and understood in less than an hour?</w:t>
      </w:r>
    </w:p>
    <w:p w:rsidR="00E3069C" w:rsidRDefault="00E3069C" w:rsidP="004563B0">
      <w:pPr>
        <w:pStyle w:val="TimesRoman"/>
        <w:numPr>
          <w:ilvl w:val="1"/>
          <w:numId w:val="5"/>
        </w:numPr>
        <w:jc w:val="both"/>
      </w:pPr>
      <w:r>
        <w:t>What am I trying to portray in the session?</w:t>
      </w:r>
    </w:p>
    <w:p w:rsidR="00E3069C" w:rsidRDefault="00E3069C" w:rsidP="004563B0">
      <w:pPr>
        <w:pStyle w:val="TimesRoman"/>
        <w:numPr>
          <w:ilvl w:val="1"/>
          <w:numId w:val="5"/>
        </w:numPr>
        <w:jc w:val="both"/>
      </w:pPr>
      <w:r>
        <w:t>Will the students comprehend the potential benefits of Mindfulness?</w:t>
      </w:r>
    </w:p>
    <w:p w:rsidR="00E3069C" w:rsidRDefault="00E3069C" w:rsidP="004563B0">
      <w:pPr>
        <w:pStyle w:val="TimesRoman"/>
        <w:numPr>
          <w:ilvl w:val="1"/>
          <w:numId w:val="5"/>
        </w:numPr>
        <w:jc w:val="both"/>
      </w:pPr>
      <w:r>
        <w:t>Will there be a willingness to partake?</w:t>
      </w:r>
    </w:p>
    <w:p w:rsidR="00E3069C" w:rsidRDefault="00E3069C" w:rsidP="004563B0">
      <w:pPr>
        <w:pStyle w:val="TimesRoman"/>
        <w:jc w:val="both"/>
      </w:pPr>
      <w:r>
        <w:t xml:space="preserve">The idea of using ‘mindfulness in context’ within a contemporary setting became a way of grounding the subject. Providing a level of comprehension which was to be further enhanced by the relaying of personal experiences </w:t>
      </w:r>
      <w:sdt>
        <w:sdtPr>
          <w:id w:val="412979842"/>
          <w:citation/>
        </w:sdtPr>
        <w:sdtEndPr/>
        <w:sdtContent>
          <w:r>
            <w:fldChar w:fldCharType="begin"/>
          </w:r>
          <w:r>
            <w:instrText xml:space="preserve"> CITATION Esp15 \l 2057 </w:instrText>
          </w:r>
          <w:r>
            <w:fldChar w:fldCharType="separate"/>
          </w:r>
          <w:r w:rsidR="00CE680F" w:rsidRPr="00CE680F">
            <w:rPr>
              <w:noProof/>
            </w:rPr>
            <w:t>(Espino-Bravo, 2015)</w:t>
          </w:r>
          <w:r>
            <w:fldChar w:fldCharType="end"/>
          </w:r>
        </w:sdtContent>
      </w:sdt>
      <w:r>
        <w:t>. While delving in to tumultuous emotions was fraught with anxiety and trepidation, it was intended to deepen the connection and possibilities of how mindfulness could be utilised.</w:t>
      </w:r>
      <w:r w:rsidR="00CE680F">
        <w:t xml:space="preserve"> </w:t>
      </w:r>
      <w:r>
        <w:t xml:space="preserve"> </w:t>
      </w:r>
    </w:p>
    <w:p w:rsidR="00E3069C" w:rsidRDefault="00E3069C" w:rsidP="003F22BD">
      <w:pPr>
        <w:pStyle w:val="TimesRoman"/>
        <w:jc w:val="both"/>
      </w:pPr>
      <w:r>
        <w:t xml:space="preserve">The session was very well received and garnered positive feedback across the room. The initial feeling of enthusiasm was justified, especially when a number of students approached after the session to rave about it, and how they will be utilising </w:t>
      </w:r>
      <w:r w:rsidR="006E088C">
        <w:t>the methods taught</w:t>
      </w:r>
      <w:r>
        <w:t xml:space="preserve"> in their</w:t>
      </w:r>
      <w:r w:rsidR="006E088C">
        <w:t xml:space="preserve"> personal</w:t>
      </w:r>
      <w:r>
        <w:t xml:space="preserve"> lives. While teaching behaviours is a difficult thing to assess, feedback such as this highlights the receptive nature and success of the session</w:t>
      </w:r>
      <w:r w:rsidR="00D24745">
        <w:t xml:space="preserve"> and that hopefully, over time, the behaviours and increased awareness of self will come to the fore.</w:t>
      </w:r>
    </w:p>
    <w:p w:rsidR="00E3069C" w:rsidRDefault="00E3069C" w:rsidP="003F22BD">
      <w:pPr>
        <w:pStyle w:val="TimesRoman"/>
        <w:jc w:val="both"/>
      </w:pPr>
      <w:r>
        <w:t xml:space="preserve">As outlined above, the teaching of behaviours is difficult and time-consuming to assess, with no absolutes. However, there were elements that could be assessed in traditional methods, for example, the comprehension of the definition, or historical setting. The context of mindful practice was, in this instance to be assessed in an authentic manner, as per Lombardi </w:t>
      </w:r>
      <w:sdt>
        <w:sdtPr>
          <w:id w:val="-514852977"/>
          <w:citation/>
        </w:sdtPr>
        <w:sdtEndPr/>
        <w:sdtContent>
          <w:r>
            <w:fldChar w:fldCharType="begin"/>
          </w:r>
          <w:r>
            <w:instrText xml:space="preserve">CITATION Lom08 \p 3 \n  \l 2057 </w:instrText>
          </w:r>
          <w:r>
            <w:fldChar w:fldCharType="separate"/>
          </w:r>
          <w:r w:rsidR="00CE680F" w:rsidRPr="00CE680F">
            <w:rPr>
              <w:noProof/>
            </w:rPr>
            <w:t>(2008, p. 3)</w:t>
          </w:r>
          <w:r>
            <w:fldChar w:fldCharType="end"/>
          </w:r>
        </w:sdtContent>
      </w:sdt>
      <w:r>
        <w:t xml:space="preserve"> who believes that authentic assessment</w:t>
      </w:r>
      <w:r>
        <w:fldChar w:fldCharType="begin"/>
      </w:r>
      <w:r>
        <w:instrText xml:space="preserve"> XE "</w:instrText>
      </w:r>
      <w:r w:rsidRPr="00A60CED">
        <w:instrText>assessment</w:instrText>
      </w:r>
      <w:r>
        <w:instrText xml:space="preserve">" \i </w:instrText>
      </w:r>
      <w:r>
        <w:fldChar w:fldCharType="end"/>
      </w:r>
      <w:r>
        <w:t xml:space="preserve"> </w:t>
      </w:r>
      <w:r w:rsidRPr="004563B0">
        <w:rPr>
          <w:i/>
        </w:rPr>
        <w:t>“can motivate and inspire students to explore dimensions of themselves and the world that they might otherwise overlook”.</w:t>
      </w:r>
      <w:r>
        <w:t xml:space="preserve"> This singular sentence encapsulates an element of what mindfulness aims to achieve.</w:t>
      </w:r>
    </w:p>
    <w:p w:rsidR="00E3069C" w:rsidRDefault="00E3069C" w:rsidP="003F22BD">
      <w:pPr>
        <w:pStyle w:val="TimesRoman"/>
        <w:jc w:val="both"/>
      </w:pPr>
      <w:r>
        <w:t>Authentic</w:t>
      </w:r>
      <w:r>
        <w:fldChar w:fldCharType="begin"/>
      </w:r>
      <w:r>
        <w:instrText xml:space="preserve"> XE "</w:instrText>
      </w:r>
      <w:r w:rsidRPr="00794089">
        <w:instrText>Authentic:authentic</w:instrText>
      </w:r>
      <w:r>
        <w:instrText xml:space="preserve">" \i </w:instrText>
      </w:r>
      <w:r>
        <w:fldChar w:fldCharType="end"/>
      </w:r>
      <w:r>
        <w:t xml:space="preserve"> assessment</w:t>
      </w:r>
      <w:r>
        <w:fldChar w:fldCharType="begin"/>
      </w:r>
      <w:r>
        <w:instrText xml:space="preserve"> XE "</w:instrText>
      </w:r>
      <w:r w:rsidRPr="00A60CED">
        <w:instrText>assessment</w:instrText>
      </w:r>
      <w:r>
        <w:instrText xml:space="preserve">" \i </w:instrText>
      </w:r>
      <w:r>
        <w:fldChar w:fldCharType="end"/>
      </w:r>
      <w:r>
        <w:t xml:space="preserve"> promotes social learning by facilitating active participation and deeper learning </w:t>
      </w:r>
      <w:sdt>
        <w:sdtPr>
          <w:id w:val="-1908999275"/>
          <w:citation/>
        </w:sdtPr>
        <w:sdtEndPr/>
        <w:sdtContent>
          <w:r>
            <w:fldChar w:fldCharType="begin"/>
          </w:r>
          <w:r>
            <w:instrText xml:space="preserve"> CITATION Boh12 \l 2057 </w:instrText>
          </w:r>
          <w:r>
            <w:fldChar w:fldCharType="separate"/>
          </w:r>
          <w:r w:rsidR="00CE680F" w:rsidRPr="00CE680F">
            <w:rPr>
              <w:noProof/>
            </w:rPr>
            <w:t>(Bohemia &amp; Davison, 2012)</w:t>
          </w:r>
          <w:r>
            <w:fldChar w:fldCharType="end"/>
          </w:r>
        </w:sdtContent>
      </w:sdt>
      <w:r>
        <w:t>. Authentic</w:t>
      </w:r>
      <w:r>
        <w:fldChar w:fldCharType="begin"/>
      </w:r>
      <w:r>
        <w:instrText xml:space="preserve"> XE "</w:instrText>
      </w:r>
      <w:r w:rsidRPr="00794089">
        <w:instrText>Authentic:authentic</w:instrText>
      </w:r>
      <w:r>
        <w:instrText xml:space="preserve">" \i </w:instrText>
      </w:r>
      <w:r>
        <w:fldChar w:fldCharType="end"/>
      </w:r>
      <w:r>
        <w:t xml:space="preserve"> assessment achieves this by providing demonstrable practices that are utilised by professionals </w:t>
      </w:r>
      <w:sdt>
        <w:sdtPr>
          <w:id w:val="407975091"/>
          <w:citation/>
        </w:sdtPr>
        <w:sdtEndPr/>
        <w:sdtContent>
          <w:r>
            <w:fldChar w:fldCharType="begin"/>
          </w:r>
          <w:r>
            <w:instrText xml:space="preserve"> CITATION Sri17 \l 2057 </w:instrText>
          </w:r>
          <w:r>
            <w:fldChar w:fldCharType="separate"/>
          </w:r>
          <w:r w:rsidR="00CE680F" w:rsidRPr="00CE680F">
            <w:rPr>
              <w:noProof/>
            </w:rPr>
            <w:t>(Sridharan &amp; Mustard, 2017)</w:t>
          </w:r>
          <w:r>
            <w:fldChar w:fldCharType="end"/>
          </w:r>
        </w:sdtContent>
      </w:sdt>
      <w:r>
        <w:t xml:space="preserve">. Further to this, authentic assessment facilitates the development of key employability skills and attributes; attributes such as critical thinking, problem-solving, communication, and enhanced reflective practice </w:t>
      </w:r>
      <w:sdt>
        <w:sdtPr>
          <w:id w:val="-1624378035"/>
          <w:citation/>
        </w:sdtPr>
        <w:sdtEndPr/>
        <w:sdtContent>
          <w:r>
            <w:fldChar w:fldCharType="begin"/>
          </w:r>
          <w:r>
            <w:instrText xml:space="preserve"> CITATION Kee13 \l 2057 </w:instrText>
          </w:r>
          <w:r>
            <w:fldChar w:fldCharType="separate"/>
          </w:r>
          <w:r w:rsidR="00CE680F" w:rsidRPr="00CE680F">
            <w:rPr>
              <w:noProof/>
            </w:rPr>
            <w:t>(Keeling, et al., 2013)</w:t>
          </w:r>
          <w:r>
            <w:fldChar w:fldCharType="end"/>
          </w:r>
        </w:sdtContent>
      </w:sdt>
      <w:r>
        <w:t>.</w:t>
      </w:r>
    </w:p>
    <w:p w:rsidR="00E3069C" w:rsidRDefault="00E3069C" w:rsidP="008E1FA6">
      <w:pPr>
        <w:pStyle w:val="TimesRoman"/>
        <w:jc w:val="both"/>
      </w:pPr>
      <w:r>
        <w:t>This method of assessment</w:t>
      </w:r>
      <w:r>
        <w:fldChar w:fldCharType="begin"/>
      </w:r>
      <w:r>
        <w:instrText xml:space="preserve"> XE "</w:instrText>
      </w:r>
      <w:r w:rsidRPr="00A60CED">
        <w:instrText>assessment</w:instrText>
      </w:r>
      <w:r>
        <w:instrText xml:space="preserve">" \i </w:instrText>
      </w:r>
      <w:r>
        <w:fldChar w:fldCharType="end"/>
      </w:r>
      <w:r>
        <w:t xml:space="preserve"> has benefits across multiple levels, not only does it provide practical application, it also promotes CCTs</w:t>
      </w:r>
      <w:r>
        <w:fldChar w:fldCharType="begin"/>
      </w:r>
      <w:r>
        <w:instrText xml:space="preserve"> XE "</w:instrText>
      </w:r>
      <w:r w:rsidRPr="00A60CED">
        <w:instrText>CCTs</w:instrText>
      </w:r>
      <w:r>
        <w:instrText xml:space="preserve">:CCT" \i </w:instrText>
      </w:r>
      <w:r>
        <w:fldChar w:fldCharType="end"/>
      </w:r>
      <w:r>
        <w:t>. Thus, the session and assessment methodology develop CCTs</w:t>
      </w:r>
      <w:r>
        <w:fldChar w:fldCharType="begin"/>
      </w:r>
      <w:r>
        <w:instrText xml:space="preserve"> XE "</w:instrText>
      </w:r>
      <w:r w:rsidRPr="00FC6456">
        <w:rPr>
          <w:noProof/>
        </w:rPr>
        <w:instrText>CCTs:</w:instrText>
      </w:r>
      <w:r w:rsidRPr="00FC6456">
        <w:instrText>CCT</w:instrText>
      </w:r>
      <w:r>
        <w:instrText xml:space="preserve">" \i </w:instrText>
      </w:r>
      <w:r>
        <w:fldChar w:fldCharType="end"/>
      </w:r>
      <w:r>
        <w:t xml:space="preserve"> far beyond that of the session and the cohort itself. However, it must be stated that this method of assessment does not lend itself to a ‘scoring system’, and to be fully assessed should place the students in a position in which they can relay the practical elements of the session to a peer group to fully appreciate their level of comprehension </w:t>
      </w:r>
      <w:sdt>
        <w:sdtPr>
          <w:id w:val="-1215423883"/>
          <w:citation/>
        </w:sdtPr>
        <w:sdtEndPr/>
        <w:sdtContent>
          <w:r>
            <w:fldChar w:fldCharType="begin"/>
          </w:r>
          <w:r>
            <w:instrText xml:space="preserve"> CITATION Gul04 \l 2057 </w:instrText>
          </w:r>
          <w:r>
            <w:fldChar w:fldCharType="separate"/>
          </w:r>
          <w:r w:rsidR="00CE680F" w:rsidRPr="00CE680F">
            <w:rPr>
              <w:noProof/>
            </w:rPr>
            <w:t>(Gulikers, et al., 2004)</w:t>
          </w:r>
          <w:r>
            <w:fldChar w:fldCharType="end"/>
          </w:r>
        </w:sdtContent>
      </w:sdt>
      <w:r>
        <w:t>.</w:t>
      </w:r>
    </w:p>
    <w:p w:rsidR="00E3069C" w:rsidRDefault="00E3069C" w:rsidP="008E1FA6">
      <w:pPr>
        <w:pStyle w:val="TimesRoman"/>
        <w:jc w:val="both"/>
      </w:pPr>
      <w:r>
        <w:t>Upon completion of the session and reviewing the lesson plan and assessment form, there were a couple of areas that need to be addressed. Primarily the session adhered to the lesson plan, with all objectives met, in the manner expected; with the outcomes achieved. However, within the peer assessment form it was highlighted that the lesson plan should provide further detail pertaining to the strategy</w:t>
      </w:r>
      <w:r w:rsidR="00CE680F">
        <w:t xml:space="preserve"> for achieving desired outcomes</w:t>
      </w:r>
      <w:r>
        <w:t>. This is aimed at facilitating other individuals to undertake the same session in the same manner</w:t>
      </w:r>
      <w:sdt>
        <w:sdtPr>
          <w:id w:val="-514764724"/>
          <w:citation/>
        </w:sdtPr>
        <w:sdtEndPr/>
        <w:sdtContent>
          <w:r>
            <w:fldChar w:fldCharType="begin"/>
          </w:r>
          <w:r>
            <w:instrText xml:space="preserve"> CITATION Fla17 \l 2057 </w:instrText>
          </w:r>
          <w:r>
            <w:fldChar w:fldCharType="separate"/>
          </w:r>
          <w:r w:rsidR="00CE680F">
            <w:rPr>
              <w:noProof/>
            </w:rPr>
            <w:t xml:space="preserve"> </w:t>
          </w:r>
          <w:r w:rsidR="00CE680F" w:rsidRPr="00CE680F">
            <w:rPr>
              <w:noProof/>
            </w:rPr>
            <w:t>(Flagg, 2017)</w:t>
          </w:r>
          <w:r>
            <w:fldChar w:fldCharType="end"/>
          </w:r>
        </w:sdtContent>
      </w:sdt>
      <w:r>
        <w:t>.</w:t>
      </w:r>
      <w:r w:rsidR="00CE680F">
        <w:t xml:space="preserve"> </w:t>
      </w:r>
    </w:p>
    <w:p w:rsidR="00E3069C" w:rsidRDefault="00E3069C" w:rsidP="008E1FA6">
      <w:pPr>
        <w:pStyle w:val="TimesRoman"/>
        <w:jc w:val="both"/>
      </w:pPr>
      <w:r>
        <w:t>This feedback will be acted upon and assimilated in to future lesson plans, to stimulate ‘onboarding’ of other practitioners. Further to this, the session could have benefitted from a longer timeframe. Perhaps it is a subject matter that needs to be revisited and interpreted in to a specific short course and tailored to specific recipients.</w:t>
      </w:r>
    </w:p>
    <w:p w:rsidR="00E3069C" w:rsidRDefault="00E3069C" w:rsidP="007B0F28">
      <w:pPr>
        <w:pStyle w:val="Heading1"/>
      </w:pPr>
      <w:bookmarkStart w:id="4" w:name="_Toc498810764"/>
      <w:r>
        <w:t>Summary</w:t>
      </w:r>
      <w:bookmarkEnd w:id="4"/>
    </w:p>
    <w:p w:rsidR="00E3069C" w:rsidRDefault="00E3069C" w:rsidP="00DA4C38">
      <w:pPr>
        <w:pStyle w:val="TimesRoman"/>
      </w:pPr>
      <w:r>
        <w:t>The thought of mindfulness in an education setting is a new concept. While we are seeing the importance of mindfulness venturing in to the corporate World, this is only in the minority. The benefits of mindfulness have been seen across all aspects of life and well-being, and as such, should become an important part of education.</w:t>
      </w:r>
    </w:p>
    <w:p w:rsidR="00E3069C" w:rsidRDefault="00E3069C" w:rsidP="00DA4C38">
      <w:pPr>
        <w:pStyle w:val="TimesRoman"/>
      </w:pPr>
      <w:r>
        <w:t>The reception that the session received is indicative of the general consensus of the subject matter; from an audible conservatism at the start to a profound enthusiasm at the finish. This was expected, and planned for within the lesson plan and addressed through the content and activities.</w:t>
      </w:r>
    </w:p>
    <w:p w:rsidR="00E3069C" w:rsidRDefault="00E3069C" w:rsidP="00DA4C38">
      <w:pPr>
        <w:pStyle w:val="TimesRoman"/>
      </w:pPr>
      <w:r>
        <w:t xml:space="preserve">While the session was an overwhelming success, it has also highlighted a couple of areas that I need to address further: Establishing context, or a scenario, a sense of role-play if you will, with the aim of establishing </w:t>
      </w:r>
      <w:r w:rsidR="006E088C">
        <w:t>a deeper</w:t>
      </w:r>
      <w:r>
        <w:t xml:space="preserve"> connection. The second area that needs to be addressed is the level of detail within the lesson plan</w:t>
      </w:r>
      <w:r w:rsidR="006E088C">
        <w:t xml:space="preserve">, to inform other </w:t>
      </w:r>
      <w:r w:rsidR="00CE680F">
        <w:t>practitioners</w:t>
      </w:r>
      <w:r>
        <w:t>. Each point will be taken on board and integrated in to daily practice.</w:t>
      </w:r>
      <w:r>
        <w:br w:type="page"/>
      </w:r>
    </w:p>
    <w:bookmarkStart w:id="5" w:name="_Toc498810765" w:displacedByCustomXml="next"/>
    <w:sdt>
      <w:sdtPr>
        <w:rPr>
          <w:rFonts w:asciiTheme="minorHAnsi" w:eastAsiaTheme="minorHAnsi" w:hAnsiTheme="minorHAnsi" w:cstheme="minorBidi"/>
          <w:color w:val="auto"/>
          <w:sz w:val="22"/>
          <w:szCs w:val="22"/>
        </w:rPr>
        <w:id w:val="-1022397296"/>
        <w:docPartObj>
          <w:docPartGallery w:val="Bibliographies"/>
          <w:docPartUnique/>
        </w:docPartObj>
      </w:sdtPr>
      <w:sdtEndPr/>
      <w:sdtContent>
        <w:p w:rsidR="00E3069C" w:rsidRDefault="00E3069C">
          <w:pPr>
            <w:pStyle w:val="Heading1"/>
          </w:pPr>
          <w:r>
            <w:t>References</w:t>
          </w:r>
          <w:bookmarkEnd w:id="5"/>
        </w:p>
        <w:sdt>
          <w:sdtPr>
            <w:id w:val="-573587230"/>
            <w:bibliography/>
          </w:sdtPr>
          <w:sdtEndPr/>
          <w:sdtContent>
            <w:p w:rsidR="00CE680F" w:rsidRDefault="00E3069C" w:rsidP="00CE680F">
              <w:pPr>
                <w:pStyle w:val="Bibliography"/>
                <w:numPr>
                  <w:ilvl w:val="0"/>
                  <w:numId w:val="15"/>
                </w:numPr>
                <w:rPr>
                  <w:noProof/>
                  <w:sz w:val="24"/>
                  <w:szCs w:val="24"/>
                </w:rPr>
              </w:pPr>
              <w:r>
                <w:fldChar w:fldCharType="begin"/>
              </w:r>
              <w:r>
                <w:instrText xml:space="preserve"> BIBLIOGRAPHY </w:instrText>
              </w:r>
              <w:r>
                <w:fldChar w:fldCharType="separate"/>
              </w:r>
              <w:r w:rsidR="00CE680F">
                <w:rPr>
                  <w:noProof/>
                </w:rPr>
                <w:t xml:space="preserve">Anon, 2016. Becoming a better leader: how action learning fosters authenticity and mindfulness. </w:t>
              </w:r>
              <w:r w:rsidR="00CE680F">
                <w:rPr>
                  <w:i/>
                  <w:iCs/>
                  <w:noProof/>
                </w:rPr>
                <w:t xml:space="preserve">Development and Learning in Organizations, </w:t>
              </w:r>
              <w:r w:rsidR="00CE680F">
                <w:rPr>
                  <w:noProof/>
                </w:rPr>
                <w:t>30(4), pp. 30-32.</w:t>
              </w:r>
            </w:p>
            <w:p w:rsidR="00CE680F" w:rsidRDefault="00CE680F" w:rsidP="00CE680F">
              <w:pPr>
                <w:pStyle w:val="Bibliography"/>
                <w:numPr>
                  <w:ilvl w:val="0"/>
                  <w:numId w:val="15"/>
                </w:numPr>
                <w:rPr>
                  <w:noProof/>
                </w:rPr>
              </w:pPr>
              <w:r>
                <w:rPr>
                  <w:noProof/>
                </w:rPr>
                <w:t xml:space="preserve">Bohemia, E. &amp; Davison, G., 2012. Authentic learning: The gift project. </w:t>
              </w:r>
              <w:r>
                <w:rPr>
                  <w:i/>
                  <w:iCs/>
                  <w:noProof/>
                </w:rPr>
                <w:t xml:space="preserve">Digital and Technology Education: An International Journal, </w:t>
              </w:r>
              <w:r>
                <w:rPr>
                  <w:noProof/>
                </w:rPr>
                <w:t>17(2), pp. 49-62.</w:t>
              </w:r>
            </w:p>
            <w:p w:rsidR="00CE680F" w:rsidRDefault="00CE680F" w:rsidP="00CE680F">
              <w:pPr>
                <w:pStyle w:val="Bibliography"/>
                <w:numPr>
                  <w:ilvl w:val="0"/>
                  <w:numId w:val="15"/>
                </w:numPr>
                <w:rPr>
                  <w:noProof/>
                </w:rPr>
              </w:pPr>
              <w:r>
                <w:rPr>
                  <w:noProof/>
                </w:rPr>
                <w:t xml:space="preserve">Brown, K. W. &amp; Ryan, R. M., 2003. The benefits of being present: Mindfulness and its role in psychological well-being. </w:t>
              </w:r>
              <w:r>
                <w:rPr>
                  <w:i/>
                  <w:iCs/>
                  <w:noProof/>
                </w:rPr>
                <w:t xml:space="preserve">Journal of Personality and Social Psychology, </w:t>
              </w:r>
              <w:r>
                <w:rPr>
                  <w:noProof/>
                </w:rPr>
                <w:t>84(4), pp. 822-848.</w:t>
              </w:r>
            </w:p>
            <w:p w:rsidR="00CE680F" w:rsidRDefault="00CE680F" w:rsidP="00CE680F">
              <w:pPr>
                <w:pStyle w:val="Bibliography"/>
                <w:numPr>
                  <w:ilvl w:val="0"/>
                  <w:numId w:val="15"/>
                </w:numPr>
                <w:rPr>
                  <w:noProof/>
                </w:rPr>
              </w:pPr>
              <w:r>
                <w:rPr>
                  <w:noProof/>
                </w:rPr>
                <w:t xml:space="preserve">Cachia, R. L., 2017. Mindfulness and Autism Spectrum Disorder. In: M. Fiztgerald &amp; J. Yip, eds. </w:t>
              </w:r>
              <w:r>
                <w:rPr>
                  <w:i/>
                  <w:iCs/>
                  <w:noProof/>
                </w:rPr>
                <w:t xml:space="preserve">Autism - Paradigms, Recent Research and Clinical Applications. </w:t>
              </w:r>
              <w:r>
                <w:rPr>
                  <w:noProof/>
                </w:rPr>
                <w:t>s.l.:InTechOpen, p. Chapter 12.</w:t>
              </w:r>
            </w:p>
            <w:p w:rsidR="00CE680F" w:rsidRDefault="00CE680F" w:rsidP="00CE680F">
              <w:pPr>
                <w:pStyle w:val="Bibliography"/>
                <w:numPr>
                  <w:ilvl w:val="0"/>
                  <w:numId w:val="15"/>
                </w:numPr>
                <w:rPr>
                  <w:noProof/>
                </w:rPr>
              </w:pPr>
              <w:r>
                <w:rPr>
                  <w:noProof/>
                </w:rPr>
                <w:t xml:space="preserve">Dasa, P. &amp; Brendel, D., 2017. </w:t>
              </w:r>
              <w:r>
                <w:rPr>
                  <w:i/>
                  <w:iCs/>
                  <w:noProof/>
                </w:rPr>
                <w:t xml:space="preserve">Does Mindfulness Training Have Business Benefits?. </w:t>
              </w:r>
              <w:r>
                <w:rPr>
                  <w:noProof/>
                </w:rPr>
                <w:t xml:space="preserve">[Online] </w:t>
              </w:r>
              <w:r>
                <w:rPr>
                  <w:noProof/>
                </w:rPr>
                <w:br/>
                <w:t xml:space="preserve">Available at: </w:t>
              </w:r>
              <w:r>
                <w:rPr>
                  <w:noProof/>
                  <w:u w:val="single"/>
                </w:rPr>
                <w:t>https://www.shrm.org/hr-today/news/hr-magazine/0417/pages/does-mindfulness-training-have-business-benefits.aspx</w:t>
              </w:r>
              <w:r>
                <w:rPr>
                  <w:noProof/>
                </w:rPr>
                <w:br/>
                <w:t>[Accessed 18 October 2017].</w:t>
              </w:r>
            </w:p>
            <w:p w:rsidR="00CE680F" w:rsidRDefault="00CE680F" w:rsidP="00CE680F">
              <w:pPr>
                <w:pStyle w:val="Bibliography"/>
                <w:numPr>
                  <w:ilvl w:val="0"/>
                  <w:numId w:val="15"/>
                </w:numPr>
                <w:rPr>
                  <w:noProof/>
                </w:rPr>
              </w:pPr>
              <w:r>
                <w:rPr>
                  <w:noProof/>
                </w:rPr>
                <w:t xml:space="preserve">Deeley, S. J., 2014. Summative co-assessment: A deep learning approach to enhancing employability skills and attributes. </w:t>
              </w:r>
              <w:r>
                <w:rPr>
                  <w:i/>
                  <w:iCs/>
                  <w:noProof/>
                </w:rPr>
                <w:t xml:space="preserve">Active learning in higher education, </w:t>
              </w:r>
              <w:r>
                <w:rPr>
                  <w:noProof/>
                </w:rPr>
                <w:t>15(1), pp. 39-51.</w:t>
              </w:r>
            </w:p>
            <w:p w:rsidR="00CE680F" w:rsidRDefault="00CE680F" w:rsidP="00CE680F">
              <w:pPr>
                <w:pStyle w:val="Bibliography"/>
                <w:numPr>
                  <w:ilvl w:val="0"/>
                  <w:numId w:val="15"/>
                </w:numPr>
                <w:rPr>
                  <w:noProof/>
                </w:rPr>
              </w:pPr>
              <w:r>
                <w:rPr>
                  <w:noProof/>
                </w:rPr>
                <w:t xml:space="preserve">Desai, M. S., Berger, B. D. &amp; Higgs, R., 2016. Critical thinking skills for business school graduates as demanded by employers: A strategic perspective and recommendations. </w:t>
              </w:r>
              <w:r>
                <w:rPr>
                  <w:i/>
                  <w:iCs/>
                  <w:noProof/>
                </w:rPr>
                <w:t xml:space="preserve">Academy of Educational Leadership Journal, </w:t>
              </w:r>
              <w:r>
                <w:rPr>
                  <w:noProof/>
                </w:rPr>
                <w:t>20(1), pp. 10-31.</w:t>
              </w:r>
            </w:p>
            <w:p w:rsidR="00CE680F" w:rsidRDefault="00CE680F" w:rsidP="00CE680F">
              <w:pPr>
                <w:pStyle w:val="Bibliography"/>
                <w:numPr>
                  <w:ilvl w:val="0"/>
                  <w:numId w:val="15"/>
                </w:numPr>
                <w:rPr>
                  <w:noProof/>
                </w:rPr>
              </w:pPr>
              <w:r>
                <w:rPr>
                  <w:noProof/>
                </w:rPr>
                <w:t xml:space="preserve">DfES, 2004. </w:t>
              </w:r>
              <w:r>
                <w:rPr>
                  <w:i/>
                  <w:iCs/>
                  <w:noProof/>
                </w:rPr>
                <w:t xml:space="preserve">Pedagogy and practice: Teaching and learning in secondary schools. </w:t>
              </w:r>
              <w:r>
                <w:rPr>
                  <w:noProof/>
                </w:rPr>
                <w:t xml:space="preserve">[Online] </w:t>
              </w:r>
              <w:r>
                <w:rPr>
                  <w:noProof/>
                </w:rPr>
                <w:br/>
                <w:t xml:space="preserve">Available at: </w:t>
              </w:r>
              <w:r>
                <w:rPr>
                  <w:noProof/>
                  <w:u w:val="single"/>
                </w:rPr>
                <w:t>http://webarchive.nationalarchives.gov.uk/20110812234120/http://nsonline.org.uk/node/97131</w:t>
              </w:r>
              <w:r>
                <w:rPr>
                  <w:noProof/>
                </w:rPr>
                <w:br/>
                <w:t>[Accessed 7 November 2017].</w:t>
              </w:r>
            </w:p>
            <w:p w:rsidR="00CE680F" w:rsidRDefault="00CE680F" w:rsidP="00CE680F">
              <w:pPr>
                <w:pStyle w:val="Bibliography"/>
                <w:numPr>
                  <w:ilvl w:val="0"/>
                  <w:numId w:val="15"/>
                </w:numPr>
                <w:rPr>
                  <w:noProof/>
                </w:rPr>
              </w:pPr>
              <w:r>
                <w:rPr>
                  <w:noProof/>
                </w:rPr>
                <w:t xml:space="preserve">Dixon, A. &amp; Casey, L., 2013. </w:t>
              </w:r>
              <w:r>
                <w:rPr>
                  <w:i/>
                  <w:iCs/>
                  <w:noProof/>
                </w:rPr>
                <w:t xml:space="preserve">Vocational Training and Employability Skills in Prisons and Young Offenders Institutions, </w:t>
              </w:r>
              <w:r>
                <w:rPr>
                  <w:noProof/>
                </w:rPr>
                <w:t>s.l.: NIACE.</w:t>
              </w:r>
            </w:p>
            <w:p w:rsidR="00CE680F" w:rsidRDefault="00CE680F" w:rsidP="00CE680F">
              <w:pPr>
                <w:pStyle w:val="Bibliography"/>
                <w:numPr>
                  <w:ilvl w:val="0"/>
                  <w:numId w:val="15"/>
                </w:numPr>
                <w:rPr>
                  <w:noProof/>
                </w:rPr>
              </w:pPr>
              <w:r>
                <w:rPr>
                  <w:noProof/>
                </w:rPr>
                <w:t xml:space="preserve">Elkin, S., 2013. </w:t>
              </w:r>
              <w:r>
                <w:rPr>
                  <w:i/>
                  <w:iCs/>
                  <w:noProof/>
                </w:rPr>
                <w:t xml:space="preserve">The obvious reasons why UK literacy and numeracy skills are among the lowest in the developed world. </w:t>
              </w:r>
              <w:r>
                <w:rPr>
                  <w:noProof/>
                </w:rPr>
                <w:t xml:space="preserve">[Online] </w:t>
              </w:r>
              <w:r>
                <w:rPr>
                  <w:noProof/>
                </w:rPr>
                <w:br/>
                <w:t xml:space="preserve">Available at: </w:t>
              </w:r>
              <w:r>
                <w:rPr>
                  <w:noProof/>
                  <w:u w:val="single"/>
                </w:rPr>
                <w:t>http://www.independent.co.uk/voices/comment/the-obvious-reasons-why-uk-literacy-and-numeracy-skills-are-among-the-lowest-in-the-developed-world-8871402.html</w:t>
              </w:r>
              <w:r>
                <w:rPr>
                  <w:noProof/>
                </w:rPr>
                <w:br/>
                <w:t>[Accessed 16 November 2017].</w:t>
              </w:r>
            </w:p>
            <w:p w:rsidR="00CE680F" w:rsidRDefault="00CE680F" w:rsidP="00CE680F">
              <w:pPr>
                <w:pStyle w:val="Bibliography"/>
                <w:numPr>
                  <w:ilvl w:val="0"/>
                  <w:numId w:val="15"/>
                </w:numPr>
                <w:rPr>
                  <w:noProof/>
                </w:rPr>
              </w:pPr>
              <w:r>
                <w:rPr>
                  <w:noProof/>
                </w:rPr>
                <w:t xml:space="preserve">Espino-Bravo, C., 2015. </w:t>
              </w:r>
              <w:r>
                <w:rPr>
                  <w:i/>
                  <w:iCs/>
                  <w:noProof/>
                </w:rPr>
                <w:t xml:space="preserve">Using Personal Stories to Engage Students in Conversation. </w:t>
              </w:r>
              <w:r>
                <w:rPr>
                  <w:noProof/>
                </w:rPr>
                <w:t xml:space="preserve">[Online] </w:t>
              </w:r>
              <w:r>
                <w:rPr>
                  <w:noProof/>
                </w:rPr>
                <w:br/>
                <w:t xml:space="preserve">Available at: </w:t>
              </w:r>
              <w:r>
                <w:rPr>
                  <w:noProof/>
                  <w:u w:val="single"/>
                </w:rPr>
                <w:t>https://www.facultyfocus.com/articles/teaching-and-learning/using-personal-stories-to-engage-students-in-conversation/</w:t>
              </w:r>
              <w:r>
                <w:rPr>
                  <w:noProof/>
                </w:rPr>
                <w:br/>
                <w:t>[Accessed 7 November 2017].</w:t>
              </w:r>
            </w:p>
            <w:p w:rsidR="00CE680F" w:rsidRDefault="00CE680F" w:rsidP="00CE680F">
              <w:pPr>
                <w:pStyle w:val="Bibliography"/>
                <w:numPr>
                  <w:ilvl w:val="0"/>
                  <w:numId w:val="15"/>
                </w:numPr>
                <w:rPr>
                  <w:noProof/>
                </w:rPr>
              </w:pPr>
              <w:r>
                <w:rPr>
                  <w:noProof/>
                </w:rPr>
                <w:t xml:space="preserve">Flagg, M., 2017. </w:t>
              </w:r>
              <w:r>
                <w:rPr>
                  <w:i/>
                  <w:iCs/>
                  <w:noProof/>
                </w:rPr>
                <w:t xml:space="preserve">PGCE/PCE (PCET) Lesson Assessment Form. </w:t>
              </w:r>
              <w:r>
                <w:rPr>
                  <w:noProof/>
                </w:rPr>
                <w:t>Swansea: UWTSD.</w:t>
              </w:r>
            </w:p>
            <w:p w:rsidR="00CE680F" w:rsidRDefault="00CE680F" w:rsidP="00CE680F">
              <w:pPr>
                <w:pStyle w:val="Bibliography"/>
                <w:numPr>
                  <w:ilvl w:val="0"/>
                  <w:numId w:val="15"/>
                </w:numPr>
                <w:rPr>
                  <w:noProof/>
                </w:rPr>
              </w:pPr>
              <w:r>
                <w:rPr>
                  <w:noProof/>
                </w:rPr>
                <w:t xml:space="preserve">Gordon, S., 2015. </w:t>
              </w:r>
              <w:r>
                <w:rPr>
                  <w:i/>
                  <w:iCs/>
                  <w:noProof/>
                </w:rPr>
                <w:t xml:space="preserve">Small businesses decry UK skills shortage, </w:t>
              </w:r>
              <w:r>
                <w:rPr>
                  <w:noProof/>
                </w:rPr>
                <w:t>s.l.: FT.com.</w:t>
              </w:r>
            </w:p>
            <w:p w:rsidR="00CE680F" w:rsidRDefault="00CE680F" w:rsidP="00CE680F">
              <w:pPr>
                <w:pStyle w:val="Bibliography"/>
                <w:numPr>
                  <w:ilvl w:val="0"/>
                  <w:numId w:val="15"/>
                </w:numPr>
                <w:rPr>
                  <w:noProof/>
                </w:rPr>
              </w:pPr>
              <w:r>
                <w:rPr>
                  <w:noProof/>
                </w:rPr>
                <w:t xml:space="preserve">Gulikers, J. T., Bastiaens, T. J. &amp; Kirschner, P. A., 2004. A Five-Dimensional Framework for Authentic Assessment. </w:t>
              </w:r>
              <w:r>
                <w:rPr>
                  <w:i/>
                  <w:iCs/>
                  <w:noProof/>
                </w:rPr>
                <w:t xml:space="preserve">Educational Technology Research and Development, </w:t>
              </w:r>
              <w:r>
                <w:rPr>
                  <w:noProof/>
                </w:rPr>
                <w:t>52(3), pp. 67-86.</w:t>
              </w:r>
            </w:p>
            <w:p w:rsidR="00CE680F" w:rsidRDefault="00CE680F" w:rsidP="00CE680F">
              <w:pPr>
                <w:pStyle w:val="Bibliography"/>
                <w:numPr>
                  <w:ilvl w:val="0"/>
                  <w:numId w:val="15"/>
                </w:numPr>
                <w:rPr>
                  <w:noProof/>
                </w:rPr>
              </w:pPr>
              <w:r>
                <w:rPr>
                  <w:noProof/>
                </w:rPr>
                <w:t xml:space="preserve">Hülsheger, U., Alberts, H., Feinholdt, A. &amp; Lang, J., 2013. Benefits of mindfulness at work: The role of mindfulness in emotion regulation, emotional exhaustion, and job satisfaction. </w:t>
              </w:r>
              <w:r>
                <w:rPr>
                  <w:i/>
                  <w:iCs/>
                  <w:noProof/>
                </w:rPr>
                <w:t xml:space="preserve">Journal Of Applied Psychology, </w:t>
              </w:r>
              <w:r>
                <w:rPr>
                  <w:noProof/>
                </w:rPr>
                <w:t>98(2), pp. 310-325.</w:t>
              </w:r>
            </w:p>
            <w:p w:rsidR="00CE680F" w:rsidRDefault="00CE680F" w:rsidP="00CE680F">
              <w:pPr>
                <w:pStyle w:val="Bibliography"/>
                <w:numPr>
                  <w:ilvl w:val="0"/>
                  <w:numId w:val="15"/>
                </w:numPr>
                <w:rPr>
                  <w:noProof/>
                </w:rPr>
              </w:pPr>
              <w:r>
                <w:rPr>
                  <w:noProof/>
                </w:rPr>
                <w:t xml:space="preserve">IBE-UNESCO, 2017. </w:t>
              </w:r>
              <w:r>
                <w:rPr>
                  <w:i/>
                  <w:iCs/>
                  <w:noProof/>
                </w:rPr>
                <w:t xml:space="preserve">Cross-Cutting Themes. </w:t>
              </w:r>
              <w:r>
                <w:rPr>
                  <w:noProof/>
                </w:rPr>
                <w:t xml:space="preserve">[Online] </w:t>
              </w:r>
              <w:r>
                <w:rPr>
                  <w:noProof/>
                </w:rPr>
                <w:br/>
                <w:t xml:space="preserve">Available at: </w:t>
              </w:r>
              <w:r>
                <w:rPr>
                  <w:noProof/>
                  <w:u w:val="single"/>
                </w:rPr>
                <w:t>http://www.ibe.unesco.org/en/glossary-curriculum-terminology/c/cross-cutting-themes</w:t>
              </w:r>
              <w:r>
                <w:rPr>
                  <w:noProof/>
                </w:rPr>
                <w:br/>
                <w:t>[Accessed 3 November 2017].</w:t>
              </w:r>
            </w:p>
            <w:p w:rsidR="00CE680F" w:rsidRDefault="00CE680F" w:rsidP="00CE680F">
              <w:pPr>
                <w:pStyle w:val="Bibliography"/>
                <w:numPr>
                  <w:ilvl w:val="0"/>
                  <w:numId w:val="15"/>
                </w:numPr>
                <w:rPr>
                  <w:noProof/>
                </w:rPr>
              </w:pPr>
              <w:r>
                <w:rPr>
                  <w:noProof/>
                </w:rPr>
                <w:t xml:space="preserve">Jackson, P. W., 1968. </w:t>
              </w:r>
              <w:r>
                <w:rPr>
                  <w:i/>
                  <w:iCs/>
                  <w:noProof/>
                </w:rPr>
                <w:t xml:space="preserve">Life in classrooms. </w:t>
              </w:r>
              <w:r>
                <w:rPr>
                  <w:noProof/>
                </w:rPr>
                <w:t>New York: Reinhart and Winston.</w:t>
              </w:r>
            </w:p>
            <w:p w:rsidR="00CE680F" w:rsidRDefault="00CE680F" w:rsidP="00CE680F">
              <w:pPr>
                <w:pStyle w:val="Bibliography"/>
                <w:numPr>
                  <w:ilvl w:val="0"/>
                  <w:numId w:val="15"/>
                </w:numPr>
                <w:rPr>
                  <w:noProof/>
                </w:rPr>
              </w:pPr>
              <w:r>
                <w:rPr>
                  <w:noProof/>
                </w:rPr>
                <w:t xml:space="preserve">Keeling, S. M., Woodlee, K. M. &amp; Maher, M. A., 2013. Assessment is not a spectator sport: Experiencing authentic assessment in the classroom. </w:t>
              </w:r>
              <w:r>
                <w:rPr>
                  <w:i/>
                  <w:iCs/>
                  <w:noProof/>
                </w:rPr>
                <w:t xml:space="preserve">Assessment Update, </w:t>
              </w:r>
              <w:r>
                <w:rPr>
                  <w:noProof/>
                </w:rPr>
                <w:t>25(5), pp. 12-13.</w:t>
              </w:r>
            </w:p>
            <w:p w:rsidR="00CE680F" w:rsidRDefault="00CE680F" w:rsidP="00CE680F">
              <w:pPr>
                <w:pStyle w:val="Bibliography"/>
                <w:numPr>
                  <w:ilvl w:val="0"/>
                  <w:numId w:val="15"/>
                </w:numPr>
                <w:rPr>
                  <w:noProof/>
                </w:rPr>
              </w:pPr>
              <w:r>
                <w:rPr>
                  <w:noProof/>
                </w:rPr>
                <w:t xml:space="preserve">Learning, Skills &amp; Innovation Partnership, 2016. </w:t>
              </w:r>
              <w:r>
                <w:rPr>
                  <w:i/>
                  <w:iCs/>
                  <w:noProof/>
                </w:rPr>
                <w:t xml:space="preserve">South East Wales Employment and Skills Plan 2016, </w:t>
              </w:r>
              <w:r>
                <w:rPr>
                  <w:noProof/>
                </w:rPr>
                <w:t>s.l.: LSkIP.</w:t>
              </w:r>
            </w:p>
            <w:p w:rsidR="00CE680F" w:rsidRDefault="00CE680F" w:rsidP="00CE680F">
              <w:pPr>
                <w:pStyle w:val="Bibliography"/>
                <w:numPr>
                  <w:ilvl w:val="0"/>
                  <w:numId w:val="15"/>
                </w:numPr>
                <w:rPr>
                  <w:noProof/>
                </w:rPr>
              </w:pPr>
              <w:r>
                <w:rPr>
                  <w:noProof/>
                </w:rPr>
                <w:t xml:space="preserve">Lombardi, M. M., 2008. Making the grade: The role of assessment in authentic learning. </w:t>
              </w:r>
              <w:r>
                <w:rPr>
                  <w:i/>
                  <w:iCs/>
                  <w:noProof/>
                </w:rPr>
                <w:t xml:space="preserve">Educause Learning Initiative, </w:t>
              </w:r>
              <w:r>
                <w:rPr>
                  <w:noProof/>
                </w:rPr>
                <w:t>Volume 1, pp. 1-16.</w:t>
              </w:r>
            </w:p>
            <w:p w:rsidR="00CE680F" w:rsidRDefault="00CE680F" w:rsidP="00CE680F">
              <w:pPr>
                <w:pStyle w:val="Bibliography"/>
                <w:numPr>
                  <w:ilvl w:val="0"/>
                  <w:numId w:val="15"/>
                </w:numPr>
                <w:rPr>
                  <w:noProof/>
                </w:rPr>
              </w:pPr>
              <w:r>
                <w:rPr>
                  <w:noProof/>
                </w:rPr>
                <w:t xml:space="preserve">McLain, M., 2017. Emerging perspectives on the demonstration as a signature pedagogy in design and technology education. </w:t>
              </w:r>
              <w:r>
                <w:rPr>
                  <w:i/>
                  <w:iCs/>
                  <w:noProof/>
                </w:rPr>
                <w:t xml:space="preserve">International Journal of Technology and Design Education, </w:t>
              </w:r>
              <w:r>
                <w:rPr>
                  <w:noProof/>
                </w:rPr>
                <w:t>27(4), pp. 1-16.</w:t>
              </w:r>
            </w:p>
            <w:p w:rsidR="00CE680F" w:rsidRDefault="00CE680F" w:rsidP="00CE680F">
              <w:pPr>
                <w:pStyle w:val="Bibliography"/>
                <w:numPr>
                  <w:ilvl w:val="0"/>
                  <w:numId w:val="15"/>
                </w:numPr>
                <w:rPr>
                  <w:noProof/>
                </w:rPr>
              </w:pPr>
              <w:r>
                <w:rPr>
                  <w:noProof/>
                </w:rPr>
                <w:t xml:space="preserve">Nicol, J. s. &amp; Dosser, I., 2016. Understanding reflective practice. </w:t>
              </w:r>
              <w:r>
                <w:rPr>
                  <w:i/>
                  <w:iCs/>
                  <w:noProof/>
                </w:rPr>
                <w:t xml:space="preserve">Nursing Standard (2014+), </w:t>
              </w:r>
              <w:r>
                <w:rPr>
                  <w:noProof/>
                </w:rPr>
                <w:t>30(36), p. 34.</w:t>
              </w:r>
            </w:p>
            <w:p w:rsidR="00CE680F" w:rsidRDefault="00CE680F" w:rsidP="00CE680F">
              <w:pPr>
                <w:pStyle w:val="Bibliography"/>
                <w:numPr>
                  <w:ilvl w:val="0"/>
                  <w:numId w:val="15"/>
                </w:numPr>
                <w:rPr>
                  <w:noProof/>
                </w:rPr>
              </w:pPr>
              <w:r>
                <w:rPr>
                  <w:noProof/>
                </w:rPr>
                <w:t xml:space="preserve">NPTCgroup, 2017. </w:t>
              </w:r>
              <w:r>
                <w:rPr>
                  <w:i/>
                  <w:iCs/>
                  <w:noProof/>
                </w:rPr>
                <w:t xml:space="preserve">Cross-cutting themes: creating a global leader. </w:t>
              </w:r>
              <w:r>
                <w:rPr>
                  <w:noProof/>
                </w:rPr>
                <w:t xml:space="preserve">[Online] </w:t>
              </w:r>
              <w:r>
                <w:rPr>
                  <w:noProof/>
                </w:rPr>
                <w:br/>
                <w:t xml:space="preserve">Available at: </w:t>
              </w:r>
              <w:r>
                <w:rPr>
                  <w:noProof/>
                  <w:u w:val="single"/>
                </w:rPr>
                <w:t>http://moodle.nptcgroup.ac.uk/course/view.php?id=2965</w:t>
              </w:r>
              <w:r>
                <w:rPr>
                  <w:noProof/>
                </w:rPr>
                <w:br/>
                <w:t>[Accessed 3 November 2017].</w:t>
              </w:r>
            </w:p>
            <w:p w:rsidR="00CE680F" w:rsidRDefault="00CE680F" w:rsidP="00CE680F">
              <w:pPr>
                <w:pStyle w:val="Bibliography"/>
                <w:numPr>
                  <w:ilvl w:val="0"/>
                  <w:numId w:val="15"/>
                </w:numPr>
                <w:rPr>
                  <w:noProof/>
                </w:rPr>
              </w:pPr>
              <w:r>
                <w:rPr>
                  <w:noProof/>
                </w:rPr>
                <w:t xml:space="preserve">Rowley, C. &amp; Cooper, H., 2009. </w:t>
              </w:r>
              <w:r>
                <w:rPr>
                  <w:i/>
                  <w:iCs/>
                  <w:noProof/>
                </w:rPr>
                <w:t xml:space="preserve">Cross-curricular approaches to teaching and learning. </w:t>
              </w:r>
              <w:r>
                <w:rPr>
                  <w:noProof/>
                </w:rPr>
                <w:t>1st ed. London: Sage.</w:t>
              </w:r>
            </w:p>
            <w:p w:rsidR="00CE680F" w:rsidRDefault="00CE680F" w:rsidP="00CE680F">
              <w:pPr>
                <w:pStyle w:val="Bibliography"/>
                <w:numPr>
                  <w:ilvl w:val="0"/>
                  <w:numId w:val="15"/>
                </w:numPr>
                <w:rPr>
                  <w:noProof/>
                </w:rPr>
              </w:pPr>
              <w:r>
                <w:rPr>
                  <w:noProof/>
                </w:rPr>
                <w:t xml:space="preserve">Sarkar, M., Overton, T., Thompson, C. &amp; Rayner, G., 2016. Graduate Employability: Views of Recent Science Graduates and Employers. </w:t>
              </w:r>
              <w:r>
                <w:rPr>
                  <w:i/>
                  <w:iCs/>
                  <w:noProof/>
                </w:rPr>
                <w:t xml:space="preserve">International Journal of Innovation in Science and Mathematics Education, </w:t>
              </w:r>
              <w:r>
                <w:rPr>
                  <w:noProof/>
                </w:rPr>
                <w:t>24(3), pp. 31-48.</w:t>
              </w:r>
            </w:p>
            <w:p w:rsidR="00CE680F" w:rsidRDefault="00CE680F" w:rsidP="00CE680F">
              <w:pPr>
                <w:pStyle w:val="Bibliography"/>
                <w:numPr>
                  <w:ilvl w:val="0"/>
                  <w:numId w:val="15"/>
                </w:numPr>
                <w:rPr>
                  <w:noProof/>
                </w:rPr>
              </w:pPr>
              <w:r>
                <w:rPr>
                  <w:noProof/>
                </w:rPr>
                <w:t xml:space="preserve">Schonert-Reichl, K. A. et al., 2015. Enhancing Cognitive and Social–Emotional Development Through a Simple-to-Administer Mindfulness-Based School Program for Elementary School Children: A Randomized Controlled Trial. </w:t>
              </w:r>
              <w:r>
                <w:rPr>
                  <w:i/>
                  <w:iCs/>
                  <w:noProof/>
                </w:rPr>
                <w:t xml:space="preserve">Developmental Psychology, </w:t>
              </w:r>
              <w:r>
                <w:rPr>
                  <w:noProof/>
                </w:rPr>
                <w:t>51(1), pp. 52-66.</w:t>
              </w:r>
            </w:p>
            <w:p w:rsidR="00CE680F" w:rsidRDefault="00CE680F" w:rsidP="00CE680F">
              <w:pPr>
                <w:pStyle w:val="Bibliography"/>
                <w:numPr>
                  <w:ilvl w:val="0"/>
                  <w:numId w:val="15"/>
                </w:numPr>
                <w:rPr>
                  <w:noProof/>
                </w:rPr>
              </w:pPr>
              <w:r>
                <w:rPr>
                  <w:noProof/>
                </w:rPr>
                <w:t xml:space="preserve">Scott, J. &amp; Marshall, G., 2009. </w:t>
              </w:r>
              <w:r>
                <w:rPr>
                  <w:i/>
                  <w:iCs/>
                  <w:noProof/>
                </w:rPr>
                <w:t xml:space="preserve">A Dictionary of Sociology. </w:t>
              </w:r>
              <w:r>
                <w:rPr>
                  <w:noProof/>
                </w:rPr>
                <w:t>3rd ed. s.l.:Oxford university press.</w:t>
              </w:r>
            </w:p>
            <w:p w:rsidR="00CE680F" w:rsidRDefault="00CE680F" w:rsidP="00CE680F">
              <w:pPr>
                <w:pStyle w:val="Bibliography"/>
                <w:numPr>
                  <w:ilvl w:val="0"/>
                  <w:numId w:val="15"/>
                </w:numPr>
                <w:rPr>
                  <w:noProof/>
                </w:rPr>
              </w:pPr>
              <w:r>
                <w:rPr>
                  <w:noProof/>
                </w:rPr>
                <w:t xml:space="preserve">Segal, Z., Williams, M. G. &amp; Teasdale, J. D., 2012. </w:t>
              </w:r>
              <w:r>
                <w:rPr>
                  <w:i/>
                  <w:iCs/>
                  <w:noProof/>
                </w:rPr>
                <w:t xml:space="preserve">Mindfulness-based Cognitive Therapy for Depression: a new approach to preventing relapse – 2nd Edition. </w:t>
              </w:r>
              <w:r>
                <w:rPr>
                  <w:noProof/>
                </w:rPr>
                <w:t>2nd ed. London: Guildford Press.</w:t>
              </w:r>
            </w:p>
            <w:p w:rsidR="00CE680F" w:rsidRDefault="00CE680F" w:rsidP="00CE680F">
              <w:pPr>
                <w:pStyle w:val="Bibliography"/>
                <w:numPr>
                  <w:ilvl w:val="0"/>
                  <w:numId w:val="15"/>
                </w:numPr>
                <w:rPr>
                  <w:noProof/>
                </w:rPr>
              </w:pPr>
              <w:r>
                <w:rPr>
                  <w:noProof/>
                </w:rPr>
                <w:t xml:space="preserve">Spek, A. A., van Ham, N. C. &amp; Nyklíček, I., 2013. Mindfulness-based therapy in adults with an autism spectrum disorder: A randomized controlled trial. </w:t>
              </w:r>
              <w:r>
                <w:rPr>
                  <w:i/>
                  <w:iCs/>
                  <w:noProof/>
                </w:rPr>
                <w:t xml:space="preserve">Research in Developmental Disabilities, </w:t>
              </w:r>
              <w:r>
                <w:rPr>
                  <w:noProof/>
                </w:rPr>
                <w:t>34(1), pp. 246-253.</w:t>
              </w:r>
            </w:p>
            <w:p w:rsidR="00CE680F" w:rsidRDefault="00CE680F" w:rsidP="00CE680F">
              <w:pPr>
                <w:pStyle w:val="Bibliography"/>
                <w:numPr>
                  <w:ilvl w:val="0"/>
                  <w:numId w:val="15"/>
                </w:numPr>
                <w:rPr>
                  <w:noProof/>
                </w:rPr>
              </w:pPr>
              <w:r>
                <w:rPr>
                  <w:noProof/>
                </w:rPr>
                <w:t xml:space="preserve">Sridharan, B. &amp; Mustard, J., 2017. </w:t>
              </w:r>
              <w:r>
                <w:rPr>
                  <w:i/>
                  <w:iCs/>
                  <w:noProof/>
                </w:rPr>
                <w:t xml:space="preserve">Authentic Assessment Methods: A Practical Handbook for Teaching Staff. </w:t>
              </w:r>
              <w:r>
                <w:rPr>
                  <w:noProof/>
                </w:rPr>
                <w:t xml:space="preserve">[Online] </w:t>
              </w:r>
              <w:r>
                <w:rPr>
                  <w:noProof/>
                </w:rPr>
                <w:br/>
                <w:t xml:space="preserve">Available at: </w:t>
              </w:r>
              <w:r>
                <w:rPr>
                  <w:noProof/>
                  <w:u w:val="single"/>
                </w:rPr>
                <w:t>https://blogs.deakin.edu.au/learning-innovations/authentic-assessment-methods-a-practical-handbook-for-teaching-staff/</w:t>
              </w:r>
              <w:r>
                <w:rPr>
                  <w:noProof/>
                </w:rPr>
                <w:br/>
                <w:t>[Accessed 7 November 2017].</w:t>
              </w:r>
            </w:p>
            <w:p w:rsidR="00CE680F" w:rsidRDefault="00CE680F" w:rsidP="00CE680F">
              <w:pPr>
                <w:pStyle w:val="Bibliography"/>
                <w:numPr>
                  <w:ilvl w:val="0"/>
                  <w:numId w:val="15"/>
                </w:numPr>
                <w:rPr>
                  <w:noProof/>
                </w:rPr>
              </w:pPr>
              <w:r>
                <w:rPr>
                  <w:noProof/>
                </w:rPr>
                <w:t xml:space="preserve">Thalheimer, W., 2015. </w:t>
              </w:r>
              <w:r>
                <w:rPr>
                  <w:i/>
                  <w:iCs/>
                  <w:noProof/>
                </w:rPr>
                <w:t xml:space="preserve">Debunk This: People Remember 10 Percent of What They Read. </w:t>
              </w:r>
              <w:r>
                <w:rPr>
                  <w:noProof/>
                </w:rPr>
                <w:t xml:space="preserve">[Online] </w:t>
              </w:r>
              <w:r>
                <w:rPr>
                  <w:noProof/>
                </w:rPr>
                <w:br/>
                <w:t xml:space="preserve">Available at: </w:t>
              </w:r>
              <w:r>
                <w:rPr>
                  <w:noProof/>
                  <w:u w:val="single"/>
                </w:rPr>
                <w:t>https://www.td.org/Publications/Blogs/Science-of-Learning-Blog/2015/03/Debunk-This-People-Remember-10-Percent-of-What-They-Read</w:t>
              </w:r>
              <w:r>
                <w:rPr>
                  <w:noProof/>
                </w:rPr>
                <w:br/>
                <w:t>[Accessed 17 November 2017].</w:t>
              </w:r>
            </w:p>
            <w:p w:rsidR="00CE680F" w:rsidRDefault="00CE680F" w:rsidP="00CE680F">
              <w:pPr>
                <w:pStyle w:val="Bibliography"/>
                <w:numPr>
                  <w:ilvl w:val="0"/>
                  <w:numId w:val="15"/>
                </w:numPr>
                <w:rPr>
                  <w:noProof/>
                </w:rPr>
              </w:pPr>
              <w:r>
                <w:rPr>
                  <w:noProof/>
                </w:rPr>
                <w:t xml:space="preserve">Vygotsky, L., 1978. </w:t>
              </w:r>
              <w:r>
                <w:rPr>
                  <w:i/>
                  <w:iCs/>
                  <w:noProof/>
                </w:rPr>
                <w:t xml:space="preserve">Mind in society. </w:t>
              </w:r>
              <w:r>
                <w:rPr>
                  <w:noProof/>
                </w:rPr>
                <w:t>Cambridge: Harvard University Press.</w:t>
              </w:r>
            </w:p>
            <w:p w:rsidR="00CE680F" w:rsidRDefault="00CE680F" w:rsidP="00CE680F">
              <w:pPr>
                <w:pStyle w:val="Bibliography"/>
                <w:numPr>
                  <w:ilvl w:val="0"/>
                  <w:numId w:val="15"/>
                </w:numPr>
                <w:rPr>
                  <w:noProof/>
                </w:rPr>
              </w:pPr>
              <w:r>
                <w:rPr>
                  <w:noProof/>
                </w:rPr>
                <w:t xml:space="preserve">Wei, M., 2016. </w:t>
              </w:r>
              <w:r>
                <w:rPr>
                  <w:i/>
                  <w:iCs/>
                  <w:noProof/>
                </w:rPr>
                <w:t xml:space="preserve">5 Ways Origami Boosts Mindfulness. </w:t>
              </w:r>
              <w:r>
                <w:rPr>
                  <w:noProof/>
                </w:rPr>
                <w:t xml:space="preserve">[Online] </w:t>
              </w:r>
              <w:r>
                <w:rPr>
                  <w:noProof/>
                </w:rPr>
                <w:br/>
                <w:t xml:space="preserve">Available at: </w:t>
              </w:r>
              <w:r>
                <w:rPr>
                  <w:noProof/>
                  <w:u w:val="single"/>
                </w:rPr>
                <w:t>https://www.psychologytoday.com/blog/urban-survival/201609/5-ways-origami-boosts-mindfulness</w:t>
              </w:r>
              <w:r>
                <w:rPr>
                  <w:noProof/>
                </w:rPr>
                <w:br/>
                <w:t>[Accessed 7 November 2017].</w:t>
              </w:r>
            </w:p>
            <w:p w:rsidR="00CE680F" w:rsidRDefault="00CE680F" w:rsidP="00CE680F">
              <w:pPr>
                <w:pStyle w:val="Bibliography"/>
                <w:numPr>
                  <w:ilvl w:val="0"/>
                  <w:numId w:val="15"/>
                </w:numPr>
                <w:rPr>
                  <w:noProof/>
                </w:rPr>
              </w:pPr>
              <w:r>
                <w:rPr>
                  <w:noProof/>
                </w:rPr>
                <w:t xml:space="preserve">Welsh Government, 2017. </w:t>
              </w:r>
              <w:r>
                <w:rPr>
                  <w:i/>
                  <w:iCs/>
                  <w:noProof/>
                </w:rPr>
                <w:t xml:space="preserve">Cross-Cutting Themes guidance. </w:t>
              </w:r>
              <w:r>
                <w:rPr>
                  <w:noProof/>
                </w:rPr>
                <w:t xml:space="preserve">[Online] </w:t>
              </w:r>
              <w:r>
                <w:rPr>
                  <w:noProof/>
                </w:rPr>
                <w:br/>
                <w:t xml:space="preserve">Available at: </w:t>
              </w:r>
              <w:r>
                <w:rPr>
                  <w:noProof/>
                  <w:u w:val="single"/>
                </w:rPr>
                <w:t>http://gov.wales/funding/eu-funds/2014-2020/wefo-guidance/cross-cutting-guidance/?lang=en</w:t>
              </w:r>
              <w:r>
                <w:rPr>
                  <w:noProof/>
                </w:rPr>
                <w:br/>
                <w:t>[Accessed 3 November 2017].</w:t>
              </w:r>
            </w:p>
            <w:p w:rsidR="00E3069C" w:rsidRDefault="00E3069C" w:rsidP="00CE680F">
              <w:r>
                <w:rPr>
                  <w:b/>
                  <w:bCs/>
                  <w:noProof/>
                </w:rPr>
                <w:fldChar w:fldCharType="end"/>
              </w:r>
            </w:p>
          </w:sdtContent>
        </w:sdt>
      </w:sdtContent>
    </w:sdt>
    <w:p w:rsidR="00E3069C" w:rsidRPr="003F22BD" w:rsidRDefault="00E3069C" w:rsidP="003F22BD"/>
    <w:p w:rsidR="00E5354F" w:rsidRDefault="00E5354F">
      <w:pPr>
        <w:rPr>
          <w:rFonts w:asciiTheme="majorHAnsi" w:eastAsiaTheme="majorEastAsia" w:hAnsiTheme="majorHAnsi" w:cstheme="majorBidi"/>
          <w:color w:val="2F5496" w:themeColor="accent1" w:themeShade="BF"/>
          <w:sz w:val="32"/>
          <w:szCs w:val="32"/>
        </w:rPr>
      </w:pPr>
      <w:r>
        <w:br w:type="page"/>
      </w:r>
    </w:p>
    <w:p w:rsidR="00E3069C" w:rsidRDefault="00E3069C" w:rsidP="007B0F28">
      <w:pPr>
        <w:pStyle w:val="Heading1"/>
      </w:pPr>
      <w:bookmarkStart w:id="6" w:name="_Toc498810766"/>
      <w:r>
        <w:t>Appendices</w:t>
      </w:r>
      <w:bookmarkEnd w:id="6"/>
    </w:p>
    <w:p w:rsidR="00E5354F" w:rsidRPr="00E413AB" w:rsidRDefault="00E5354F" w:rsidP="00E5354F">
      <w:pPr>
        <w:spacing w:after="0" w:line="240" w:lineRule="auto"/>
        <w:jc w:val="center"/>
        <w:rPr>
          <w:rFonts w:ascii="Arial" w:hAnsi="Arial" w:cs="Arial"/>
        </w:rPr>
      </w:pPr>
      <w:r w:rsidRPr="00E413AB">
        <w:rPr>
          <w:rFonts w:ascii="Arial" w:hAnsi="Arial" w:cs="Arial"/>
        </w:rPr>
        <w:t>LESSON PLAN</w:t>
      </w:r>
    </w:p>
    <w:p w:rsidR="00E5354F" w:rsidRPr="00E413AB" w:rsidRDefault="00E5354F" w:rsidP="00E5354F">
      <w:pPr>
        <w:rPr>
          <w:rFonts w:ascii="Arial" w:hAnsi="Arial" w:cs="Arial"/>
        </w:rPr>
      </w:pPr>
    </w:p>
    <w:tbl>
      <w:tblPr>
        <w:tblStyle w:val="TableGrid"/>
        <w:tblW w:w="0" w:type="auto"/>
        <w:tblBorders>
          <w:top w:val="single" w:sz="4" w:space="0" w:color="808080" w:themeColor="background1" w:themeShade="80"/>
          <w:left w:val="single" w:sz="4" w:space="0" w:color="808080" w:themeColor="background1" w:themeShade="80"/>
          <w:bottom w:val="single" w:sz="4" w:space="0" w:color="808080" w:themeColor="background1" w:themeShade="80"/>
          <w:right w:val="single" w:sz="4" w:space="0" w:color="808080" w:themeColor="background1" w:themeShade="80"/>
          <w:insideH w:val="single" w:sz="4" w:space="0" w:color="808080" w:themeColor="background1" w:themeShade="80"/>
          <w:insideV w:val="single" w:sz="4" w:space="0" w:color="808080" w:themeColor="background1" w:themeShade="80"/>
        </w:tblBorders>
        <w:tblLook w:val="04A0" w:firstRow="1" w:lastRow="0" w:firstColumn="1" w:lastColumn="0" w:noHBand="0" w:noVBand="1"/>
      </w:tblPr>
      <w:tblGrid>
        <w:gridCol w:w="2222"/>
        <w:gridCol w:w="2418"/>
        <w:gridCol w:w="2145"/>
        <w:gridCol w:w="2231"/>
      </w:tblGrid>
      <w:tr w:rsidR="00E5354F" w:rsidRPr="00E413AB" w:rsidTr="008A5691">
        <w:trPr>
          <w:trHeight w:val="620"/>
        </w:trPr>
        <w:tc>
          <w:tcPr>
            <w:tcW w:w="4651" w:type="dxa"/>
            <w:gridSpan w:val="2"/>
          </w:tcPr>
          <w:p w:rsidR="00E5354F" w:rsidRPr="00E413AB" w:rsidRDefault="00E5354F" w:rsidP="008A5691">
            <w:pPr>
              <w:rPr>
                <w:rFonts w:ascii="Arial" w:hAnsi="Arial" w:cs="Arial"/>
              </w:rPr>
            </w:pPr>
            <w:r w:rsidRPr="00E413AB">
              <w:rPr>
                <w:rFonts w:ascii="Arial" w:hAnsi="Arial" w:cs="Arial"/>
              </w:rPr>
              <w:t>TOPIC:</w:t>
            </w:r>
            <w:r>
              <w:rPr>
                <w:rFonts w:ascii="Arial" w:hAnsi="Arial" w:cs="Arial"/>
              </w:rPr>
              <w:t xml:space="preserve"> Mindfulness </w:t>
            </w:r>
          </w:p>
        </w:tc>
        <w:tc>
          <w:tcPr>
            <w:tcW w:w="4365" w:type="dxa"/>
            <w:gridSpan w:val="2"/>
          </w:tcPr>
          <w:p w:rsidR="00E5354F" w:rsidRPr="00E413AB" w:rsidRDefault="00E5354F" w:rsidP="008A5691">
            <w:pPr>
              <w:rPr>
                <w:rFonts w:ascii="Arial" w:hAnsi="Arial" w:cs="Arial"/>
              </w:rPr>
            </w:pPr>
            <w:r w:rsidRPr="00E413AB">
              <w:rPr>
                <w:rFonts w:ascii="Arial" w:hAnsi="Arial" w:cs="Arial"/>
              </w:rPr>
              <w:t>CLASS:</w:t>
            </w:r>
            <w:r>
              <w:rPr>
                <w:rFonts w:ascii="Arial" w:hAnsi="Arial" w:cs="Arial"/>
              </w:rPr>
              <w:t xml:space="preserve"> PCET micro-teach</w:t>
            </w:r>
          </w:p>
        </w:tc>
      </w:tr>
      <w:tr w:rsidR="00E5354F" w:rsidRPr="00E413AB" w:rsidTr="008A5691">
        <w:trPr>
          <w:trHeight w:val="377"/>
        </w:trPr>
        <w:tc>
          <w:tcPr>
            <w:tcW w:w="2472" w:type="dxa"/>
          </w:tcPr>
          <w:p w:rsidR="00E5354F" w:rsidRPr="00E413AB" w:rsidRDefault="00E5354F" w:rsidP="008A5691">
            <w:pPr>
              <w:rPr>
                <w:rFonts w:ascii="Arial" w:hAnsi="Arial" w:cs="Arial"/>
              </w:rPr>
            </w:pPr>
            <w:r w:rsidRPr="00E413AB">
              <w:rPr>
                <w:rFonts w:ascii="Arial" w:hAnsi="Arial" w:cs="Arial"/>
              </w:rPr>
              <w:t>DATE:</w:t>
            </w:r>
            <w:r>
              <w:rPr>
                <w:rFonts w:ascii="Arial" w:hAnsi="Arial" w:cs="Arial"/>
              </w:rPr>
              <w:t xml:space="preserve"> 26-11-17</w:t>
            </w:r>
          </w:p>
        </w:tc>
        <w:tc>
          <w:tcPr>
            <w:tcW w:w="4093" w:type="dxa"/>
            <w:gridSpan w:val="2"/>
          </w:tcPr>
          <w:p w:rsidR="00E5354F" w:rsidRPr="00E413AB" w:rsidRDefault="00E5354F" w:rsidP="008A5691">
            <w:pPr>
              <w:rPr>
                <w:rFonts w:ascii="Arial" w:hAnsi="Arial" w:cs="Arial"/>
              </w:rPr>
            </w:pPr>
            <w:r w:rsidRPr="00E413AB">
              <w:rPr>
                <w:rFonts w:ascii="Arial" w:hAnsi="Arial" w:cs="Arial"/>
              </w:rPr>
              <w:t>LENGTH OF LESSON:</w:t>
            </w:r>
            <w:r>
              <w:rPr>
                <w:rFonts w:ascii="Arial" w:hAnsi="Arial" w:cs="Arial"/>
              </w:rPr>
              <w:t xml:space="preserve"> 45mins</w:t>
            </w:r>
          </w:p>
        </w:tc>
        <w:tc>
          <w:tcPr>
            <w:tcW w:w="2451" w:type="dxa"/>
          </w:tcPr>
          <w:p w:rsidR="00E5354F" w:rsidRPr="00E413AB" w:rsidRDefault="00E5354F" w:rsidP="008A5691">
            <w:pPr>
              <w:rPr>
                <w:rFonts w:ascii="Arial" w:hAnsi="Arial" w:cs="Arial"/>
              </w:rPr>
            </w:pPr>
            <w:r w:rsidRPr="00E413AB">
              <w:rPr>
                <w:rFonts w:ascii="Arial" w:hAnsi="Arial" w:cs="Arial"/>
              </w:rPr>
              <w:t>NO IN CLASS:</w:t>
            </w:r>
            <w:r>
              <w:rPr>
                <w:rFonts w:ascii="Arial" w:hAnsi="Arial" w:cs="Arial"/>
              </w:rPr>
              <w:t xml:space="preserve"> 20</w:t>
            </w:r>
          </w:p>
        </w:tc>
      </w:tr>
      <w:tr w:rsidR="00E5354F" w:rsidRPr="00E413AB" w:rsidTr="008A5691">
        <w:trPr>
          <w:trHeight w:val="980"/>
        </w:trPr>
        <w:tc>
          <w:tcPr>
            <w:tcW w:w="9016" w:type="dxa"/>
            <w:gridSpan w:val="4"/>
            <w:tcBorders>
              <w:bottom w:val="thinThickSmallGap" w:sz="24" w:space="0" w:color="808080" w:themeColor="background1" w:themeShade="80"/>
            </w:tcBorders>
          </w:tcPr>
          <w:p w:rsidR="00E5354F" w:rsidRPr="00E413AB" w:rsidRDefault="00E5354F" w:rsidP="008A5691">
            <w:pPr>
              <w:rPr>
                <w:rFonts w:ascii="Arial" w:hAnsi="Arial" w:cs="Arial"/>
              </w:rPr>
            </w:pPr>
            <w:r w:rsidRPr="00E413AB">
              <w:rPr>
                <w:rFonts w:ascii="Arial" w:hAnsi="Arial" w:cs="Arial"/>
              </w:rPr>
              <w:t>DIVERSITY AND INCLUSION REQUIREMENTS:</w:t>
            </w:r>
            <w:r>
              <w:rPr>
                <w:rFonts w:ascii="Arial" w:hAnsi="Arial" w:cs="Arial"/>
              </w:rPr>
              <w:t xml:space="preserve"> N/A</w:t>
            </w:r>
          </w:p>
        </w:tc>
      </w:tr>
      <w:tr w:rsidR="00E5354F" w:rsidRPr="00E413AB" w:rsidTr="008A5691">
        <w:trPr>
          <w:trHeight w:val="818"/>
        </w:trPr>
        <w:tc>
          <w:tcPr>
            <w:tcW w:w="9016" w:type="dxa"/>
            <w:gridSpan w:val="4"/>
            <w:tcBorders>
              <w:top w:val="thinThickSmallGap" w:sz="24" w:space="0" w:color="808080" w:themeColor="background1" w:themeShade="80"/>
            </w:tcBorders>
          </w:tcPr>
          <w:p w:rsidR="00E5354F" w:rsidRPr="00E413AB" w:rsidRDefault="00E5354F" w:rsidP="008A5691">
            <w:pPr>
              <w:rPr>
                <w:rFonts w:ascii="Arial" w:hAnsi="Arial" w:cs="Arial"/>
              </w:rPr>
            </w:pPr>
            <w:r w:rsidRPr="00E413AB">
              <w:rPr>
                <w:rFonts w:ascii="Arial" w:hAnsi="Arial" w:cs="Arial"/>
              </w:rPr>
              <w:t>AIM OF LESSON:</w:t>
            </w:r>
            <w:r>
              <w:rPr>
                <w:rFonts w:ascii="Arial" w:hAnsi="Arial" w:cs="Arial"/>
              </w:rPr>
              <w:t xml:space="preserve"> To understand the relevance of Mindfulness, and the benefits of establishing Mindfulness as a Cross-Cutting theme in a social and organisational setting.</w:t>
            </w:r>
          </w:p>
        </w:tc>
      </w:tr>
      <w:tr w:rsidR="00E5354F" w:rsidRPr="00E413AB" w:rsidTr="008A5691">
        <w:trPr>
          <w:trHeight w:val="2492"/>
        </w:trPr>
        <w:tc>
          <w:tcPr>
            <w:tcW w:w="9016" w:type="dxa"/>
            <w:gridSpan w:val="4"/>
          </w:tcPr>
          <w:p w:rsidR="00E5354F" w:rsidRDefault="00E5354F" w:rsidP="008A5691">
            <w:pPr>
              <w:rPr>
                <w:rFonts w:ascii="Arial" w:hAnsi="Arial" w:cs="Arial"/>
              </w:rPr>
            </w:pPr>
            <w:r w:rsidRPr="00E413AB">
              <w:rPr>
                <w:rFonts w:ascii="Arial" w:hAnsi="Arial" w:cs="Arial"/>
              </w:rPr>
              <w:t>LEARNING OBJECTIVES:</w:t>
            </w:r>
          </w:p>
          <w:p w:rsidR="00E5354F" w:rsidRDefault="00E5354F" w:rsidP="008A5691">
            <w:pPr>
              <w:rPr>
                <w:rFonts w:ascii="Arial" w:hAnsi="Arial" w:cs="Arial"/>
              </w:rPr>
            </w:pPr>
          </w:p>
          <w:p w:rsidR="00E5354F" w:rsidRPr="00227A76" w:rsidRDefault="00E5354F" w:rsidP="00E5354F">
            <w:pPr>
              <w:pStyle w:val="ListParagraph"/>
              <w:numPr>
                <w:ilvl w:val="0"/>
                <w:numId w:val="2"/>
              </w:numPr>
              <w:rPr>
                <w:rFonts w:ascii="Arial" w:hAnsi="Arial" w:cs="Arial"/>
              </w:rPr>
            </w:pPr>
            <w:r w:rsidRPr="00227A76">
              <w:rPr>
                <w:rFonts w:ascii="Arial" w:hAnsi="Arial" w:cs="Arial"/>
              </w:rPr>
              <w:t xml:space="preserve">Define </w:t>
            </w:r>
            <w:r>
              <w:rPr>
                <w:rFonts w:ascii="Arial" w:hAnsi="Arial" w:cs="Arial"/>
              </w:rPr>
              <w:t>Mindfulness</w:t>
            </w:r>
          </w:p>
          <w:p w:rsidR="00E5354F" w:rsidRDefault="00E5354F" w:rsidP="00E5354F">
            <w:pPr>
              <w:pStyle w:val="ListParagraph"/>
              <w:numPr>
                <w:ilvl w:val="0"/>
                <w:numId w:val="2"/>
              </w:numPr>
              <w:rPr>
                <w:rFonts w:ascii="Arial" w:hAnsi="Arial" w:cs="Arial"/>
              </w:rPr>
            </w:pPr>
            <w:r>
              <w:rPr>
                <w:rFonts w:ascii="Arial" w:hAnsi="Arial" w:cs="Arial"/>
              </w:rPr>
              <w:t>Understand the history of Mindfulness</w:t>
            </w:r>
          </w:p>
          <w:p w:rsidR="00E5354F" w:rsidRDefault="00E5354F" w:rsidP="00E5354F">
            <w:pPr>
              <w:pStyle w:val="ListParagraph"/>
              <w:numPr>
                <w:ilvl w:val="0"/>
                <w:numId w:val="2"/>
              </w:numPr>
              <w:rPr>
                <w:rFonts w:ascii="Arial" w:hAnsi="Arial" w:cs="Arial"/>
              </w:rPr>
            </w:pPr>
            <w:r>
              <w:rPr>
                <w:rFonts w:ascii="Arial" w:hAnsi="Arial" w:cs="Arial"/>
              </w:rPr>
              <w:t>Contemporary benefits of mindfulness</w:t>
            </w:r>
          </w:p>
          <w:p w:rsidR="00E5354F" w:rsidRPr="00227A76" w:rsidRDefault="00E5354F" w:rsidP="00E5354F">
            <w:pPr>
              <w:pStyle w:val="ListParagraph"/>
              <w:numPr>
                <w:ilvl w:val="0"/>
                <w:numId w:val="2"/>
              </w:numPr>
              <w:rPr>
                <w:rFonts w:ascii="Arial" w:hAnsi="Arial" w:cs="Arial"/>
              </w:rPr>
            </w:pPr>
            <w:r>
              <w:rPr>
                <w:rFonts w:ascii="Arial" w:hAnsi="Arial" w:cs="Arial"/>
              </w:rPr>
              <w:t>Basic mindfulness exercises</w:t>
            </w:r>
          </w:p>
          <w:p w:rsidR="00E5354F" w:rsidRPr="00E413AB" w:rsidRDefault="00E5354F" w:rsidP="008A5691">
            <w:pPr>
              <w:rPr>
                <w:rFonts w:ascii="Arial" w:hAnsi="Arial" w:cs="Arial"/>
              </w:rPr>
            </w:pPr>
          </w:p>
        </w:tc>
      </w:tr>
      <w:tr w:rsidR="00E5354F" w:rsidRPr="00E413AB" w:rsidTr="008A5691">
        <w:trPr>
          <w:trHeight w:val="1178"/>
        </w:trPr>
        <w:tc>
          <w:tcPr>
            <w:tcW w:w="9016" w:type="dxa"/>
            <w:gridSpan w:val="4"/>
            <w:tcBorders>
              <w:bottom w:val="thinThickSmallGap" w:sz="24" w:space="0" w:color="808080" w:themeColor="background1" w:themeShade="80"/>
            </w:tcBorders>
          </w:tcPr>
          <w:p w:rsidR="00E5354F" w:rsidRDefault="00E5354F" w:rsidP="008A5691">
            <w:pPr>
              <w:rPr>
                <w:rFonts w:ascii="Arial" w:hAnsi="Arial" w:cs="Arial"/>
              </w:rPr>
            </w:pPr>
            <w:r w:rsidRPr="00E413AB">
              <w:rPr>
                <w:rFonts w:ascii="Arial" w:hAnsi="Arial" w:cs="Arial"/>
              </w:rPr>
              <w:t>PREVIOUS KNOWLEDGE:</w:t>
            </w:r>
          </w:p>
          <w:p w:rsidR="00E5354F" w:rsidRPr="00E413AB" w:rsidRDefault="00E5354F" w:rsidP="008A5691">
            <w:pPr>
              <w:rPr>
                <w:rFonts w:ascii="Arial" w:hAnsi="Arial" w:cs="Arial"/>
              </w:rPr>
            </w:pPr>
            <w:r>
              <w:rPr>
                <w:rFonts w:ascii="Arial" w:hAnsi="Arial" w:cs="Arial"/>
              </w:rPr>
              <w:t>Expected knowledge is minimal</w:t>
            </w:r>
          </w:p>
        </w:tc>
      </w:tr>
      <w:tr w:rsidR="00E5354F" w:rsidRPr="00E413AB" w:rsidTr="008A5691">
        <w:trPr>
          <w:trHeight w:val="1682"/>
        </w:trPr>
        <w:tc>
          <w:tcPr>
            <w:tcW w:w="9016" w:type="dxa"/>
            <w:gridSpan w:val="4"/>
            <w:tcBorders>
              <w:top w:val="thinThickSmallGap" w:sz="24" w:space="0" w:color="808080" w:themeColor="background1" w:themeShade="80"/>
            </w:tcBorders>
          </w:tcPr>
          <w:p w:rsidR="00E5354F" w:rsidRDefault="00E5354F" w:rsidP="008A5691">
            <w:pPr>
              <w:rPr>
                <w:rFonts w:ascii="Arial" w:hAnsi="Arial" w:cs="Arial"/>
              </w:rPr>
            </w:pPr>
            <w:r w:rsidRPr="00E413AB">
              <w:rPr>
                <w:rFonts w:ascii="Arial" w:hAnsi="Arial" w:cs="Arial"/>
              </w:rPr>
              <w:t>ANTICIPATED DIFFICULTIES:</w:t>
            </w:r>
          </w:p>
          <w:p w:rsidR="00E5354F" w:rsidRDefault="00E5354F" w:rsidP="008A5691">
            <w:pPr>
              <w:rPr>
                <w:rFonts w:ascii="Arial" w:hAnsi="Arial" w:cs="Arial"/>
              </w:rPr>
            </w:pPr>
            <w:r>
              <w:rPr>
                <w:rFonts w:ascii="Arial" w:hAnsi="Arial" w:cs="Arial"/>
              </w:rPr>
              <w:t>Timing will always be the difficult aspect to manage.</w:t>
            </w:r>
          </w:p>
          <w:p w:rsidR="00E5354F" w:rsidRDefault="00E5354F" w:rsidP="008A5691">
            <w:pPr>
              <w:rPr>
                <w:rFonts w:ascii="Arial" w:hAnsi="Arial" w:cs="Arial"/>
              </w:rPr>
            </w:pPr>
            <w:r>
              <w:rPr>
                <w:rFonts w:ascii="Arial" w:hAnsi="Arial" w:cs="Arial"/>
              </w:rPr>
              <w:t>The initial teacher-led components may be a bit dry</w:t>
            </w:r>
          </w:p>
          <w:p w:rsidR="00E5354F" w:rsidRPr="00E413AB" w:rsidRDefault="00E5354F" w:rsidP="008A5691">
            <w:pPr>
              <w:rPr>
                <w:rFonts w:ascii="Arial" w:hAnsi="Arial" w:cs="Arial"/>
              </w:rPr>
            </w:pPr>
            <w:r>
              <w:rPr>
                <w:rFonts w:ascii="Arial" w:hAnsi="Arial" w:cs="Arial"/>
              </w:rPr>
              <w:t xml:space="preserve">Practical application of the exercises may encounter some resistance </w:t>
            </w:r>
          </w:p>
        </w:tc>
      </w:tr>
      <w:tr w:rsidR="00E5354F" w:rsidRPr="00E413AB" w:rsidTr="008A5691">
        <w:trPr>
          <w:trHeight w:val="1448"/>
        </w:trPr>
        <w:tc>
          <w:tcPr>
            <w:tcW w:w="9016" w:type="dxa"/>
            <w:gridSpan w:val="4"/>
          </w:tcPr>
          <w:p w:rsidR="00E5354F" w:rsidRDefault="00E5354F" w:rsidP="008A5691">
            <w:pPr>
              <w:rPr>
                <w:rFonts w:ascii="Arial" w:hAnsi="Arial" w:cs="Arial"/>
              </w:rPr>
            </w:pPr>
            <w:r w:rsidRPr="00E413AB">
              <w:rPr>
                <w:rFonts w:ascii="Arial" w:hAnsi="Arial" w:cs="Arial"/>
              </w:rPr>
              <w:t>RESOURCES/EQUIPMENT REQUIRED:</w:t>
            </w:r>
          </w:p>
          <w:p w:rsidR="00E5354F" w:rsidRDefault="00E5354F" w:rsidP="008A5691">
            <w:pPr>
              <w:rPr>
                <w:rFonts w:ascii="Arial" w:hAnsi="Arial" w:cs="Arial"/>
              </w:rPr>
            </w:pPr>
            <w:r>
              <w:rPr>
                <w:rFonts w:ascii="Arial" w:hAnsi="Arial" w:cs="Arial"/>
              </w:rPr>
              <w:t>Minimal equipment required, however the PC will have to be working and have access to a strong and stable internet connection.</w:t>
            </w:r>
          </w:p>
          <w:p w:rsidR="00E5354F" w:rsidRDefault="00E5354F" w:rsidP="008A5691">
            <w:pPr>
              <w:rPr>
                <w:rFonts w:ascii="Arial" w:hAnsi="Arial" w:cs="Arial"/>
              </w:rPr>
            </w:pPr>
          </w:p>
          <w:p w:rsidR="00E5354F" w:rsidRPr="003F25F0" w:rsidRDefault="00E5354F" w:rsidP="00E5354F">
            <w:pPr>
              <w:pStyle w:val="ListParagraph"/>
              <w:numPr>
                <w:ilvl w:val="0"/>
                <w:numId w:val="3"/>
              </w:numPr>
              <w:rPr>
                <w:rFonts w:ascii="Arial" w:hAnsi="Arial" w:cs="Arial"/>
              </w:rPr>
            </w:pPr>
            <w:r w:rsidRPr="003F25F0">
              <w:rPr>
                <w:rFonts w:ascii="Arial" w:hAnsi="Arial" w:cs="Arial"/>
              </w:rPr>
              <w:t>PowerPoint clicker</w:t>
            </w:r>
          </w:p>
          <w:p w:rsidR="00E5354F" w:rsidRPr="003F25F0" w:rsidRDefault="00E5354F" w:rsidP="00E5354F">
            <w:pPr>
              <w:pStyle w:val="ListParagraph"/>
              <w:numPr>
                <w:ilvl w:val="0"/>
                <w:numId w:val="3"/>
              </w:numPr>
              <w:rPr>
                <w:rFonts w:ascii="Arial" w:hAnsi="Arial" w:cs="Arial"/>
              </w:rPr>
            </w:pPr>
            <w:r>
              <w:rPr>
                <w:rFonts w:ascii="Arial" w:hAnsi="Arial" w:cs="Arial"/>
              </w:rPr>
              <w:t>Sheets of blank A4 paper</w:t>
            </w:r>
          </w:p>
          <w:p w:rsidR="00E5354F" w:rsidRPr="00E413AB" w:rsidRDefault="00E5354F" w:rsidP="008A5691">
            <w:pPr>
              <w:rPr>
                <w:rFonts w:ascii="Arial" w:hAnsi="Arial" w:cs="Arial"/>
              </w:rPr>
            </w:pPr>
          </w:p>
          <w:p w:rsidR="00E5354F" w:rsidRPr="00E413AB" w:rsidRDefault="00E5354F" w:rsidP="008A5691">
            <w:pPr>
              <w:rPr>
                <w:rFonts w:ascii="Arial" w:hAnsi="Arial" w:cs="Arial"/>
              </w:rPr>
            </w:pPr>
          </w:p>
          <w:p w:rsidR="00E5354F" w:rsidRPr="00E413AB" w:rsidRDefault="00E5354F" w:rsidP="008A5691">
            <w:pPr>
              <w:rPr>
                <w:rFonts w:ascii="Arial" w:hAnsi="Arial" w:cs="Arial"/>
              </w:rPr>
            </w:pPr>
          </w:p>
          <w:p w:rsidR="00E5354F" w:rsidRPr="00E413AB" w:rsidRDefault="00E5354F" w:rsidP="008A5691">
            <w:pPr>
              <w:rPr>
                <w:rFonts w:ascii="Arial" w:hAnsi="Arial" w:cs="Arial"/>
              </w:rPr>
            </w:pPr>
          </w:p>
          <w:p w:rsidR="00E5354F" w:rsidRPr="00E413AB" w:rsidRDefault="00E5354F" w:rsidP="008A5691">
            <w:pPr>
              <w:rPr>
                <w:rFonts w:ascii="Arial" w:hAnsi="Arial" w:cs="Arial"/>
              </w:rPr>
            </w:pPr>
          </w:p>
          <w:p w:rsidR="00E5354F" w:rsidRPr="00E413AB" w:rsidRDefault="00E5354F" w:rsidP="008A5691">
            <w:pPr>
              <w:rPr>
                <w:rFonts w:ascii="Arial" w:hAnsi="Arial" w:cs="Arial"/>
              </w:rPr>
            </w:pPr>
          </w:p>
        </w:tc>
      </w:tr>
      <w:tr w:rsidR="00E5354F" w:rsidRPr="00E413AB" w:rsidTr="008A5691">
        <w:trPr>
          <w:trHeight w:val="70"/>
        </w:trPr>
        <w:tc>
          <w:tcPr>
            <w:tcW w:w="9016" w:type="dxa"/>
            <w:gridSpan w:val="4"/>
          </w:tcPr>
          <w:p w:rsidR="00E5354F" w:rsidRPr="00E413AB" w:rsidRDefault="00E5354F" w:rsidP="008A5691">
            <w:pPr>
              <w:rPr>
                <w:rFonts w:ascii="Arial" w:hAnsi="Arial" w:cs="Arial"/>
              </w:rPr>
            </w:pPr>
            <w:r w:rsidRPr="00E413AB">
              <w:rPr>
                <w:rFonts w:ascii="Arial" w:hAnsi="Arial" w:cs="Arial"/>
              </w:rPr>
              <w:t>HEALTH &amp; SAFETY:</w:t>
            </w:r>
          </w:p>
          <w:p w:rsidR="00E5354F" w:rsidRPr="00E413AB" w:rsidRDefault="00E5354F" w:rsidP="008A5691">
            <w:pPr>
              <w:rPr>
                <w:rFonts w:ascii="Arial" w:hAnsi="Arial" w:cs="Arial"/>
              </w:rPr>
            </w:pPr>
            <w:r>
              <w:rPr>
                <w:rFonts w:ascii="Arial" w:hAnsi="Arial" w:cs="Arial"/>
              </w:rPr>
              <w:t>Organisations H&amp;S protocols will be strictly adhered to.</w:t>
            </w:r>
          </w:p>
          <w:p w:rsidR="00E5354F" w:rsidRPr="00E413AB" w:rsidRDefault="00E5354F" w:rsidP="008A5691">
            <w:pPr>
              <w:rPr>
                <w:rFonts w:ascii="Arial" w:hAnsi="Arial" w:cs="Arial"/>
              </w:rPr>
            </w:pPr>
          </w:p>
          <w:p w:rsidR="00E5354F" w:rsidRPr="00E413AB" w:rsidRDefault="00E5354F" w:rsidP="008A5691">
            <w:pPr>
              <w:rPr>
                <w:rFonts w:ascii="Arial" w:hAnsi="Arial" w:cs="Arial"/>
              </w:rPr>
            </w:pPr>
          </w:p>
          <w:p w:rsidR="00E5354F" w:rsidRPr="00E413AB" w:rsidRDefault="00E5354F" w:rsidP="008A5691">
            <w:pPr>
              <w:rPr>
                <w:rFonts w:ascii="Arial" w:hAnsi="Arial" w:cs="Arial"/>
              </w:rPr>
            </w:pPr>
          </w:p>
          <w:p w:rsidR="00E5354F" w:rsidRPr="00E413AB" w:rsidRDefault="00E5354F" w:rsidP="008A5691">
            <w:pPr>
              <w:rPr>
                <w:rFonts w:ascii="Arial" w:hAnsi="Arial" w:cs="Arial"/>
              </w:rPr>
            </w:pPr>
          </w:p>
          <w:p w:rsidR="00E5354F" w:rsidRPr="00E413AB" w:rsidRDefault="00E5354F" w:rsidP="008A5691">
            <w:pPr>
              <w:rPr>
                <w:rFonts w:ascii="Arial" w:hAnsi="Arial" w:cs="Arial"/>
              </w:rPr>
            </w:pPr>
          </w:p>
        </w:tc>
      </w:tr>
      <w:tr w:rsidR="00E5354F" w:rsidRPr="00E413AB" w:rsidTr="008A5691">
        <w:trPr>
          <w:trHeight w:val="5840"/>
        </w:trPr>
        <w:tc>
          <w:tcPr>
            <w:tcW w:w="9016" w:type="dxa"/>
            <w:gridSpan w:val="4"/>
          </w:tcPr>
          <w:p w:rsidR="00E5354F" w:rsidRPr="00E413AB" w:rsidRDefault="00E5354F" w:rsidP="008A5691">
            <w:pPr>
              <w:rPr>
                <w:rFonts w:ascii="Arial" w:hAnsi="Arial" w:cs="Arial"/>
              </w:rPr>
            </w:pPr>
            <w:r w:rsidRPr="00E413AB">
              <w:rPr>
                <w:rFonts w:ascii="Arial" w:hAnsi="Arial" w:cs="Arial"/>
              </w:rPr>
              <w:t>HEA PROFESSIONAL STANDARDS:</w:t>
            </w:r>
          </w:p>
          <w:p w:rsidR="00E5354F" w:rsidRPr="00E413AB" w:rsidRDefault="00E5354F" w:rsidP="008A5691">
            <w:pPr>
              <w:rPr>
                <w:rFonts w:ascii="Arial" w:hAnsi="Arial" w:cs="Arial"/>
              </w:rPr>
            </w:pPr>
            <w:r w:rsidRPr="00E413AB">
              <w:rPr>
                <w:rFonts w:ascii="Arial" w:hAnsi="Arial" w:cs="Arial"/>
              </w:rPr>
              <w:t xml:space="preserve">Please not </w:t>
            </w:r>
            <w:r w:rsidRPr="002C5C9A">
              <w:rPr>
                <w:rFonts w:ascii="Arial" w:hAnsi="Arial" w:cs="Arial"/>
                <w:color w:val="FF0000"/>
              </w:rPr>
              <w:t xml:space="preserve">WHEN </w:t>
            </w:r>
            <w:r w:rsidRPr="00E413AB">
              <w:rPr>
                <w:rFonts w:ascii="Arial" w:hAnsi="Arial" w:cs="Arial"/>
              </w:rPr>
              <w:t xml:space="preserve">and </w:t>
            </w:r>
            <w:r w:rsidRPr="002C5C9A">
              <w:rPr>
                <w:rFonts w:ascii="Arial" w:hAnsi="Arial" w:cs="Arial"/>
                <w:color w:val="FF0000"/>
              </w:rPr>
              <w:t xml:space="preserve">HOW </w:t>
            </w:r>
            <w:r w:rsidRPr="00E413AB">
              <w:rPr>
                <w:rFonts w:ascii="Arial" w:hAnsi="Arial" w:cs="Arial"/>
              </w:rPr>
              <w:t>any relevant professional standards occur or are met:</w:t>
            </w:r>
          </w:p>
          <w:p w:rsidR="00E5354F" w:rsidRPr="00E413AB" w:rsidRDefault="00E5354F" w:rsidP="008A5691">
            <w:pPr>
              <w:rPr>
                <w:rFonts w:ascii="Arial" w:hAnsi="Arial" w:cs="Arial"/>
              </w:rPr>
            </w:pPr>
            <w:r w:rsidRPr="00E413AB">
              <w:rPr>
                <w:rFonts w:ascii="Arial" w:hAnsi="Arial" w:cs="Arial"/>
              </w:rPr>
              <w:t>(Include detail of standard and not just the reference number)</w:t>
            </w:r>
          </w:p>
          <w:p w:rsidR="00E5354F" w:rsidRPr="00E413AB" w:rsidRDefault="00E5354F" w:rsidP="008A5691">
            <w:pPr>
              <w:rPr>
                <w:rFonts w:ascii="Arial" w:hAnsi="Arial" w:cs="Arial"/>
              </w:rPr>
            </w:pPr>
          </w:p>
          <w:p w:rsidR="00E5354F" w:rsidRDefault="00E5354F" w:rsidP="008A5691">
            <w:pPr>
              <w:rPr>
                <w:rFonts w:ascii="Arial" w:hAnsi="Arial" w:cs="Arial"/>
              </w:rPr>
            </w:pPr>
            <w:r>
              <w:rPr>
                <w:rFonts w:ascii="Arial" w:hAnsi="Arial" w:cs="Arial"/>
              </w:rPr>
              <w:t xml:space="preserve">Design, plan and implement learning activities (A1) to teach and support students in the understanding (A2) of the subject matter with the aid of leading industry proponents (A5). </w:t>
            </w:r>
          </w:p>
          <w:p w:rsidR="00E5354F" w:rsidRDefault="00E5354F" w:rsidP="008A5691">
            <w:pPr>
              <w:rPr>
                <w:rFonts w:ascii="Arial" w:hAnsi="Arial" w:cs="Arial"/>
              </w:rPr>
            </w:pPr>
          </w:p>
          <w:p w:rsidR="00E5354F" w:rsidRDefault="00E5354F" w:rsidP="008A5691">
            <w:pPr>
              <w:rPr>
                <w:rFonts w:ascii="Arial" w:hAnsi="Arial" w:cs="Arial"/>
              </w:rPr>
            </w:pPr>
            <w:r>
              <w:rPr>
                <w:rFonts w:ascii="Arial" w:hAnsi="Arial" w:cs="Arial"/>
              </w:rPr>
              <w:t>Continuous feedback (A3) and re-iterance will develop an effective learning environment (A4) in which the students can continually benefit.</w:t>
            </w:r>
          </w:p>
          <w:p w:rsidR="00E5354F" w:rsidRDefault="00E5354F" w:rsidP="008A5691">
            <w:pPr>
              <w:rPr>
                <w:rFonts w:ascii="Arial" w:hAnsi="Arial" w:cs="Arial"/>
              </w:rPr>
            </w:pPr>
          </w:p>
          <w:p w:rsidR="00E5354F" w:rsidRDefault="00E5354F" w:rsidP="008A5691">
            <w:pPr>
              <w:ind w:left="720"/>
              <w:rPr>
                <w:rFonts w:ascii="Arial" w:hAnsi="Arial" w:cs="Arial"/>
              </w:rPr>
            </w:pPr>
            <w:r w:rsidRPr="00E26AD3">
              <w:rPr>
                <w:rFonts w:ascii="Arial" w:hAnsi="Arial" w:cs="Arial"/>
                <w:b/>
              </w:rPr>
              <w:t>L/O1:</w:t>
            </w:r>
            <w:r>
              <w:rPr>
                <w:rFonts w:ascii="Arial" w:hAnsi="Arial" w:cs="Arial"/>
              </w:rPr>
              <w:t xml:space="preserve"> The Defining of Mindfulness will give a base grounding of the subject (K1), delivered using “Microsoft Excel” (K4).</w:t>
            </w:r>
          </w:p>
          <w:p w:rsidR="00E5354F" w:rsidRDefault="00E5354F" w:rsidP="008A5691">
            <w:pPr>
              <w:ind w:left="720"/>
              <w:rPr>
                <w:rFonts w:ascii="Arial" w:hAnsi="Arial" w:cs="Arial"/>
              </w:rPr>
            </w:pPr>
          </w:p>
          <w:p w:rsidR="00E5354F" w:rsidRDefault="00E5354F" w:rsidP="008A5691">
            <w:pPr>
              <w:ind w:left="720"/>
              <w:rPr>
                <w:rFonts w:ascii="Arial" w:hAnsi="Arial" w:cs="Arial"/>
              </w:rPr>
            </w:pPr>
            <w:r w:rsidRPr="00E26AD3">
              <w:rPr>
                <w:rFonts w:ascii="Arial" w:hAnsi="Arial" w:cs="Arial"/>
                <w:b/>
              </w:rPr>
              <w:t>L/O2:</w:t>
            </w:r>
            <w:r>
              <w:rPr>
                <w:rFonts w:ascii="Arial" w:hAnsi="Arial" w:cs="Arial"/>
              </w:rPr>
              <w:t xml:space="preserve"> Will engage the students to think about, and discuss how the subject matter can influence their lives (K1, K2, K3, V2)</w:t>
            </w:r>
          </w:p>
          <w:p w:rsidR="00E5354F" w:rsidRDefault="00E5354F" w:rsidP="008A5691">
            <w:pPr>
              <w:ind w:left="720"/>
              <w:rPr>
                <w:rFonts w:ascii="Arial" w:hAnsi="Arial" w:cs="Arial"/>
              </w:rPr>
            </w:pPr>
          </w:p>
          <w:p w:rsidR="00E5354F" w:rsidRDefault="00E5354F" w:rsidP="008A5691">
            <w:pPr>
              <w:ind w:left="720"/>
              <w:rPr>
                <w:rFonts w:ascii="Arial" w:hAnsi="Arial" w:cs="Arial"/>
              </w:rPr>
            </w:pPr>
            <w:r w:rsidRPr="00E26AD3">
              <w:rPr>
                <w:rFonts w:ascii="Arial" w:hAnsi="Arial" w:cs="Arial"/>
                <w:b/>
              </w:rPr>
              <w:t>L/O3:</w:t>
            </w:r>
            <w:r>
              <w:rPr>
                <w:rFonts w:ascii="Arial" w:hAnsi="Arial" w:cs="Arial"/>
              </w:rPr>
              <w:t xml:space="preserve"> Engage with the students to explore the wider implications of the subject matter within the contemporary social and economic environment (K1, K2, V1, V2)</w:t>
            </w:r>
          </w:p>
          <w:p w:rsidR="00E5354F" w:rsidRDefault="00E5354F" w:rsidP="008A5691">
            <w:pPr>
              <w:ind w:left="720"/>
              <w:rPr>
                <w:rFonts w:ascii="Arial" w:hAnsi="Arial" w:cs="Arial"/>
              </w:rPr>
            </w:pPr>
          </w:p>
          <w:p w:rsidR="00E5354F" w:rsidRDefault="00E5354F" w:rsidP="008A5691">
            <w:pPr>
              <w:ind w:left="720"/>
              <w:rPr>
                <w:rFonts w:ascii="Arial" w:hAnsi="Arial" w:cs="Arial"/>
              </w:rPr>
            </w:pPr>
            <w:r w:rsidRPr="00C215CE">
              <w:rPr>
                <w:rFonts w:ascii="Arial" w:hAnsi="Arial" w:cs="Arial"/>
                <w:b/>
              </w:rPr>
              <w:t>L/O4:</w:t>
            </w:r>
            <w:r>
              <w:rPr>
                <w:rFonts w:ascii="Arial" w:hAnsi="Arial" w:cs="Arial"/>
              </w:rPr>
              <w:t xml:space="preserve"> Practical activities will provide the base knowledge for individuals to administer the content within their own environments.</w:t>
            </w:r>
          </w:p>
          <w:p w:rsidR="00E5354F" w:rsidRDefault="00E5354F" w:rsidP="008A5691">
            <w:pPr>
              <w:ind w:left="720"/>
              <w:rPr>
                <w:rFonts w:ascii="Arial" w:hAnsi="Arial" w:cs="Arial"/>
              </w:rPr>
            </w:pPr>
          </w:p>
          <w:p w:rsidR="00E5354F" w:rsidRPr="00E413AB" w:rsidRDefault="00E5354F" w:rsidP="008A5691">
            <w:pPr>
              <w:rPr>
                <w:rFonts w:ascii="Arial" w:hAnsi="Arial" w:cs="Arial"/>
              </w:rPr>
            </w:pPr>
            <w:r>
              <w:rPr>
                <w:rFonts w:ascii="Arial" w:hAnsi="Arial" w:cs="Arial"/>
              </w:rPr>
              <w:t>The lesson will be continuously assessed through formative assessments (K5) that will grade initial investment and the health of engagement levels throughout.</w:t>
            </w:r>
          </w:p>
          <w:p w:rsidR="00E5354F" w:rsidRPr="00E413AB" w:rsidRDefault="00E5354F" w:rsidP="008A5691">
            <w:pPr>
              <w:rPr>
                <w:rFonts w:ascii="Arial" w:hAnsi="Arial" w:cs="Arial"/>
              </w:rPr>
            </w:pPr>
          </w:p>
          <w:p w:rsidR="00E5354F" w:rsidRPr="00E413AB" w:rsidRDefault="00E5354F" w:rsidP="008A5691">
            <w:pPr>
              <w:rPr>
                <w:rFonts w:ascii="Arial" w:hAnsi="Arial" w:cs="Arial"/>
              </w:rPr>
            </w:pPr>
          </w:p>
          <w:p w:rsidR="00E5354F" w:rsidRPr="00E413AB" w:rsidRDefault="00E5354F" w:rsidP="008A5691">
            <w:pPr>
              <w:rPr>
                <w:rFonts w:ascii="Arial" w:hAnsi="Arial" w:cs="Arial"/>
              </w:rPr>
            </w:pPr>
          </w:p>
          <w:p w:rsidR="00E5354F" w:rsidRPr="00E413AB" w:rsidRDefault="00E5354F" w:rsidP="008A5691">
            <w:pPr>
              <w:rPr>
                <w:rFonts w:ascii="Arial" w:hAnsi="Arial" w:cs="Arial"/>
              </w:rPr>
            </w:pPr>
          </w:p>
          <w:p w:rsidR="00E5354F" w:rsidRPr="00E413AB" w:rsidRDefault="00E5354F" w:rsidP="008A5691">
            <w:pPr>
              <w:rPr>
                <w:rFonts w:ascii="Arial" w:hAnsi="Arial" w:cs="Arial"/>
              </w:rPr>
            </w:pPr>
          </w:p>
          <w:p w:rsidR="00E5354F" w:rsidRPr="00E413AB" w:rsidRDefault="00E5354F" w:rsidP="008A5691">
            <w:pPr>
              <w:rPr>
                <w:rFonts w:ascii="Arial" w:hAnsi="Arial" w:cs="Arial"/>
              </w:rPr>
            </w:pPr>
          </w:p>
          <w:p w:rsidR="00E5354F" w:rsidRPr="00E413AB" w:rsidRDefault="00E5354F" w:rsidP="008A5691">
            <w:pPr>
              <w:rPr>
                <w:rFonts w:ascii="Arial" w:hAnsi="Arial" w:cs="Arial"/>
              </w:rPr>
            </w:pPr>
          </w:p>
          <w:p w:rsidR="00E5354F" w:rsidRPr="00E413AB" w:rsidRDefault="00E5354F" w:rsidP="008A5691">
            <w:pPr>
              <w:rPr>
                <w:rFonts w:ascii="Arial" w:hAnsi="Arial" w:cs="Arial"/>
              </w:rPr>
            </w:pPr>
          </w:p>
          <w:p w:rsidR="00E5354F" w:rsidRPr="00E413AB" w:rsidRDefault="00E5354F" w:rsidP="008A5691">
            <w:pPr>
              <w:rPr>
                <w:rFonts w:ascii="Arial" w:hAnsi="Arial" w:cs="Arial"/>
              </w:rPr>
            </w:pPr>
          </w:p>
          <w:p w:rsidR="00E5354F" w:rsidRPr="00E413AB" w:rsidRDefault="00E5354F" w:rsidP="008A5691">
            <w:pPr>
              <w:rPr>
                <w:rFonts w:ascii="Arial" w:hAnsi="Arial" w:cs="Arial"/>
              </w:rPr>
            </w:pPr>
          </w:p>
          <w:p w:rsidR="00E5354F" w:rsidRPr="00E413AB" w:rsidRDefault="00E5354F" w:rsidP="008A5691">
            <w:pPr>
              <w:rPr>
                <w:rFonts w:ascii="Arial" w:hAnsi="Arial" w:cs="Arial"/>
              </w:rPr>
            </w:pPr>
          </w:p>
          <w:p w:rsidR="00E5354F" w:rsidRPr="00E413AB" w:rsidRDefault="00E5354F" w:rsidP="008A5691">
            <w:pPr>
              <w:rPr>
                <w:rFonts w:ascii="Arial" w:hAnsi="Arial" w:cs="Arial"/>
              </w:rPr>
            </w:pPr>
          </w:p>
          <w:p w:rsidR="00E5354F" w:rsidRPr="00E413AB" w:rsidRDefault="00E5354F" w:rsidP="008A5691">
            <w:pPr>
              <w:rPr>
                <w:rFonts w:ascii="Arial" w:hAnsi="Arial" w:cs="Arial"/>
              </w:rPr>
            </w:pPr>
          </w:p>
          <w:p w:rsidR="00E5354F" w:rsidRPr="00E413AB" w:rsidRDefault="00E5354F" w:rsidP="008A5691">
            <w:pPr>
              <w:rPr>
                <w:rFonts w:ascii="Arial" w:hAnsi="Arial" w:cs="Arial"/>
              </w:rPr>
            </w:pPr>
          </w:p>
          <w:p w:rsidR="00E5354F" w:rsidRPr="00E413AB" w:rsidRDefault="00E5354F" w:rsidP="008A5691">
            <w:pPr>
              <w:rPr>
                <w:rFonts w:ascii="Arial" w:hAnsi="Arial" w:cs="Arial"/>
              </w:rPr>
            </w:pPr>
          </w:p>
          <w:p w:rsidR="00E5354F" w:rsidRPr="00E413AB" w:rsidRDefault="00E5354F" w:rsidP="008A5691">
            <w:pPr>
              <w:rPr>
                <w:rFonts w:ascii="Arial" w:hAnsi="Arial" w:cs="Arial"/>
              </w:rPr>
            </w:pPr>
          </w:p>
          <w:p w:rsidR="00E5354F" w:rsidRPr="00E413AB" w:rsidRDefault="00E5354F" w:rsidP="008A5691">
            <w:pPr>
              <w:rPr>
                <w:rFonts w:ascii="Arial" w:hAnsi="Arial" w:cs="Arial"/>
              </w:rPr>
            </w:pPr>
          </w:p>
          <w:p w:rsidR="00E5354F" w:rsidRPr="00E413AB" w:rsidRDefault="00E5354F" w:rsidP="008A5691">
            <w:pPr>
              <w:rPr>
                <w:rFonts w:ascii="Arial" w:hAnsi="Arial" w:cs="Arial"/>
              </w:rPr>
            </w:pPr>
          </w:p>
          <w:p w:rsidR="00E5354F" w:rsidRPr="00E413AB" w:rsidRDefault="00E5354F" w:rsidP="008A5691">
            <w:pPr>
              <w:rPr>
                <w:rFonts w:ascii="Arial" w:hAnsi="Arial" w:cs="Arial"/>
              </w:rPr>
            </w:pPr>
          </w:p>
          <w:p w:rsidR="00E5354F" w:rsidRPr="00E413AB" w:rsidRDefault="00E5354F" w:rsidP="008A5691">
            <w:pPr>
              <w:rPr>
                <w:rFonts w:ascii="Arial" w:hAnsi="Arial" w:cs="Arial"/>
              </w:rPr>
            </w:pPr>
          </w:p>
          <w:p w:rsidR="00E5354F" w:rsidRPr="00E413AB" w:rsidRDefault="00E5354F" w:rsidP="008A5691">
            <w:pPr>
              <w:rPr>
                <w:rFonts w:ascii="Arial" w:hAnsi="Arial" w:cs="Arial"/>
              </w:rPr>
            </w:pPr>
          </w:p>
        </w:tc>
      </w:tr>
      <w:tr w:rsidR="00E5354F" w:rsidRPr="00E413AB" w:rsidTr="008A5691">
        <w:trPr>
          <w:trHeight w:val="13670"/>
        </w:trPr>
        <w:tc>
          <w:tcPr>
            <w:tcW w:w="9016" w:type="dxa"/>
            <w:gridSpan w:val="4"/>
          </w:tcPr>
          <w:p w:rsidR="00E5354F" w:rsidRPr="00E413AB" w:rsidRDefault="00E5354F" w:rsidP="008A5691">
            <w:pPr>
              <w:jc w:val="center"/>
              <w:rPr>
                <w:rFonts w:ascii="Arial" w:hAnsi="Arial" w:cs="Arial"/>
                <w:u w:val="single"/>
              </w:rPr>
            </w:pPr>
            <w:r w:rsidRPr="00E413AB">
              <w:rPr>
                <w:rFonts w:ascii="Arial" w:hAnsi="Arial" w:cs="Arial"/>
                <w:u w:val="single"/>
              </w:rPr>
              <w:t>ESSENTIAL SKILLS:</w:t>
            </w:r>
          </w:p>
          <w:p w:rsidR="00E5354F" w:rsidRPr="00C215CE" w:rsidRDefault="00E5354F" w:rsidP="008A5691">
            <w:pPr>
              <w:rPr>
                <w:rFonts w:ascii="Arial" w:hAnsi="Arial" w:cs="Arial"/>
                <w:u w:val="single"/>
              </w:rPr>
            </w:pPr>
            <w:r w:rsidRPr="00C215CE">
              <w:rPr>
                <w:rFonts w:ascii="Arial" w:hAnsi="Arial" w:cs="Arial"/>
                <w:u w:val="single"/>
              </w:rPr>
              <w:t xml:space="preserve">Please note </w:t>
            </w:r>
            <w:r w:rsidRPr="00C215CE">
              <w:rPr>
                <w:rFonts w:ascii="Arial" w:hAnsi="Arial" w:cs="Arial"/>
                <w:color w:val="FF0000"/>
                <w:u w:val="single"/>
              </w:rPr>
              <w:t>WHEN</w:t>
            </w:r>
            <w:r w:rsidRPr="00C215CE">
              <w:rPr>
                <w:rFonts w:ascii="Arial" w:hAnsi="Arial" w:cs="Arial"/>
                <w:u w:val="single"/>
              </w:rPr>
              <w:t xml:space="preserve"> and </w:t>
            </w:r>
            <w:r w:rsidRPr="00C215CE">
              <w:rPr>
                <w:rFonts w:ascii="Arial" w:hAnsi="Arial" w:cs="Arial"/>
                <w:color w:val="FF0000"/>
                <w:u w:val="single"/>
              </w:rPr>
              <w:t>HOW</w:t>
            </w:r>
            <w:r w:rsidRPr="00C215CE">
              <w:rPr>
                <w:rFonts w:ascii="Arial" w:hAnsi="Arial" w:cs="Arial"/>
                <w:u w:val="single"/>
              </w:rPr>
              <w:t xml:space="preserve"> Essential Skills occur and are met:</w:t>
            </w:r>
          </w:p>
          <w:p w:rsidR="00E5354F" w:rsidRPr="00E413AB" w:rsidRDefault="00E5354F" w:rsidP="008A5691">
            <w:pPr>
              <w:rPr>
                <w:rFonts w:ascii="Arial" w:hAnsi="Arial" w:cs="Arial"/>
                <w:u w:val="single"/>
              </w:rPr>
            </w:pPr>
          </w:p>
          <w:p w:rsidR="00E5354F" w:rsidRPr="006356EB" w:rsidRDefault="00E5354F" w:rsidP="00E5354F">
            <w:pPr>
              <w:pStyle w:val="ListParagraph"/>
              <w:numPr>
                <w:ilvl w:val="0"/>
                <w:numId w:val="1"/>
              </w:numPr>
              <w:rPr>
                <w:rFonts w:ascii="Arial" w:hAnsi="Arial" w:cs="Arial"/>
                <w:u w:val="single"/>
              </w:rPr>
            </w:pPr>
            <w:r w:rsidRPr="006356EB">
              <w:rPr>
                <w:rFonts w:ascii="Arial" w:hAnsi="Arial" w:cs="Arial"/>
                <w:u w:val="single"/>
              </w:rPr>
              <w:t xml:space="preserve">Communication </w:t>
            </w:r>
          </w:p>
          <w:p w:rsidR="00E5354F" w:rsidRPr="00E413AB" w:rsidRDefault="00E5354F" w:rsidP="008A5691">
            <w:pPr>
              <w:rPr>
                <w:rFonts w:ascii="Arial" w:hAnsi="Arial" w:cs="Arial"/>
              </w:rPr>
            </w:pPr>
            <w:r>
              <w:rPr>
                <w:rFonts w:ascii="Arial" w:hAnsi="Arial" w:cs="Arial"/>
              </w:rPr>
              <w:t xml:space="preserve">Methods of communication will be administered throughout </w:t>
            </w:r>
            <w:r w:rsidRPr="00F56BEB">
              <w:rPr>
                <w:rFonts w:ascii="Arial" w:hAnsi="Arial" w:cs="Arial"/>
                <w:b/>
              </w:rPr>
              <w:t>L/O1 – L/O4</w:t>
            </w:r>
            <w:r>
              <w:rPr>
                <w:rFonts w:ascii="Arial" w:hAnsi="Arial" w:cs="Arial"/>
              </w:rPr>
              <w:t xml:space="preserve">. These methods will consist of both verbal and visual stimulus, culminating in </w:t>
            </w:r>
            <w:r w:rsidRPr="00F56BEB">
              <w:rPr>
                <w:rFonts w:ascii="Arial" w:hAnsi="Arial" w:cs="Arial"/>
                <w:b/>
              </w:rPr>
              <w:t>L/O4</w:t>
            </w:r>
            <w:r>
              <w:rPr>
                <w:rFonts w:ascii="Arial" w:hAnsi="Arial" w:cs="Arial"/>
              </w:rPr>
              <w:t xml:space="preserve"> where self-led, internal communications will come to the fore.</w:t>
            </w:r>
          </w:p>
          <w:p w:rsidR="00E5354F" w:rsidRPr="00E413AB" w:rsidRDefault="00E5354F" w:rsidP="008A5691">
            <w:pPr>
              <w:rPr>
                <w:rFonts w:ascii="Arial" w:hAnsi="Arial" w:cs="Arial"/>
              </w:rPr>
            </w:pPr>
          </w:p>
          <w:p w:rsidR="00E5354F" w:rsidRPr="00E413AB" w:rsidRDefault="00E5354F" w:rsidP="008A5691">
            <w:pPr>
              <w:rPr>
                <w:rFonts w:ascii="Arial" w:hAnsi="Arial" w:cs="Arial"/>
              </w:rPr>
            </w:pPr>
          </w:p>
          <w:p w:rsidR="00E5354F" w:rsidRPr="00E413AB" w:rsidRDefault="00E5354F" w:rsidP="008A5691">
            <w:pPr>
              <w:rPr>
                <w:rFonts w:ascii="Arial" w:hAnsi="Arial" w:cs="Arial"/>
              </w:rPr>
            </w:pPr>
          </w:p>
          <w:p w:rsidR="00E5354F" w:rsidRPr="006356EB" w:rsidRDefault="00E5354F" w:rsidP="00E5354F">
            <w:pPr>
              <w:pStyle w:val="ListParagraph"/>
              <w:numPr>
                <w:ilvl w:val="0"/>
                <w:numId w:val="1"/>
              </w:numPr>
              <w:rPr>
                <w:rFonts w:ascii="Arial" w:hAnsi="Arial" w:cs="Arial"/>
                <w:u w:val="single"/>
              </w:rPr>
            </w:pPr>
            <w:r w:rsidRPr="006356EB">
              <w:rPr>
                <w:rFonts w:ascii="Arial" w:hAnsi="Arial" w:cs="Arial"/>
                <w:u w:val="single"/>
              </w:rPr>
              <w:t>Application of Number</w:t>
            </w:r>
          </w:p>
          <w:p w:rsidR="00E5354F" w:rsidRPr="00E413AB" w:rsidRDefault="00E5354F" w:rsidP="008A5691">
            <w:pPr>
              <w:rPr>
                <w:rFonts w:ascii="Arial" w:hAnsi="Arial" w:cs="Arial"/>
              </w:rPr>
            </w:pPr>
            <w:r>
              <w:rPr>
                <w:rFonts w:ascii="Arial" w:hAnsi="Arial" w:cs="Arial"/>
              </w:rPr>
              <w:t>N/A</w:t>
            </w:r>
          </w:p>
          <w:p w:rsidR="00E5354F" w:rsidRPr="00E413AB" w:rsidRDefault="00E5354F" w:rsidP="008A5691">
            <w:pPr>
              <w:rPr>
                <w:rFonts w:ascii="Arial" w:hAnsi="Arial" w:cs="Arial"/>
              </w:rPr>
            </w:pPr>
          </w:p>
          <w:p w:rsidR="00E5354F" w:rsidRPr="00E413AB" w:rsidRDefault="00E5354F" w:rsidP="008A5691">
            <w:pPr>
              <w:rPr>
                <w:rFonts w:ascii="Arial" w:hAnsi="Arial" w:cs="Arial"/>
              </w:rPr>
            </w:pPr>
          </w:p>
          <w:p w:rsidR="00E5354F" w:rsidRPr="00E413AB" w:rsidRDefault="00E5354F" w:rsidP="008A5691">
            <w:pPr>
              <w:rPr>
                <w:rFonts w:ascii="Arial" w:hAnsi="Arial" w:cs="Arial"/>
              </w:rPr>
            </w:pPr>
          </w:p>
          <w:p w:rsidR="00E5354F" w:rsidRPr="00E413AB" w:rsidRDefault="00E5354F" w:rsidP="008A5691">
            <w:pPr>
              <w:rPr>
                <w:rFonts w:ascii="Arial" w:hAnsi="Arial" w:cs="Arial"/>
              </w:rPr>
            </w:pPr>
          </w:p>
          <w:p w:rsidR="00E5354F" w:rsidRPr="00E413AB" w:rsidRDefault="00E5354F" w:rsidP="008A5691">
            <w:pPr>
              <w:rPr>
                <w:rFonts w:ascii="Arial" w:hAnsi="Arial" w:cs="Arial"/>
              </w:rPr>
            </w:pPr>
          </w:p>
          <w:p w:rsidR="00E5354F" w:rsidRPr="006356EB" w:rsidRDefault="00E5354F" w:rsidP="00E5354F">
            <w:pPr>
              <w:pStyle w:val="ListParagraph"/>
              <w:numPr>
                <w:ilvl w:val="0"/>
                <w:numId w:val="1"/>
              </w:numPr>
              <w:rPr>
                <w:rFonts w:ascii="Arial" w:hAnsi="Arial" w:cs="Arial"/>
                <w:u w:val="single"/>
              </w:rPr>
            </w:pPr>
            <w:r w:rsidRPr="006356EB">
              <w:rPr>
                <w:rFonts w:ascii="Arial" w:hAnsi="Arial" w:cs="Arial"/>
                <w:u w:val="single"/>
              </w:rPr>
              <w:t>Digital Literacy</w:t>
            </w:r>
          </w:p>
          <w:p w:rsidR="00E5354F" w:rsidRPr="00E413AB" w:rsidRDefault="00E5354F" w:rsidP="008A5691">
            <w:pPr>
              <w:rPr>
                <w:rFonts w:ascii="Arial" w:hAnsi="Arial" w:cs="Arial"/>
              </w:rPr>
            </w:pPr>
            <w:r>
              <w:rPr>
                <w:rFonts w:ascii="Arial" w:hAnsi="Arial" w:cs="Arial"/>
              </w:rPr>
              <w:t xml:space="preserve">The use of Microsoft PowerPoint and YouTube video engrains the diverse impacts of technology as a medium for imparting knowledge and awareness </w:t>
            </w:r>
            <w:r w:rsidRPr="00F56BEB">
              <w:rPr>
                <w:rFonts w:ascii="Arial" w:hAnsi="Arial" w:cs="Arial"/>
                <w:b/>
              </w:rPr>
              <w:t>L/O1</w:t>
            </w:r>
            <w:r>
              <w:rPr>
                <w:rFonts w:ascii="Arial" w:hAnsi="Arial" w:cs="Arial"/>
                <w:b/>
              </w:rPr>
              <w:t xml:space="preserve"> - </w:t>
            </w:r>
            <w:r w:rsidRPr="00F56BEB">
              <w:rPr>
                <w:rFonts w:ascii="Arial" w:hAnsi="Arial" w:cs="Arial"/>
                <w:b/>
              </w:rPr>
              <w:t>L/O3</w:t>
            </w:r>
          </w:p>
          <w:p w:rsidR="00E5354F" w:rsidRDefault="00E5354F" w:rsidP="008A5691">
            <w:pPr>
              <w:rPr>
                <w:rFonts w:ascii="Arial" w:hAnsi="Arial" w:cs="Arial"/>
              </w:rPr>
            </w:pPr>
          </w:p>
          <w:p w:rsidR="00E5354F" w:rsidRPr="00E413AB" w:rsidRDefault="00E5354F" w:rsidP="008A5691">
            <w:pPr>
              <w:rPr>
                <w:rFonts w:ascii="Arial" w:hAnsi="Arial" w:cs="Arial"/>
              </w:rPr>
            </w:pPr>
          </w:p>
          <w:p w:rsidR="00E5354F" w:rsidRDefault="00E5354F" w:rsidP="008A5691">
            <w:pPr>
              <w:rPr>
                <w:rFonts w:ascii="Arial" w:hAnsi="Arial" w:cs="Arial"/>
              </w:rPr>
            </w:pPr>
          </w:p>
          <w:p w:rsidR="00E5354F" w:rsidRPr="00E413AB" w:rsidRDefault="00E5354F" w:rsidP="008A5691">
            <w:pPr>
              <w:rPr>
                <w:rFonts w:ascii="Arial" w:hAnsi="Arial" w:cs="Arial"/>
              </w:rPr>
            </w:pPr>
          </w:p>
          <w:p w:rsidR="00E5354F" w:rsidRPr="006356EB" w:rsidRDefault="00E5354F" w:rsidP="00E5354F">
            <w:pPr>
              <w:pStyle w:val="ListParagraph"/>
              <w:numPr>
                <w:ilvl w:val="0"/>
                <w:numId w:val="1"/>
              </w:numPr>
              <w:rPr>
                <w:rFonts w:ascii="Arial" w:hAnsi="Arial" w:cs="Arial"/>
                <w:u w:val="single"/>
              </w:rPr>
            </w:pPr>
            <w:r w:rsidRPr="006356EB">
              <w:rPr>
                <w:rFonts w:ascii="Arial" w:hAnsi="Arial" w:cs="Arial"/>
                <w:u w:val="single"/>
              </w:rPr>
              <w:t>Critical Thinking and Problem Solving</w:t>
            </w:r>
          </w:p>
          <w:p w:rsidR="00E5354F" w:rsidRPr="00E413AB" w:rsidRDefault="00E5354F" w:rsidP="008A5691">
            <w:pPr>
              <w:rPr>
                <w:rFonts w:ascii="Arial" w:hAnsi="Arial" w:cs="Arial"/>
              </w:rPr>
            </w:pPr>
            <w:r>
              <w:rPr>
                <w:rFonts w:ascii="Arial" w:hAnsi="Arial" w:cs="Arial"/>
              </w:rPr>
              <w:t xml:space="preserve">The entire session is based upon being ‘centred’ in the moments, and these moments bring clarity to circumstance, enabling a deeper connection with things and thus finding new directions </w:t>
            </w:r>
            <w:r w:rsidRPr="00F56BEB">
              <w:rPr>
                <w:rFonts w:ascii="Arial" w:hAnsi="Arial" w:cs="Arial"/>
                <w:b/>
              </w:rPr>
              <w:t>L/O2 – L/O4</w:t>
            </w:r>
          </w:p>
          <w:p w:rsidR="00E5354F" w:rsidRPr="00E413AB" w:rsidRDefault="00E5354F" w:rsidP="008A5691">
            <w:pPr>
              <w:rPr>
                <w:rFonts w:ascii="Arial" w:hAnsi="Arial" w:cs="Arial"/>
              </w:rPr>
            </w:pPr>
          </w:p>
          <w:p w:rsidR="00E5354F" w:rsidRDefault="00E5354F" w:rsidP="008A5691">
            <w:pPr>
              <w:rPr>
                <w:rFonts w:ascii="Arial" w:hAnsi="Arial" w:cs="Arial"/>
              </w:rPr>
            </w:pPr>
          </w:p>
          <w:p w:rsidR="00E5354F" w:rsidRPr="00E413AB" w:rsidRDefault="00E5354F" w:rsidP="008A5691">
            <w:pPr>
              <w:rPr>
                <w:rFonts w:ascii="Arial" w:hAnsi="Arial" w:cs="Arial"/>
              </w:rPr>
            </w:pPr>
          </w:p>
          <w:p w:rsidR="00E5354F" w:rsidRPr="006356EB" w:rsidRDefault="00E5354F" w:rsidP="00E5354F">
            <w:pPr>
              <w:pStyle w:val="ListParagraph"/>
              <w:numPr>
                <w:ilvl w:val="0"/>
                <w:numId w:val="1"/>
              </w:numPr>
              <w:rPr>
                <w:rFonts w:ascii="Arial" w:hAnsi="Arial" w:cs="Arial"/>
                <w:u w:val="single"/>
              </w:rPr>
            </w:pPr>
            <w:r w:rsidRPr="006356EB">
              <w:rPr>
                <w:rFonts w:ascii="Arial" w:hAnsi="Arial" w:cs="Arial"/>
                <w:u w:val="single"/>
              </w:rPr>
              <w:t>Planning and Organisation</w:t>
            </w:r>
          </w:p>
          <w:p w:rsidR="00E5354F" w:rsidRPr="00E413AB" w:rsidRDefault="00E5354F" w:rsidP="008A5691">
            <w:pPr>
              <w:rPr>
                <w:rFonts w:ascii="Arial" w:hAnsi="Arial" w:cs="Arial"/>
              </w:rPr>
            </w:pPr>
            <w:r>
              <w:rPr>
                <w:rFonts w:ascii="Arial" w:hAnsi="Arial" w:cs="Arial"/>
              </w:rPr>
              <w:t xml:space="preserve">The session will follow a pre-determined outline. The content will provide students with the tools to establish a deeper appreciation of themselves and how to balance the circumstances in which they find themselves. </w:t>
            </w:r>
            <w:r w:rsidRPr="008B4D21">
              <w:rPr>
                <w:rFonts w:ascii="Arial" w:hAnsi="Arial" w:cs="Arial"/>
                <w:b/>
              </w:rPr>
              <w:t>L/O2 – L/O4</w:t>
            </w:r>
          </w:p>
          <w:p w:rsidR="00E5354F" w:rsidRPr="00E413AB" w:rsidRDefault="00E5354F" w:rsidP="008A5691">
            <w:pPr>
              <w:rPr>
                <w:rFonts w:ascii="Arial" w:hAnsi="Arial" w:cs="Arial"/>
              </w:rPr>
            </w:pPr>
          </w:p>
          <w:p w:rsidR="00E5354F" w:rsidRDefault="00E5354F" w:rsidP="008A5691">
            <w:pPr>
              <w:rPr>
                <w:rFonts w:ascii="Arial" w:hAnsi="Arial" w:cs="Arial"/>
              </w:rPr>
            </w:pPr>
          </w:p>
          <w:p w:rsidR="00E5354F" w:rsidRPr="00E413AB" w:rsidRDefault="00E5354F" w:rsidP="008A5691">
            <w:pPr>
              <w:rPr>
                <w:rFonts w:ascii="Arial" w:hAnsi="Arial" w:cs="Arial"/>
              </w:rPr>
            </w:pPr>
          </w:p>
          <w:p w:rsidR="00E5354F" w:rsidRPr="006356EB" w:rsidRDefault="00E5354F" w:rsidP="00E5354F">
            <w:pPr>
              <w:pStyle w:val="ListParagraph"/>
              <w:numPr>
                <w:ilvl w:val="0"/>
                <w:numId w:val="1"/>
              </w:numPr>
              <w:rPr>
                <w:rFonts w:ascii="Arial" w:hAnsi="Arial" w:cs="Arial"/>
                <w:u w:val="single"/>
              </w:rPr>
            </w:pPr>
            <w:r w:rsidRPr="006356EB">
              <w:rPr>
                <w:rFonts w:ascii="Arial" w:hAnsi="Arial" w:cs="Arial"/>
                <w:u w:val="single"/>
              </w:rPr>
              <w:t>Creativity and Innovation</w:t>
            </w:r>
          </w:p>
          <w:p w:rsidR="00E5354F" w:rsidRPr="00E413AB" w:rsidRDefault="00E5354F" w:rsidP="008A5691">
            <w:pPr>
              <w:rPr>
                <w:rFonts w:ascii="Arial" w:hAnsi="Arial" w:cs="Arial"/>
              </w:rPr>
            </w:pPr>
            <w:r>
              <w:rPr>
                <w:rFonts w:ascii="Arial" w:hAnsi="Arial" w:cs="Arial"/>
              </w:rPr>
              <w:t xml:space="preserve">Studies have shown that increased levels of Mindfulness </w:t>
            </w:r>
            <w:proofErr w:type="gramStart"/>
            <w:r>
              <w:rPr>
                <w:rFonts w:ascii="Arial" w:hAnsi="Arial" w:cs="Arial"/>
              </w:rPr>
              <w:t>increases</w:t>
            </w:r>
            <w:proofErr w:type="gramEnd"/>
            <w:r>
              <w:rPr>
                <w:rFonts w:ascii="Arial" w:hAnsi="Arial" w:cs="Arial"/>
              </w:rPr>
              <w:t xml:space="preserve"> levels of innovation and creativity. By instilling this notion within the students, both elements will be generated and expressed more freely. </w:t>
            </w:r>
            <w:r w:rsidRPr="006356EB">
              <w:rPr>
                <w:rFonts w:ascii="Arial" w:hAnsi="Arial" w:cs="Arial"/>
                <w:b/>
              </w:rPr>
              <w:t>L/O2 – L/O4</w:t>
            </w:r>
          </w:p>
          <w:p w:rsidR="00E5354F" w:rsidRDefault="00E5354F" w:rsidP="008A5691">
            <w:pPr>
              <w:rPr>
                <w:rFonts w:ascii="Arial" w:hAnsi="Arial" w:cs="Arial"/>
              </w:rPr>
            </w:pPr>
          </w:p>
          <w:p w:rsidR="00E5354F" w:rsidRPr="00E413AB" w:rsidRDefault="00E5354F" w:rsidP="008A5691">
            <w:pPr>
              <w:rPr>
                <w:rFonts w:ascii="Arial" w:hAnsi="Arial" w:cs="Arial"/>
              </w:rPr>
            </w:pPr>
          </w:p>
          <w:p w:rsidR="00E5354F" w:rsidRPr="00E413AB" w:rsidRDefault="00E5354F" w:rsidP="008A5691">
            <w:pPr>
              <w:rPr>
                <w:rFonts w:ascii="Arial" w:hAnsi="Arial" w:cs="Arial"/>
              </w:rPr>
            </w:pPr>
          </w:p>
          <w:p w:rsidR="00E5354F" w:rsidRPr="006356EB" w:rsidRDefault="00E5354F" w:rsidP="00E5354F">
            <w:pPr>
              <w:pStyle w:val="ListParagraph"/>
              <w:numPr>
                <w:ilvl w:val="0"/>
                <w:numId w:val="1"/>
              </w:numPr>
              <w:rPr>
                <w:rFonts w:ascii="Arial" w:hAnsi="Arial" w:cs="Arial"/>
                <w:u w:val="single"/>
              </w:rPr>
            </w:pPr>
            <w:r w:rsidRPr="006356EB">
              <w:rPr>
                <w:rFonts w:ascii="Arial" w:hAnsi="Arial" w:cs="Arial"/>
                <w:u w:val="single"/>
              </w:rPr>
              <w:t>Personal Effectiveness</w:t>
            </w:r>
          </w:p>
          <w:p w:rsidR="00E5354F" w:rsidRDefault="00E5354F" w:rsidP="008A5691">
            <w:pPr>
              <w:rPr>
                <w:rFonts w:ascii="Arial" w:hAnsi="Arial" w:cs="Arial"/>
              </w:rPr>
            </w:pPr>
            <w:r w:rsidRPr="008B4D21">
              <w:rPr>
                <w:rFonts w:ascii="Arial" w:hAnsi="Arial" w:cs="Arial"/>
              </w:rPr>
              <w:t>The clarity and connectedness of the moments will allow the students the opportunity to explore themselves more deeply</w:t>
            </w:r>
            <w:r>
              <w:rPr>
                <w:rFonts w:ascii="Arial" w:hAnsi="Arial" w:cs="Arial"/>
              </w:rPr>
              <w:t>, and encourage continuous professional and personal development.</w:t>
            </w:r>
          </w:p>
          <w:p w:rsidR="00E5354F" w:rsidRDefault="00E5354F" w:rsidP="008A5691">
            <w:pPr>
              <w:rPr>
                <w:rFonts w:ascii="Arial" w:hAnsi="Arial" w:cs="Arial"/>
              </w:rPr>
            </w:pPr>
          </w:p>
          <w:p w:rsidR="00E5354F" w:rsidRDefault="00E5354F" w:rsidP="008A5691">
            <w:pPr>
              <w:rPr>
                <w:rFonts w:ascii="Arial" w:hAnsi="Arial" w:cs="Arial"/>
                <w:u w:val="single"/>
              </w:rPr>
            </w:pPr>
          </w:p>
          <w:p w:rsidR="00E5354F" w:rsidRDefault="00E5354F" w:rsidP="008A5691">
            <w:pPr>
              <w:rPr>
                <w:rFonts w:ascii="Arial" w:hAnsi="Arial" w:cs="Arial"/>
                <w:u w:val="single"/>
              </w:rPr>
            </w:pPr>
          </w:p>
          <w:p w:rsidR="00E5354F" w:rsidRDefault="00E5354F" w:rsidP="008A5691">
            <w:pPr>
              <w:rPr>
                <w:rFonts w:ascii="Arial" w:hAnsi="Arial" w:cs="Arial"/>
                <w:u w:val="single"/>
              </w:rPr>
            </w:pPr>
          </w:p>
          <w:p w:rsidR="00E5354F" w:rsidRPr="00E413AB" w:rsidRDefault="00E5354F" w:rsidP="008A5691">
            <w:pPr>
              <w:rPr>
                <w:rFonts w:ascii="Arial" w:hAnsi="Arial" w:cs="Arial"/>
                <w:u w:val="single"/>
              </w:rPr>
            </w:pPr>
          </w:p>
        </w:tc>
      </w:tr>
      <w:tr w:rsidR="00E5354F" w:rsidRPr="00E413AB" w:rsidTr="008A5691">
        <w:tc>
          <w:tcPr>
            <w:tcW w:w="2472" w:type="dxa"/>
          </w:tcPr>
          <w:p w:rsidR="00E5354F" w:rsidRPr="00E413AB" w:rsidRDefault="00E5354F" w:rsidP="008A5691">
            <w:pPr>
              <w:jc w:val="center"/>
              <w:rPr>
                <w:rFonts w:ascii="Arial" w:hAnsi="Arial" w:cs="Arial"/>
              </w:rPr>
            </w:pPr>
            <w:r w:rsidRPr="00E413AB">
              <w:rPr>
                <w:rFonts w:ascii="Arial" w:hAnsi="Arial" w:cs="Arial"/>
              </w:rPr>
              <w:t>STAGE</w:t>
            </w:r>
          </w:p>
        </w:tc>
        <w:tc>
          <w:tcPr>
            <w:tcW w:w="2179" w:type="dxa"/>
          </w:tcPr>
          <w:p w:rsidR="00E5354F" w:rsidRPr="00E413AB" w:rsidRDefault="00E5354F" w:rsidP="008A5691">
            <w:pPr>
              <w:jc w:val="center"/>
              <w:rPr>
                <w:rFonts w:ascii="Arial" w:hAnsi="Arial" w:cs="Arial"/>
              </w:rPr>
            </w:pPr>
            <w:r w:rsidRPr="00E413AB">
              <w:rPr>
                <w:rFonts w:ascii="Arial" w:hAnsi="Arial" w:cs="Arial"/>
              </w:rPr>
              <w:t>FOCUS</w:t>
            </w:r>
          </w:p>
        </w:tc>
        <w:tc>
          <w:tcPr>
            <w:tcW w:w="1914" w:type="dxa"/>
          </w:tcPr>
          <w:p w:rsidR="00E5354F" w:rsidRPr="00E413AB" w:rsidRDefault="00E5354F" w:rsidP="008A5691">
            <w:pPr>
              <w:jc w:val="center"/>
              <w:rPr>
                <w:rFonts w:ascii="Arial" w:hAnsi="Arial" w:cs="Arial"/>
              </w:rPr>
            </w:pPr>
            <w:r w:rsidRPr="00E413AB">
              <w:rPr>
                <w:rFonts w:ascii="Arial" w:hAnsi="Arial" w:cs="Arial"/>
              </w:rPr>
              <w:t>STRATEGY</w:t>
            </w:r>
          </w:p>
        </w:tc>
        <w:tc>
          <w:tcPr>
            <w:tcW w:w="2451" w:type="dxa"/>
          </w:tcPr>
          <w:p w:rsidR="00E5354F" w:rsidRPr="00E413AB" w:rsidRDefault="00E5354F" w:rsidP="008A5691">
            <w:pPr>
              <w:jc w:val="center"/>
              <w:rPr>
                <w:rFonts w:ascii="Arial" w:hAnsi="Arial" w:cs="Arial"/>
              </w:rPr>
            </w:pPr>
            <w:r w:rsidRPr="00E413AB">
              <w:rPr>
                <w:rFonts w:ascii="Arial" w:hAnsi="Arial" w:cs="Arial"/>
              </w:rPr>
              <w:t>TIME</w:t>
            </w:r>
          </w:p>
        </w:tc>
      </w:tr>
      <w:tr w:rsidR="00E5354F" w:rsidRPr="00E413AB" w:rsidTr="008A5691">
        <w:trPr>
          <w:trHeight w:val="8702"/>
        </w:trPr>
        <w:tc>
          <w:tcPr>
            <w:tcW w:w="2472" w:type="dxa"/>
            <w:tcBorders>
              <w:bottom w:val="single" w:sz="4" w:space="0" w:color="808080" w:themeColor="background1" w:themeShade="80"/>
            </w:tcBorders>
          </w:tcPr>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r>
              <w:rPr>
                <w:rFonts w:ascii="Arial" w:hAnsi="Arial" w:cs="Arial"/>
              </w:rPr>
              <w:t>INTRO</w:t>
            </w: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r>
              <w:rPr>
                <w:rFonts w:ascii="Arial" w:hAnsi="Arial" w:cs="Arial"/>
              </w:rPr>
              <w:t>A</w:t>
            </w: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r>
              <w:rPr>
                <w:rFonts w:ascii="Arial" w:hAnsi="Arial" w:cs="Arial"/>
              </w:rPr>
              <w:t>B</w:t>
            </w: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r>
              <w:rPr>
                <w:rFonts w:ascii="Arial" w:hAnsi="Arial" w:cs="Arial"/>
              </w:rPr>
              <w:t>C</w:t>
            </w: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r>
              <w:rPr>
                <w:rFonts w:ascii="Arial" w:hAnsi="Arial" w:cs="Arial"/>
              </w:rPr>
              <w:t>D</w:t>
            </w: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Pr="00E413AB" w:rsidRDefault="00E5354F" w:rsidP="008A5691">
            <w:pPr>
              <w:rPr>
                <w:rFonts w:ascii="Arial" w:hAnsi="Arial" w:cs="Arial"/>
              </w:rPr>
            </w:pPr>
            <w:r>
              <w:rPr>
                <w:rFonts w:ascii="Arial" w:hAnsi="Arial" w:cs="Arial"/>
              </w:rPr>
              <w:t>E</w:t>
            </w:r>
          </w:p>
        </w:tc>
        <w:tc>
          <w:tcPr>
            <w:tcW w:w="2179" w:type="dxa"/>
            <w:tcBorders>
              <w:bottom w:val="single" w:sz="4" w:space="0" w:color="808080" w:themeColor="background1" w:themeShade="80"/>
            </w:tcBorders>
          </w:tcPr>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r>
              <w:rPr>
                <w:rFonts w:ascii="Arial" w:hAnsi="Arial" w:cs="Arial"/>
              </w:rPr>
              <w:t>LEARNING OUTCOMES</w:t>
            </w: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r w:rsidRPr="00BA2E59">
              <w:rPr>
                <w:rFonts w:ascii="Arial" w:hAnsi="Arial" w:cs="Arial"/>
                <w:b/>
              </w:rPr>
              <w:t>L/O1</w:t>
            </w:r>
            <w:r>
              <w:rPr>
                <w:rFonts w:ascii="Arial" w:hAnsi="Arial" w:cs="Arial"/>
              </w:rPr>
              <w:t xml:space="preserve"> Definition</w:t>
            </w: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r w:rsidRPr="00BA2E59">
              <w:rPr>
                <w:rFonts w:ascii="Arial" w:hAnsi="Arial" w:cs="Arial"/>
                <w:b/>
              </w:rPr>
              <w:t>L/O2</w:t>
            </w:r>
            <w:r>
              <w:rPr>
                <w:rFonts w:ascii="Arial" w:hAnsi="Arial" w:cs="Arial"/>
              </w:rPr>
              <w:t xml:space="preserve"> Understand the History</w:t>
            </w: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r w:rsidRPr="00BA2E59">
              <w:rPr>
                <w:rFonts w:ascii="Arial" w:hAnsi="Arial" w:cs="Arial"/>
                <w:b/>
              </w:rPr>
              <w:t>L/O3</w:t>
            </w:r>
            <w:r>
              <w:rPr>
                <w:rFonts w:ascii="Arial" w:hAnsi="Arial" w:cs="Arial"/>
              </w:rPr>
              <w:t xml:space="preserve"> Interpret contemporary uses</w:t>
            </w: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r w:rsidRPr="00F13C22">
              <w:rPr>
                <w:rFonts w:ascii="Arial" w:hAnsi="Arial" w:cs="Arial"/>
                <w:b/>
              </w:rPr>
              <w:t>L/O4</w:t>
            </w:r>
            <w:r>
              <w:rPr>
                <w:rFonts w:ascii="Arial" w:hAnsi="Arial" w:cs="Arial"/>
              </w:rPr>
              <w:t xml:space="preserve"> Practical exercises</w:t>
            </w: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Pr="00E413AB" w:rsidRDefault="00E5354F" w:rsidP="008A5691">
            <w:pPr>
              <w:rPr>
                <w:rFonts w:ascii="Arial" w:hAnsi="Arial" w:cs="Arial"/>
              </w:rPr>
            </w:pPr>
            <w:r>
              <w:rPr>
                <w:rFonts w:ascii="Arial" w:hAnsi="Arial" w:cs="Arial"/>
              </w:rPr>
              <w:t>Summary</w:t>
            </w:r>
          </w:p>
        </w:tc>
        <w:tc>
          <w:tcPr>
            <w:tcW w:w="1914" w:type="dxa"/>
            <w:tcBorders>
              <w:bottom w:val="single" w:sz="4" w:space="0" w:color="808080" w:themeColor="background1" w:themeShade="80"/>
            </w:tcBorders>
          </w:tcPr>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r>
              <w:rPr>
                <w:rFonts w:ascii="Arial" w:hAnsi="Arial" w:cs="Arial"/>
              </w:rPr>
              <w:t>PowerPoint</w:t>
            </w: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r>
              <w:rPr>
                <w:rFonts w:ascii="Arial" w:hAnsi="Arial" w:cs="Arial"/>
              </w:rPr>
              <w:t>Discussion &amp;</w:t>
            </w:r>
          </w:p>
          <w:p w:rsidR="00E5354F" w:rsidRDefault="00E5354F" w:rsidP="008A5691">
            <w:pPr>
              <w:rPr>
                <w:rFonts w:ascii="Arial" w:hAnsi="Arial" w:cs="Arial"/>
              </w:rPr>
            </w:pPr>
            <w:r>
              <w:rPr>
                <w:rFonts w:ascii="Arial" w:hAnsi="Arial" w:cs="Arial"/>
              </w:rPr>
              <w:t>PowerPoint</w:t>
            </w: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r>
              <w:rPr>
                <w:rFonts w:ascii="Arial" w:hAnsi="Arial" w:cs="Arial"/>
              </w:rPr>
              <w:t>PowerPoint</w:t>
            </w: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r>
              <w:rPr>
                <w:rFonts w:ascii="Arial" w:hAnsi="Arial" w:cs="Arial"/>
              </w:rPr>
              <w:t>PowerPoint &amp; Discussion</w:t>
            </w: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r>
              <w:rPr>
                <w:rFonts w:ascii="Arial" w:hAnsi="Arial" w:cs="Arial"/>
              </w:rPr>
              <w:t xml:space="preserve"> (YouTube)</w:t>
            </w:r>
          </w:p>
          <w:p w:rsidR="00E5354F" w:rsidRDefault="00E5354F" w:rsidP="008A5691">
            <w:pPr>
              <w:rPr>
                <w:rFonts w:ascii="Arial" w:hAnsi="Arial" w:cs="Arial"/>
              </w:rPr>
            </w:pPr>
            <w:r>
              <w:rPr>
                <w:rFonts w:ascii="Arial" w:hAnsi="Arial" w:cs="Arial"/>
              </w:rPr>
              <w:t>Handout</w:t>
            </w: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Pr="00E413AB" w:rsidRDefault="00E5354F" w:rsidP="008A5691">
            <w:pPr>
              <w:rPr>
                <w:rFonts w:ascii="Arial" w:hAnsi="Arial" w:cs="Arial"/>
              </w:rPr>
            </w:pPr>
            <w:r>
              <w:rPr>
                <w:rFonts w:ascii="Arial" w:hAnsi="Arial" w:cs="Arial"/>
              </w:rPr>
              <w:t>PowerPoint</w:t>
            </w:r>
          </w:p>
        </w:tc>
        <w:tc>
          <w:tcPr>
            <w:tcW w:w="2451" w:type="dxa"/>
            <w:tcBorders>
              <w:bottom w:val="single" w:sz="4" w:space="0" w:color="808080" w:themeColor="background1" w:themeShade="80"/>
            </w:tcBorders>
          </w:tcPr>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r>
              <w:rPr>
                <w:rFonts w:ascii="Arial" w:hAnsi="Arial" w:cs="Arial"/>
              </w:rPr>
              <w:t>1mins</w:t>
            </w: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r>
              <w:rPr>
                <w:rFonts w:ascii="Arial" w:hAnsi="Arial" w:cs="Arial"/>
              </w:rPr>
              <w:t>5mins</w:t>
            </w:r>
          </w:p>
          <w:p w:rsidR="00E5354F" w:rsidRDefault="00E5354F" w:rsidP="008A5691">
            <w:pPr>
              <w:rPr>
                <w:rFonts w:ascii="Arial" w:hAnsi="Arial" w:cs="Arial"/>
              </w:rPr>
            </w:pPr>
            <w:r>
              <w:rPr>
                <w:rFonts w:ascii="Arial" w:hAnsi="Arial" w:cs="Arial"/>
              </w:rPr>
              <w:t>3mins</w:t>
            </w: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r>
              <w:rPr>
                <w:rFonts w:ascii="Arial" w:hAnsi="Arial" w:cs="Arial"/>
              </w:rPr>
              <w:t>5mins</w:t>
            </w: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r>
              <w:rPr>
                <w:rFonts w:ascii="Arial" w:hAnsi="Arial" w:cs="Arial"/>
              </w:rPr>
              <w:t>10mins</w:t>
            </w: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r>
              <w:rPr>
                <w:rFonts w:ascii="Arial" w:hAnsi="Arial" w:cs="Arial"/>
              </w:rPr>
              <w:t>10mins</w:t>
            </w:r>
          </w:p>
          <w:p w:rsidR="00E5354F" w:rsidRDefault="00E5354F" w:rsidP="008A5691">
            <w:pPr>
              <w:rPr>
                <w:rFonts w:ascii="Arial" w:hAnsi="Arial" w:cs="Arial"/>
              </w:rPr>
            </w:pPr>
            <w:r>
              <w:rPr>
                <w:rFonts w:ascii="Arial" w:hAnsi="Arial" w:cs="Arial"/>
              </w:rPr>
              <w:t>5mins</w:t>
            </w: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Default="00E5354F" w:rsidP="008A5691">
            <w:pPr>
              <w:rPr>
                <w:rFonts w:ascii="Arial" w:hAnsi="Arial" w:cs="Arial"/>
              </w:rPr>
            </w:pPr>
          </w:p>
          <w:p w:rsidR="00E5354F" w:rsidRPr="00E413AB" w:rsidRDefault="00E5354F" w:rsidP="008A5691">
            <w:pPr>
              <w:rPr>
                <w:rFonts w:ascii="Arial" w:hAnsi="Arial" w:cs="Arial"/>
              </w:rPr>
            </w:pPr>
            <w:r>
              <w:rPr>
                <w:rFonts w:ascii="Arial" w:hAnsi="Arial" w:cs="Arial"/>
              </w:rPr>
              <w:t>2mins</w:t>
            </w:r>
          </w:p>
        </w:tc>
      </w:tr>
      <w:tr w:rsidR="00E5354F" w:rsidRPr="00E413AB" w:rsidTr="008A5691">
        <w:trPr>
          <w:trHeight w:val="557"/>
        </w:trPr>
        <w:tc>
          <w:tcPr>
            <w:tcW w:w="9016" w:type="dxa"/>
            <w:gridSpan w:val="4"/>
            <w:tcBorders>
              <w:top w:val="single" w:sz="4" w:space="0" w:color="808080" w:themeColor="background1" w:themeShade="80"/>
              <w:left w:val="nil"/>
              <w:bottom w:val="nil"/>
              <w:right w:val="nil"/>
            </w:tcBorders>
          </w:tcPr>
          <w:p w:rsidR="00E5354F" w:rsidRPr="00E413AB" w:rsidRDefault="00E5354F" w:rsidP="008A5691">
            <w:pPr>
              <w:rPr>
                <w:rFonts w:ascii="Arial" w:hAnsi="Arial" w:cs="Arial"/>
              </w:rPr>
            </w:pPr>
          </w:p>
        </w:tc>
      </w:tr>
      <w:tr w:rsidR="00E5354F" w:rsidRPr="00E413AB" w:rsidTr="008A5691">
        <w:trPr>
          <w:trHeight w:val="2042"/>
        </w:trPr>
        <w:tc>
          <w:tcPr>
            <w:tcW w:w="9016" w:type="dxa"/>
            <w:gridSpan w:val="4"/>
            <w:tcBorders>
              <w:top w:val="nil"/>
              <w:left w:val="nil"/>
              <w:bottom w:val="nil"/>
              <w:right w:val="nil"/>
            </w:tcBorders>
          </w:tcPr>
          <w:p w:rsidR="00E5354F" w:rsidRDefault="00E5354F" w:rsidP="008A5691">
            <w:pPr>
              <w:rPr>
                <w:rFonts w:ascii="Arial" w:hAnsi="Arial" w:cs="Arial"/>
              </w:rPr>
            </w:pPr>
            <w:r w:rsidRPr="00E413AB">
              <w:rPr>
                <w:rFonts w:ascii="Arial" w:hAnsi="Arial" w:cs="Arial"/>
              </w:rPr>
              <w:t>ASSESSMENT STRATEGIES USED (when and how):</w:t>
            </w:r>
          </w:p>
          <w:p w:rsidR="00E5354F" w:rsidRDefault="00E5354F" w:rsidP="008A5691">
            <w:pPr>
              <w:rPr>
                <w:rFonts w:ascii="Arial" w:hAnsi="Arial" w:cs="Arial"/>
              </w:rPr>
            </w:pPr>
            <w:r>
              <w:rPr>
                <w:rFonts w:ascii="Arial" w:hAnsi="Arial" w:cs="Arial"/>
              </w:rPr>
              <w:t xml:space="preserve">Formative assessments will be used throughout the session to determine the level of understanding amongst the students. </w:t>
            </w:r>
          </w:p>
          <w:p w:rsidR="00E5354F" w:rsidRDefault="00E5354F" w:rsidP="008A5691">
            <w:pPr>
              <w:rPr>
                <w:rFonts w:ascii="Arial" w:hAnsi="Arial" w:cs="Arial"/>
              </w:rPr>
            </w:pPr>
          </w:p>
          <w:p w:rsidR="00E5354F" w:rsidRPr="00E413AB" w:rsidRDefault="00E5354F" w:rsidP="008A5691">
            <w:pPr>
              <w:rPr>
                <w:rFonts w:ascii="Arial" w:hAnsi="Arial" w:cs="Arial"/>
              </w:rPr>
            </w:pPr>
            <w:r w:rsidRPr="00BA2E59">
              <w:rPr>
                <w:rFonts w:ascii="Arial" w:hAnsi="Arial" w:cs="Arial"/>
                <w:noProof/>
              </w:rPr>
              <mc:AlternateContent>
                <mc:Choice Requires="wps">
                  <w:drawing>
                    <wp:anchor distT="45720" distB="45720" distL="114300" distR="114300" simplePos="0" relativeHeight="251664384" behindDoc="0" locked="0" layoutInCell="1" allowOverlap="1" wp14:anchorId="01523D8A" wp14:editId="4B0F7BEC">
                      <wp:simplePos x="0" y="0"/>
                      <wp:positionH relativeFrom="column">
                        <wp:posOffset>-68580</wp:posOffset>
                      </wp:positionH>
                      <wp:positionV relativeFrom="paragraph">
                        <wp:posOffset>708660</wp:posOffset>
                      </wp:positionV>
                      <wp:extent cx="5829300" cy="103822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29300" cy="1038225"/>
                              </a:xfrm>
                              <a:prstGeom prst="rect">
                                <a:avLst/>
                              </a:prstGeom>
                              <a:noFill/>
                              <a:ln w="9525">
                                <a:noFill/>
                                <a:miter lim="800000"/>
                                <a:headEnd/>
                                <a:tailEnd/>
                              </a:ln>
                            </wps:spPr>
                            <wps:txbx>
                              <w:txbxContent>
                                <w:p w:rsidR="00E5354F" w:rsidRPr="00BA2E59" w:rsidRDefault="00E5354F" w:rsidP="00E5354F">
                                  <w:pPr>
                                    <w:rPr>
                                      <w:rFonts w:ascii="Arial" w:hAnsi="Arial" w:cs="Arial"/>
                                    </w:rPr>
                                  </w:pPr>
                                  <w:r w:rsidRPr="00BA2E59">
                                    <w:rPr>
                                      <w:rFonts w:ascii="Arial" w:hAnsi="Arial" w:cs="Arial"/>
                                    </w:rPr>
                                    <w:t>LESSON EVALUATION</w:t>
                                  </w:r>
                                  <w:r>
                                    <w:rPr>
                                      <w:rFonts w:ascii="Arial" w:hAnsi="Arial" w:cs="Arial"/>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523D8A" id="Text Box 2" o:spid="_x0000_s1029" type="#_x0000_t202" style="position:absolute;margin-left:-5.4pt;margin-top:55.8pt;width:459pt;height:81.7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" filled="f" stroked="f">
                      <v:textbox>
                        <w:txbxContent>
                          <w:p w:rsidR="00E5354F" w:rsidRPr="00BA2E59" w:rsidRDefault="00E5354F" w:rsidP="00E5354F">
                            <w:pPr>
                              <w:rPr>
                                <w:rFonts w:ascii="Arial" w:hAnsi="Arial" w:cs="Arial"/>
                              </w:rPr>
                            </w:pPr>
                            <w:r w:rsidRPr="00BA2E59">
                              <w:rPr>
                                <w:rFonts w:ascii="Arial" w:hAnsi="Arial" w:cs="Arial"/>
                              </w:rPr>
                              <w:t>LESSON EVALUATION</w:t>
                            </w:r>
                            <w:r>
                              <w:rPr>
                                <w:rFonts w:ascii="Arial" w:hAnsi="Arial" w:cs="Arial"/>
                              </w:rPr>
                              <w:t>:</w:t>
                            </w:r>
                          </w:p>
                        </w:txbxContent>
                      </v:textbox>
                      <w10:wrap type="square"/>
                    </v:shape>
                  </w:pict>
                </mc:Fallback>
              </mc:AlternateContent>
            </w:r>
            <w:r>
              <w:rPr>
                <w:rFonts w:ascii="Arial" w:hAnsi="Arial" w:cs="Arial"/>
              </w:rPr>
              <w:t>With the content and objectives being primarily behavioural in nature, and outside an academic remit, Authentic assessment will aim to establish a connection with work/ social-integration and more closely aligned to what you would experience, or be impacted in the ‘real world’.</w:t>
            </w:r>
          </w:p>
        </w:tc>
      </w:tr>
    </w:tbl>
    <w:p w:rsidR="00E3069C" w:rsidRDefault="00E3069C" w:rsidP="008E1FA6"/>
    <w:p w:rsidR="00E3069C" w:rsidRPr="008E1FA6" w:rsidRDefault="00E3069C" w:rsidP="008E1FA6">
      <w:r>
        <w:rPr>
          <w:noProof/>
          <w:lang w:eastAsia="en-GB"/>
        </w:rPr>
        <w:drawing>
          <wp:inline distT="0" distB="0" distL="0" distR="0">
            <wp:extent cx="5659755" cy="88633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indfulness feedback.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659755" cy="8863330"/>
                    </a:xfrm>
                    <a:prstGeom prst="rect">
                      <a:avLst/>
                    </a:prstGeom>
                  </pic:spPr>
                </pic:pic>
              </a:graphicData>
            </a:graphic>
          </wp:inline>
        </w:drawing>
      </w:r>
    </w:p>
    <w:sectPr w:rsidR="00E3069C" w:rsidRPr="008E1FA6" w:rsidSect="00E5354F">
      <w:footerReference w:type="default" r:id="rId10"/>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5152B" w:rsidRDefault="0005152B" w:rsidP="00E5354F">
      <w:pPr>
        <w:spacing w:after="0" w:line="240" w:lineRule="auto"/>
      </w:pPr>
      <w:r>
        <w:separator/>
      </w:r>
    </w:p>
  </w:endnote>
  <w:endnote w:type="continuationSeparator" w:id="0">
    <w:p w:rsidR="0005152B" w:rsidRDefault="0005152B" w:rsidP="00E535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2647458"/>
      <w:docPartObj>
        <w:docPartGallery w:val="Page Numbers (Bottom of Page)"/>
        <w:docPartUnique/>
      </w:docPartObj>
    </w:sdtPr>
    <w:sdtEndPr>
      <w:rPr>
        <w:noProof/>
      </w:rPr>
    </w:sdtEndPr>
    <w:sdtContent>
      <w:p w:rsidR="00E5354F" w:rsidRDefault="00E5354F">
        <w:pPr>
          <w:pStyle w:val="Footer"/>
          <w:jc w:val="right"/>
        </w:pPr>
        <w:r>
          <w:fldChar w:fldCharType="begin"/>
        </w:r>
        <w:r>
          <w:instrText xml:space="preserve"> PAGE   \* MERGEFORMAT </w:instrText>
        </w:r>
        <w:r>
          <w:fldChar w:fldCharType="separate"/>
        </w:r>
        <w:r>
          <w:rPr>
            <w:noProof/>
          </w:rPr>
          <w:t>15</w:t>
        </w:r>
        <w:r>
          <w:rPr>
            <w:noProof/>
          </w:rPr>
          <w:fldChar w:fldCharType="end"/>
        </w:r>
      </w:p>
    </w:sdtContent>
  </w:sdt>
  <w:p w:rsidR="00E5354F" w:rsidRDefault="00E535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5152B" w:rsidRDefault="0005152B" w:rsidP="00E5354F">
      <w:pPr>
        <w:spacing w:after="0" w:line="240" w:lineRule="auto"/>
      </w:pPr>
      <w:r>
        <w:separator/>
      </w:r>
    </w:p>
  </w:footnote>
  <w:footnote w:type="continuationSeparator" w:id="0">
    <w:p w:rsidR="0005152B" w:rsidRDefault="0005152B" w:rsidP="00E535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40670"/>
    <w:multiLevelType w:val="hybridMultilevel"/>
    <w:tmpl w:val="285817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9836363"/>
    <w:multiLevelType w:val="hybridMultilevel"/>
    <w:tmpl w:val="2AB85C68"/>
    <w:lvl w:ilvl="0" w:tplc="0809000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1AD215DA"/>
    <w:multiLevelType w:val="hybridMultilevel"/>
    <w:tmpl w:val="6106BC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1840DE6"/>
    <w:multiLevelType w:val="hybridMultilevel"/>
    <w:tmpl w:val="C35635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7430172"/>
    <w:multiLevelType w:val="hybridMultilevel"/>
    <w:tmpl w:val="42A4ED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7592D8A"/>
    <w:multiLevelType w:val="hybridMultilevel"/>
    <w:tmpl w:val="70AAB9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2BA3EC7"/>
    <w:multiLevelType w:val="hybridMultilevel"/>
    <w:tmpl w:val="3E3620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9ED6883"/>
    <w:multiLevelType w:val="hybridMultilevel"/>
    <w:tmpl w:val="61DE04F6"/>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8" w15:restartNumberingAfterBreak="0">
    <w:nsid w:val="3D73374A"/>
    <w:multiLevelType w:val="hybridMultilevel"/>
    <w:tmpl w:val="B2FC24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7842D47"/>
    <w:multiLevelType w:val="hybridMultilevel"/>
    <w:tmpl w:val="947866E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EBF04EB"/>
    <w:multiLevelType w:val="hybridMultilevel"/>
    <w:tmpl w:val="C36ED1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1123960"/>
    <w:multiLevelType w:val="hybridMultilevel"/>
    <w:tmpl w:val="A7669E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7CD786C"/>
    <w:multiLevelType w:val="hybridMultilevel"/>
    <w:tmpl w:val="2A428B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CEA26F7"/>
    <w:multiLevelType w:val="hybridMultilevel"/>
    <w:tmpl w:val="1C6EF5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0623997"/>
    <w:multiLevelType w:val="hybridMultilevel"/>
    <w:tmpl w:val="4E6E32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1"/>
  </w:num>
  <w:num w:numId="3">
    <w:abstractNumId w:val="11"/>
  </w:num>
  <w:num w:numId="4">
    <w:abstractNumId w:val="7"/>
  </w:num>
  <w:num w:numId="5">
    <w:abstractNumId w:val="9"/>
  </w:num>
  <w:num w:numId="6">
    <w:abstractNumId w:val="10"/>
  </w:num>
  <w:num w:numId="7">
    <w:abstractNumId w:val="0"/>
  </w:num>
  <w:num w:numId="8">
    <w:abstractNumId w:val="2"/>
  </w:num>
  <w:num w:numId="9">
    <w:abstractNumId w:val="12"/>
  </w:num>
  <w:num w:numId="10">
    <w:abstractNumId w:val="13"/>
  </w:num>
  <w:num w:numId="11">
    <w:abstractNumId w:val="3"/>
  </w:num>
  <w:num w:numId="12">
    <w:abstractNumId w:val="6"/>
  </w:num>
  <w:num w:numId="13">
    <w:abstractNumId w:val="14"/>
  </w:num>
  <w:num w:numId="14">
    <w:abstractNumId w:val="5"/>
  </w:num>
  <w:num w:numId="1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evenAndOddHeaders/>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0F28"/>
    <w:rsid w:val="0005152B"/>
    <w:rsid w:val="000E47FE"/>
    <w:rsid w:val="00174795"/>
    <w:rsid w:val="0025048E"/>
    <w:rsid w:val="00371A41"/>
    <w:rsid w:val="003B39FA"/>
    <w:rsid w:val="003F22BD"/>
    <w:rsid w:val="00434EA2"/>
    <w:rsid w:val="004563B0"/>
    <w:rsid w:val="00494673"/>
    <w:rsid w:val="004F32FC"/>
    <w:rsid w:val="00680479"/>
    <w:rsid w:val="006E088C"/>
    <w:rsid w:val="007B0F28"/>
    <w:rsid w:val="007B45C6"/>
    <w:rsid w:val="00837BCF"/>
    <w:rsid w:val="008E1FA6"/>
    <w:rsid w:val="008E48E8"/>
    <w:rsid w:val="00A311FF"/>
    <w:rsid w:val="00A81E2C"/>
    <w:rsid w:val="00BE7FA8"/>
    <w:rsid w:val="00CE680F"/>
    <w:rsid w:val="00D24745"/>
    <w:rsid w:val="00D652F2"/>
    <w:rsid w:val="00DA4C38"/>
    <w:rsid w:val="00E3069C"/>
    <w:rsid w:val="00E365A9"/>
    <w:rsid w:val="00E51AB6"/>
    <w:rsid w:val="00E5354F"/>
    <w:rsid w:val="00F44BE2"/>
    <w:rsid w:val="00FE4C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A9B5ED"/>
  <w15:chartTrackingRefBased/>
  <w15:docId w15:val="{68BDD1C5-33C0-417F-AA64-5C7283667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B0F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imesRoman">
    <w:name w:val="Times Roman"/>
    <w:basedOn w:val="Normal"/>
    <w:link w:val="TimesRomanChar"/>
    <w:qFormat/>
    <w:rsid w:val="0025048E"/>
    <w:pPr>
      <w:spacing w:before="120" w:after="280" w:line="360" w:lineRule="auto"/>
    </w:pPr>
    <w:rPr>
      <w:rFonts w:ascii="Times New Roman" w:hAnsi="Times New Roman"/>
      <w:sz w:val="24"/>
    </w:rPr>
  </w:style>
  <w:style w:type="character" w:customStyle="1" w:styleId="TimesRomanChar">
    <w:name w:val="Times Roman Char"/>
    <w:basedOn w:val="DefaultParagraphFont"/>
    <w:link w:val="TimesRoman"/>
    <w:rsid w:val="0025048E"/>
    <w:rPr>
      <w:rFonts w:ascii="Times New Roman" w:hAnsi="Times New Roman"/>
      <w:sz w:val="24"/>
      <w:lang w:val="en-GB"/>
    </w:rPr>
  </w:style>
  <w:style w:type="character" w:customStyle="1" w:styleId="Heading1Char">
    <w:name w:val="Heading 1 Char"/>
    <w:basedOn w:val="DefaultParagraphFont"/>
    <w:link w:val="Heading1"/>
    <w:uiPriority w:val="9"/>
    <w:rsid w:val="007B0F28"/>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7B0F28"/>
    <w:pPr>
      <w:outlineLvl w:val="9"/>
    </w:pPr>
    <w:rPr>
      <w:lang w:val="en-US"/>
    </w:rPr>
  </w:style>
  <w:style w:type="paragraph" w:styleId="TOC1">
    <w:name w:val="toc 1"/>
    <w:basedOn w:val="Normal"/>
    <w:next w:val="Normal"/>
    <w:autoRedefine/>
    <w:uiPriority w:val="39"/>
    <w:unhideWhenUsed/>
    <w:rsid w:val="007B0F28"/>
    <w:pPr>
      <w:spacing w:after="100"/>
    </w:pPr>
  </w:style>
  <w:style w:type="character" w:styleId="Hyperlink">
    <w:name w:val="Hyperlink"/>
    <w:basedOn w:val="DefaultParagraphFont"/>
    <w:uiPriority w:val="99"/>
    <w:unhideWhenUsed/>
    <w:rsid w:val="007B0F28"/>
    <w:rPr>
      <w:color w:val="0563C1" w:themeColor="hyperlink"/>
      <w:u w:val="single"/>
    </w:rPr>
  </w:style>
  <w:style w:type="paragraph" w:styleId="NoSpacing">
    <w:name w:val="No Spacing"/>
    <w:link w:val="NoSpacingChar"/>
    <w:uiPriority w:val="1"/>
    <w:qFormat/>
    <w:rsid w:val="007B0F28"/>
    <w:pPr>
      <w:spacing w:after="0" w:line="240" w:lineRule="auto"/>
    </w:pPr>
    <w:rPr>
      <w:rFonts w:eastAsiaTheme="minorEastAsia"/>
    </w:rPr>
  </w:style>
  <w:style w:type="character" w:customStyle="1" w:styleId="NoSpacingChar">
    <w:name w:val="No Spacing Char"/>
    <w:basedOn w:val="DefaultParagraphFont"/>
    <w:link w:val="NoSpacing"/>
    <w:uiPriority w:val="1"/>
    <w:rsid w:val="007B0F28"/>
    <w:rPr>
      <w:rFonts w:eastAsiaTheme="minorEastAsia"/>
    </w:rPr>
  </w:style>
  <w:style w:type="table" w:styleId="TableGrid">
    <w:name w:val="Table Grid"/>
    <w:basedOn w:val="TableNormal"/>
    <w:uiPriority w:val="39"/>
    <w:rsid w:val="007B0F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B0F28"/>
    <w:pPr>
      <w:ind w:left="720"/>
      <w:contextualSpacing/>
    </w:pPr>
  </w:style>
  <w:style w:type="character" w:customStyle="1" w:styleId="UnresolvedMention1">
    <w:name w:val="Unresolved Mention1"/>
    <w:basedOn w:val="DefaultParagraphFont"/>
    <w:uiPriority w:val="99"/>
    <w:semiHidden/>
    <w:unhideWhenUsed/>
    <w:rsid w:val="00371A41"/>
    <w:rPr>
      <w:color w:val="808080"/>
      <w:shd w:val="clear" w:color="auto" w:fill="E6E6E6"/>
    </w:rPr>
  </w:style>
  <w:style w:type="character" w:styleId="FollowedHyperlink">
    <w:name w:val="FollowedHyperlink"/>
    <w:basedOn w:val="DefaultParagraphFont"/>
    <w:uiPriority w:val="99"/>
    <w:semiHidden/>
    <w:unhideWhenUsed/>
    <w:rsid w:val="003F22BD"/>
    <w:rPr>
      <w:color w:val="954F72" w:themeColor="followedHyperlink"/>
      <w:u w:val="single"/>
    </w:rPr>
  </w:style>
  <w:style w:type="paragraph" w:styleId="Bibliography">
    <w:name w:val="Bibliography"/>
    <w:basedOn w:val="Normal"/>
    <w:next w:val="Normal"/>
    <w:uiPriority w:val="37"/>
    <w:unhideWhenUsed/>
    <w:rsid w:val="003F22BD"/>
  </w:style>
  <w:style w:type="character" w:styleId="Strong">
    <w:name w:val="Strong"/>
    <w:basedOn w:val="DefaultParagraphFont"/>
    <w:uiPriority w:val="22"/>
    <w:qFormat/>
    <w:rsid w:val="00A311FF"/>
    <w:rPr>
      <w:b/>
      <w:bCs/>
    </w:rPr>
  </w:style>
  <w:style w:type="paragraph" w:styleId="Index1">
    <w:name w:val="index 1"/>
    <w:basedOn w:val="Normal"/>
    <w:next w:val="Normal"/>
    <w:autoRedefine/>
    <w:uiPriority w:val="99"/>
    <w:unhideWhenUsed/>
    <w:rsid w:val="008E1FA6"/>
    <w:pPr>
      <w:spacing w:after="0"/>
      <w:ind w:left="220" w:hanging="220"/>
    </w:pPr>
    <w:rPr>
      <w:rFonts w:cstheme="minorHAnsi"/>
      <w:sz w:val="18"/>
      <w:szCs w:val="18"/>
    </w:rPr>
  </w:style>
  <w:style w:type="paragraph" w:styleId="Index2">
    <w:name w:val="index 2"/>
    <w:basedOn w:val="Normal"/>
    <w:next w:val="Normal"/>
    <w:autoRedefine/>
    <w:uiPriority w:val="99"/>
    <w:unhideWhenUsed/>
    <w:rsid w:val="008E1FA6"/>
    <w:pPr>
      <w:spacing w:after="0"/>
      <w:ind w:left="440" w:hanging="220"/>
    </w:pPr>
    <w:rPr>
      <w:rFonts w:cstheme="minorHAnsi"/>
      <w:sz w:val="18"/>
      <w:szCs w:val="18"/>
    </w:rPr>
  </w:style>
  <w:style w:type="paragraph" w:styleId="Index3">
    <w:name w:val="index 3"/>
    <w:basedOn w:val="Normal"/>
    <w:next w:val="Normal"/>
    <w:autoRedefine/>
    <w:uiPriority w:val="99"/>
    <w:unhideWhenUsed/>
    <w:rsid w:val="008E1FA6"/>
    <w:pPr>
      <w:spacing w:after="0"/>
      <w:ind w:left="660" w:hanging="220"/>
    </w:pPr>
    <w:rPr>
      <w:rFonts w:cstheme="minorHAnsi"/>
      <w:sz w:val="18"/>
      <w:szCs w:val="18"/>
    </w:rPr>
  </w:style>
  <w:style w:type="paragraph" w:styleId="Index4">
    <w:name w:val="index 4"/>
    <w:basedOn w:val="Normal"/>
    <w:next w:val="Normal"/>
    <w:autoRedefine/>
    <w:uiPriority w:val="99"/>
    <w:unhideWhenUsed/>
    <w:rsid w:val="008E1FA6"/>
    <w:pPr>
      <w:spacing w:after="0"/>
      <w:ind w:left="880" w:hanging="220"/>
    </w:pPr>
    <w:rPr>
      <w:rFonts w:cstheme="minorHAnsi"/>
      <w:sz w:val="18"/>
      <w:szCs w:val="18"/>
    </w:rPr>
  </w:style>
  <w:style w:type="paragraph" w:styleId="Index5">
    <w:name w:val="index 5"/>
    <w:basedOn w:val="Normal"/>
    <w:next w:val="Normal"/>
    <w:autoRedefine/>
    <w:uiPriority w:val="99"/>
    <w:unhideWhenUsed/>
    <w:rsid w:val="008E1FA6"/>
    <w:pPr>
      <w:spacing w:after="0"/>
      <w:ind w:left="1100" w:hanging="220"/>
    </w:pPr>
    <w:rPr>
      <w:rFonts w:cstheme="minorHAnsi"/>
      <w:sz w:val="18"/>
      <w:szCs w:val="18"/>
    </w:rPr>
  </w:style>
  <w:style w:type="paragraph" w:styleId="Index6">
    <w:name w:val="index 6"/>
    <w:basedOn w:val="Normal"/>
    <w:next w:val="Normal"/>
    <w:autoRedefine/>
    <w:uiPriority w:val="99"/>
    <w:unhideWhenUsed/>
    <w:rsid w:val="008E1FA6"/>
    <w:pPr>
      <w:spacing w:after="0"/>
      <w:ind w:left="1320" w:hanging="220"/>
    </w:pPr>
    <w:rPr>
      <w:rFonts w:cstheme="minorHAnsi"/>
      <w:sz w:val="18"/>
      <w:szCs w:val="18"/>
    </w:rPr>
  </w:style>
  <w:style w:type="paragraph" w:styleId="Index7">
    <w:name w:val="index 7"/>
    <w:basedOn w:val="Normal"/>
    <w:next w:val="Normal"/>
    <w:autoRedefine/>
    <w:uiPriority w:val="99"/>
    <w:unhideWhenUsed/>
    <w:rsid w:val="008E1FA6"/>
    <w:pPr>
      <w:spacing w:after="0"/>
      <w:ind w:left="1540" w:hanging="220"/>
    </w:pPr>
    <w:rPr>
      <w:rFonts w:cstheme="minorHAnsi"/>
      <w:sz w:val="18"/>
      <w:szCs w:val="18"/>
    </w:rPr>
  </w:style>
  <w:style w:type="paragraph" w:styleId="Index8">
    <w:name w:val="index 8"/>
    <w:basedOn w:val="Normal"/>
    <w:next w:val="Normal"/>
    <w:autoRedefine/>
    <w:uiPriority w:val="99"/>
    <w:unhideWhenUsed/>
    <w:rsid w:val="008E1FA6"/>
    <w:pPr>
      <w:spacing w:after="0"/>
      <w:ind w:left="1760" w:hanging="220"/>
    </w:pPr>
    <w:rPr>
      <w:rFonts w:cstheme="minorHAnsi"/>
      <w:sz w:val="18"/>
      <w:szCs w:val="18"/>
    </w:rPr>
  </w:style>
  <w:style w:type="paragraph" w:styleId="Index9">
    <w:name w:val="index 9"/>
    <w:basedOn w:val="Normal"/>
    <w:next w:val="Normal"/>
    <w:autoRedefine/>
    <w:uiPriority w:val="99"/>
    <w:unhideWhenUsed/>
    <w:rsid w:val="008E1FA6"/>
    <w:pPr>
      <w:spacing w:after="0"/>
      <w:ind w:left="1980" w:hanging="220"/>
    </w:pPr>
    <w:rPr>
      <w:rFonts w:cstheme="minorHAnsi"/>
      <w:sz w:val="18"/>
      <w:szCs w:val="18"/>
    </w:rPr>
  </w:style>
  <w:style w:type="paragraph" w:styleId="IndexHeading">
    <w:name w:val="index heading"/>
    <w:basedOn w:val="Normal"/>
    <w:next w:val="Index1"/>
    <w:uiPriority w:val="99"/>
    <w:unhideWhenUsed/>
    <w:rsid w:val="008E1FA6"/>
    <w:pPr>
      <w:pBdr>
        <w:top w:val="single" w:sz="12" w:space="0" w:color="auto"/>
      </w:pBdr>
      <w:spacing w:before="360" w:after="240"/>
    </w:pPr>
    <w:rPr>
      <w:rFonts w:cstheme="minorHAnsi"/>
      <w:b/>
      <w:bCs/>
      <w:i/>
      <w:iCs/>
      <w:sz w:val="26"/>
      <w:szCs w:val="26"/>
    </w:rPr>
  </w:style>
  <w:style w:type="character" w:styleId="UnresolvedMention">
    <w:name w:val="Unresolved Mention"/>
    <w:basedOn w:val="DefaultParagraphFont"/>
    <w:uiPriority w:val="99"/>
    <w:semiHidden/>
    <w:unhideWhenUsed/>
    <w:rsid w:val="00FE4C5D"/>
    <w:rPr>
      <w:color w:val="808080"/>
      <w:shd w:val="clear" w:color="auto" w:fill="E6E6E6"/>
    </w:rPr>
  </w:style>
  <w:style w:type="paragraph" w:styleId="Revision">
    <w:name w:val="Revision"/>
    <w:hidden/>
    <w:uiPriority w:val="99"/>
    <w:semiHidden/>
    <w:rsid w:val="00A81E2C"/>
    <w:pPr>
      <w:spacing w:after="0" w:line="240" w:lineRule="auto"/>
    </w:pPr>
    <w:rPr>
      <w:lang w:val="en-GB"/>
    </w:rPr>
  </w:style>
  <w:style w:type="paragraph" w:styleId="BalloonText">
    <w:name w:val="Balloon Text"/>
    <w:basedOn w:val="Normal"/>
    <w:link w:val="BalloonTextChar"/>
    <w:uiPriority w:val="99"/>
    <w:semiHidden/>
    <w:unhideWhenUsed/>
    <w:rsid w:val="00A81E2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1E2C"/>
    <w:rPr>
      <w:rFonts w:ascii="Segoe UI" w:hAnsi="Segoe UI" w:cs="Segoe UI"/>
      <w:sz w:val="18"/>
      <w:szCs w:val="18"/>
      <w:lang w:val="en-GB"/>
    </w:rPr>
  </w:style>
  <w:style w:type="paragraph" w:styleId="Header">
    <w:name w:val="header"/>
    <w:basedOn w:val="Normal"/>
    <w:link w:val="HeaderChar"/>
    <w:uiPriority w:val="99"/>
    <w:unhideWhenUsed/>
    <w:rsid w:val="00E535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354F"/>
    <w:rPr>
      <w:lang w:val="en-GB"/>
    </w:rPr>
  </w:style>
  <w:style w:type="paragraph" w:styleId="Footer">
    <w:name w:val="footer"/>
    <w:basedOn w:val="Normal"/>
    <w:link w:val="FooterChar"/>
    <w:uiPriority w:val="99"/>
    <w:unhideWhenUsed/>
    <w:rsid w:val="00E535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354F"/>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00245">
      <w:bodyDiv w:val="1"/>
      <w:marLeft w:val="0"/>
      <w:marRight w:val="0"/>
      <w:marTop w:val="0"/>
      <w:marBottom w:val="0"/>
      <w:divBdr>
        <w:top w:val="none" w:sz="0" w:space="0" w:color="auto"/>
        <w:left w:val="none" w:sz="0" w:space="0" w:color="auto"/>
        <w:bottom w:val="none" w:sz="0" w:space="0" w:color="auto"/>
        <w:right w:val="none" w:sz="0" w:space="0" w:color="auto"/>
      </w:divBdr>
    </w:div>
    <w:div w:id="44455958">
      <w:bodyDiv w:val="1"/>
      <w:marLeft w:val="0"/>
      <w:marRight w:val="0"/>
      <w:marTop w:val="0"/>
      <w:marBottom w:val="0"/>
      <w:divBdr>
        <w:top w:val="none" w:sz="0" w:space="0" w:color="auto"/>
        <w:left w:val="none" w:sz="0" w:space="0" w:color="auto"/>
        <w:bottom w:val="none" w:sz="0" w:space="0" w:color="auto"/>
        <w:right w:val="none" w:sz="0" w:space="0" w:color="auto"/>
      </w:divBdr>
    </w:div>
    <w:div w:id="46999514">
      <w:bodyDiv w:val="1"/>
      <w:marLeft w:val="0"/>
      <w:marRight w:val="0"/>
      <w:marTop w:val="0"/>
      <w:marBottom w:val="0"/>
      <w:divBdr>
        <w:top w:val="none" w:sz="0" w:space="0" w:color="auto"/>
        <w:left w:val="none" w:sz="0" w:space="0" w:color="auto"/>
        <w:bottom w:val="none" w:sz="0" w:space="0" w:color="auto"/>
        <w:right w:val="none" w:sz="0" w:space="0" w:color="auto"/>
      </w:divBdr>
    </w:div>
    <w:div w:id="48504656">
      <w:bodyDiv w:val="1"/>
      <w:marLeft w:val="0"/>
      <w:marRight w:val="0"/>
      <w:marTop w:val="0"/>
      <w:marBottom w:val="0"/>
      <w:divBdr>
        <w:top w:val="none" w:sz="0" w:space="0" w:color="auto"/>
        <w:left w:val="none" w:sz="0" w:space="0" w:color="auto"/>
        <w:bottom w:val="none" w:sz="0" w:space="0" w:color="auto"/>
        <w:right w:val="none" w:sz="0" w:space="0" w:color="auto"/>
      </w:divBdr>
    </w:div>
    <w:div w:id="72825911">
      <w:bodyDiv w:val="1"/>
      <w:marLeft w:val="0"/>
      <w:marRight w:val="0"/>
      <w:marTop w:val="0"/>
      <w:marBottom w:val="0"/>
      <w:divBdr>
        <w:top w:val="none" w:sz="0" w:space="0" w:color="auto"/>
        <w:left w:val="none" w:sz="0" w:space="0" w:color="auto"/>
        <w:bottom w:val="none" w:sz="0" w:space="0" w:color="auto"/>
        <w:right w:val="none" w:sz="0" w:space="0" w:color="auto"/>
      </w:divBdr>
    </w:div>
    <w:div w:id="85346443">
      <w:bodyDiv w:val="1"/>
      <w:marLeft w:val="0"/>
      <w:marRight w:val="0"/>
      <w:marTop w:val="0"/>
      <w:marBottom w:val="0"/>
      <w:divBdr>
        <w:top w:val="none" w:sz="0" w:space="0" w:color="auto"/>
        <w:left w:val="none" w:sz="0" w:space="0" w:color="auto"/>
        <w:bottom w:val="none" w:sz="0" w:space="0" w:color="auto"/>
        <w:right w:val="none" w:sz="0" w:space="0" w:color="auto"/>
      </w:divBdr>
    </w:div>
    <w:div w:id="97454076">
      <w:bodyDiv w:val="1"/>
      <w:marLeft w:val="0"/>
      <w:marRight w:val="0"/>
      <w:marTop w:val="0"/>
      <w:marBottom w:val="0"/>
      <w:divBdr>
        <w:top w:val="none" w:sz="0" w:space="0" w:color="auto"/>
        <w:left w:val="none" w:sz="0" w:space="0" w:color="auto"/>
        <w:bottom w:val="none" w:sz="0" w:space="0" w:color="auto"/>
        <w:right w:val="none" w:sz="0" w:space="0" w:color="auto"/>
      </w:divBdr>
    </w:div>
    <w:div w:id="109977212">
      <w:bodyDiv w:val="1"/>
      <w:marLeft w:val="0"/>
      <w:marRight w:val="0"/>
      <w:marTop w:val="0"/>
      <w:marBottom w:val="0"/>
      <w:divBdr>
        <w:top w:val="none" w:sz="0" w:space="0" w:color="auto"/>
        <w:left w:val="none" w:sz="0" w:space="0" w:color="auto"/>
        <w:bottom w:val="none" w:sz="0" w:space="0" w:color="auto"/>
        <w:right w:val="none" w:sz="0" w:space="0" w:color="auto"/>
      </w:divBdr>
    </w:div>
    <w:div w:id="139350903">
      <w:bodyDiv w:val="1"/>
      <w:marLeft w:val="0"/>
      <w:marRight w:val="0"/>
      <w:marTop w:val="0"/>
      <w:marBottom w:val="0"/>
      <w:divBdr>
        <w:top w:val="none" w:sz="0" w:space="0" w:color="auto"/>
        <w:left w:val="none" w:sz="0" w:space="0" w:color="auto"/>
        <w:bottom w:val="none" w:sz="0" w:space="0" w:color="auto"/>
        <w:right w:val="none" w:sz="0" w:space="0" w:color="auto"/>
      </w:divBdr>
    </w:div>
    <w:div w:id="156653043">
      <w:bodyDiv w:val="1"/>
      <w:marLeft w:val="0"/>
      <w:marRight w:val="0"/>
      <w:marTop w:val="0"/>
      <w:marBottom w:val="0"/>
      <w:divBdr>
        <w:top w:val="none" w:sz="0" w:space="0" w:color="auto"/>
        <w:left w:val="none" w:sz="0" w:space="0" w:color="auto"/>
        <w:bottom w:val="none" w:sz="0" w:space="0" w:color="auto"/>
        <w:right w:val="none" w:sz="0" w:space="0" w:color="auto"/>
      </w:divBdr>
    </w:div>
    <w:div w:id="190536692">
      <w:bodyDiv w:val="1"/>
      <w:marLeft w:val="0"/>
      <w:marRight w:val="0"/>
      <w:marTop w:val="0"/>
      <w:marBottom w:val="0"/>
      <w:divBdr>
        <w:top w:val="none" w:sz="0" w:space="0" w:color="auto"/>
        <w:left w:val="none" w:sz="0" w:space="0" w:color="auto"/>
        <w:bottom w:val="none" w:sz="0" w:space="0" w:color="auto"/>
        <w:right w:val="none" w:sz="0" w:space="0" w:color="auto"/>
      </w:divBdr>
    </w:div>
    <w:div w:id="194121681">
      <w:bodyDiv w:val="1"/>
      <w:marLeft w:val="0"/>
      <w:marRight w:val="0"/>
      <w:marTop w:val="0"/>
      <w:marBottom w:val="0"/>
      <w:divBdr>
        <w:top w:val="none" w:sz="0" w:space="0" w:color="auto"/>
        <w:left w:val="none" w:sz="0" w:space="0" w:color="auto"/>
        <w:bottom w:val="none" w:sz="0" w:space="0" w:color="auto"/>
        <w:right w:val="none" w:sz="0" w:space="0" w:color="auto"/>
      </w:divBdr>
    </w:div>
    <w:div w:id="208881383">
      <w:bodyDiv w:val="1"/>
      <w:marLeft w:val="0"/>
      <w:marRight w:val="0"/>
      <w:marTop w:val="0"/>
      <w:marBottom w:val="0"/>
      <w:divBdr>
        <w:top w:val="none" w:sz="0" w:space="0" w:color="auto"/>
        <w:left w:val="none" w:sz="0" w:space="0" w:color="auto"/>
        <w:bottom w:val="none" w:sz="0" w:space="0" w:color="auto"/>
        <w:right w:val="none" w:sz="0" w:space="0" w:color="auto"/>
      </w:divBdr>
    </w:div>
    <w:div w:id="219177142">
      <w:bodyDiv w:val="1"/>
      <w:marLeft w:val="0"/>
      <w:marRight w:val="0"/>
      <w:marTop w:val="0"/>
      <w:marBottom w:val="0"/>
      <w:divBdr>
        <w:top w:val="none" w:sz="0" w:space="0" w:color="auto"/>
        <w:left w:val="none" w:sz="0" w:space="0" w:color="auto"/>
        <w:bottom w:val="none" w:sz="0" w:space="0" w:color="auto"/>
        <w:right w:val="none" w:sz="0" w:space="0" w:color="auto"/>
      </w:divBdr>
    </w:div>
    <w:div w:id="243802570">
      <w:bodyDiv w:val="1"/>
      <w:marLeft w:val="0"/>
      <w:marRight w:val="0"/>
      <w:marTop w:val="0"/>
      <w:marBottom w:val="0"/>
      <w:divBdr>
        <w:top w:val="none" w:sz="0" w:space="0" w:color="auto"/>
        <w:left w:val="none" w:sz="0" w:space="0" w:color="auto"/>
        <w:bottom w:val="none" w:sz="0" w:space="0" w:color="auto"/>
        <w:right w:val="none" w:sz="0" w:space="0" w:color="auto"/>
      </w:divBdr>
    </w:div>
    <w:div w:id="256136290">
      <w:bodyDiv w:val="1"/>
      <w:marLeft w:val="0"/>
      <w:marRight w:val="0"/>
      <w:marTop w:val="0"/>
      <w:marBottom w:val="0"/>
      <w:divBdr>
        <w:top w:val="none" w:sz="0" w:space="0" w:color="auto"/>
        <w:left w:val="none" w:sz="0" w:space="0" w:color="auto"/>
        <w:bottom w:val="none" w:sz="0" w:space="0" w:color="auto"/>
        <w:right w:val="none" w:sz="0" w:space="0" w:color="auto"/>
      </w:divBdr>
    </w:div>
    <w:div w:id="274598067">
      <w:bodyDiv w:val="1"/>
      <w:marLeft w:val="0"/>
      <w:marRight w:val="0"/>
      <w:marTop w:val="0"/>
      <w:marBottom w:val="0"/>
      <w:divBdr>
        <w:top w:val="none" w:sz="0" w:space="0" w:color="auto"/>
        <w:left w:val="none" w:sz="0" w:space="0" w:color="auto"/>
        <w:bottom w:val="none" w:sz="0" w:space="0" w:color="auto"/>
        <w:right w:val="none" w:sz="0" w:space="0" w:color="auto"/>
      </w:divBdr>
    </w:div>
    <w:div w:id="313871928">
      <w:bodyDiv w:val="1"/>
      <w:marLeft w:val="0"/>
      <w:marRight w:val="0"/>
      <w:marTop w:val="0"/>
      <w:marBottom w:val="0"/>
      <w:divBdr>
        <w:top w:val="none" w:sz="0" w:space="0" w:color="auto"/>
        <w:left w:val="none" w:sz="0" w:space="0" w:color="auto"/>
        <w:bottom w:val="none" w:sz="0" w:space="0" w:color="auto"/>
        <w:right w:val="none" w:sz="0" w:space="0" w:color="auto"/>
      </w:divBdr>
    </w:div>
    <w:div w:id="314380431">
      <w:bodyDiv w:val="1"/>
      <w:marLeft w:val="0"/>
      <w:marRight w:val="0"/>
      <w:marTop w:val="0"/>
      <w:marBottom w:val="0"/>
      <w:divBdr>
        <w:top w:val="none" w:sz="0" w:space="0" w:color="auto"/>
        <w:left w:val="none" w:sz="0" w:space="0" w:color="auto"/>
        <w:bottom w:val="none" w:sz="0" w:space="0" w:color="auto"/>
        <w:right w:val="none" w:sz="0" w:space="0" w:color="auto"/>
      </w:divBdr>
    </w:div>
    <w:div w:id="365643970">
      <w:bodyDiv w:val="1"/>
      <w:marLeft w:val="0"/>
      <w:marRight w:val="0"/>
      <w:marTop w:val="0"/>
      <w:marBottom w:val="0"/>
      <w:divBdr>
        <w:top w:val="none" w:sz="0" w:space="0" w:color="auto"/>
        <w:left w:val="none" w:sz="0" w:space="0" w:color="auto"/>
        <w:bottom w:val="none" w:sz="0" w:space="0" w:color="auto"/>
        <w:right w:val="none" w:sz="0" w:space="0" w:color="auto"/>
      </w:divBdr>
    </w:div>
    <w:div w:id="394164548">
      <w:bodyDiv w:val="1"/>
      <w:marLeft w:val="0"/>
      <w:marRight w:val="0"/>
      <w:marTop w:val="0"/>
      <w:marBottom w:val="0"/>
      <w:divBdr>
        <w:top w:val="none" w:sz="0" w:space="0" w:color="auto"/>
        <w:left w:val="none" w:sz="0" w:space="0" w:color="auto"/>
        <w:bottom w:val="none" w:sz="0" w:space="0" w:color="auto"/>
        <w:right w:val="none" w:sz="0" w:space="0" w:color="auto"/>
      </w:divBdr>
    </w:div>
    <w:div w:id="406612971">
      <w:bodyDiv w:val="1"/>
      <w:marLeft w:val="0"/>
      <w:marRight w:val="0"/>
      <w:marTop w:val="0"/>
      <w:marBottom w:val="0"/>
      <w:divBdr>
        <w:top w:val="none" w:sz="0" w:space="0" w:color="auto"/>
        <w:left w:val="none" w:sz="0" w:space="0" w:color="auto"/>
        <w:bottom w:val="none" w:sz="0" w:space="0" w:color="auto"/>
        <w:right w:val="none" w:sz="0" w:space="0" w:color="auto"/>
      </w:divBdr>
    </w:div>
    <w:div w:id="461459765">
      <w:bodyDiv w:val="1"/>
      <w:marLeft w:val="0"/>
      <w:marRight w:val="0"/>
      <w:marTop w:val="0"/>
      <w:marBottom w:val="0"/>
      <w:divBdr>
        <w:top w:val="none" w:sz="0" w:space="0" w:color="auto"/>
        <w:left w:val="none" w:sz="0" w:space="0" w:color="auto"/>
        <w:bottom w:val="none" w:sz="0" w:space="0" w:color="auto"/>
        <w:right w:val="none" w:sz="0" w:space="0" w:color="auto"/>
      </w:divBdr>
    </w:div>
    <w:div w:id="476844924">
      <w:bodyDiv w:val="1"/>
      <w:marLeft w:val="0"/>
      <w:marRight w:val="0"/>
      <w:marTop w:val="0"/>
      <w:marBottom w:val="0"/>
      <w:divBdr>
        <w:top w:val="none" w:sz="0" w:space="0" w:color="auto"/>
        <w:left w:val="none" w:sz="0" w:space="0" w:color="auto"/>
        <w:bottom w:val="none" w:sz="0" w:space="0" w:color="auto"/>
        <w:right w:val="none" w:sz="0" w:space="0" w:color="auto"/>
      </w:divBdr>
    </w:div>
    <w:div w:id="478575285">
      <w:bodyDiv w:val="1"/>
      <w:marLeft w:val="0"/>
      <w:marRight w:val="0"/>
      <w:marTop w:val="0"/>
      <w:marBottom w:val="0"/>
      <w:divBdr>
        <w:top w:val="none" w:sz="0" w:space="0" w:color="auto"/>
        <w:left w:val="none" w:sz="0" w:space="0" w:color="auto"/>
        <w:bottom w:val="none" w:sz="0" w:space="0" w:color="auto"/>
        <w:right w:val="none" w:sz="0" w:space="0" w:color="auto"/>
      </w:divBdr>
    </w:div>
    <w:div w:id="516307918">
      <w:bodyDiv w:val="1"/>
      <w:marLeft w:val="0"/>
      <w:marRight w:val="0"/>
      <w:marTop w:val="0"/>
      <w:marBottom w:val="0"/>
      <w:divBdr>
        <w:top w:val="none" w:sz="0" w:space="0" w:color="auto"/>
        <w:left w:val="none" w:sz="0" w:space="0" w:color="auto"/>
        <w:bottom w:val="none" w:sz="0" w:space="0" w:color="auto"/>
        <w:right w:val="none" w:sz="0" w:space="0" w:color="auto"/>
      </w:divBdr>
    </w:div>
    <w:div w:id="583682104">
      <w:bodyDiv w:val="1"/>
      <w:marLeft w:val="0"/>
      <w:marRight w:val="0"/>
      <w:marTop w:val="0"/>
      <w:marBottom w:val="0"/>
      <w:divBdr>
        <w:top w:val="none" w:sz="0" w:space="0" w:color="auto"/>
        <w:left w:val="none" w:sz="0" w:space="0" w:color="auto"/>
        <w:bottom w:val="none" w:sz="0" w:space="0" w:color="auto"/>
        <w:right w:val="none" w:sz="0" w:space="0" w:color="auto"/>
      </w:divBdr>
    </w:div>
    <w:div w:id="593631523">
      <w:bodyDiv w:val="1"/>
      <w:marLeft w:val="0"/>
      <w:marRight w:val="0"/>
      <w:marTop w:val="0"/>
      <w:marBottom w:val="0"/>
      <w:divBdr>
        <w:top w:val="none" w:sz="0" w:space="0" w:color="auto"/>
        <w:left w:val="none" w:sz="0" w:space="0" w:color="auto"/>
        <w:bottom w:val="none" w:sz="0" w:space="0" w:color="auto"/>
        <w:right w:val="none" w:sz="0" w:space="0" w:color="auto"/>
      </w:divBdr>
    </w:div>
    <w:div w:id="621881231">
      <w:bodyDiv w:val="1"/>
      <w:marLeft w:val="0"/>
      <w:marRight w:val="0"/>
      <w:marTop w:val="0"/>
      <w:marBottom w:val="0"/>
      <w:divBdr>
        <w:top w:val="none" w:sz="0" w:space="0" w:color="auto"/>
        <w:left w:val="none" w:sz="0" w:space="0" w:color="auto"/>
        <w:bottom w:val="none" w:sz="0" w:space="0" w:color="auto"/>
        <w:right w:val="none" w:sz="0" w:space="0" w:color="auto"/>
      </w:divBdr>
    </w:div>
    <w:div w:id="624778832">
      <w:bodyDiv w:val="1"/>
      <w:marLeft w:val="0"/>
      <w:marRight w:val="0"/>
      <w:marTop w:val="0"/>
      <w:marBottom w:val="0"/>
      <w:divBdr>
        <w:top w:val="none" w:sz="0" w:space="0" w:color="auto"/>
        <w:left w:val="none" w:sz="0" w:space="0" w:color="auto"/>
        <w:bottom w:val="none" w:sz="0" w:space="0" w:color="auto"/>
        <w:right w:val="none" w:sz="0" w:space="0" w:color="auto"/>
      </w:divBdr>
    </w:div>
    <w:div w:id="652489377">
      <w:bodyDiv w:val="1"/>
      <w:marLeft w:val="0"/>
      <w:marRight w:val="0"/>
      <w:marTop w:val="0"/>
      <w:marBottom w:val="0"/>
      <w:divBdr>
        <w:top w:val="none" w:sz="0" w:space="0" w:color="auto"/>
        <w:left w:val="none" w:sz="0" w:space="0" w:color="auto"/>
        <w:bottom w:val="none" w:sz="0" w:space="0" w:color="auto"/>
        <w:right w:val="none" w:sz="0" w:space="0" w:color="auto"/>
      </w:divBdr>
    </w:div>
    <w:div w:id="677343092">
      <w:bodyDiv w:val="1"/>
      <w:marLeft w:val="0"/>
      <w:marRight w:val="0"/>
      <w:marTop w:val="0"/>
      <w:marBottom w:val="0"/>
      <w:divBdr>
        <w:top w:val="none" w:sz="0" w:space="0" w:color="auto"/>
        <w:left w:val="none" w:sz="0" w:space="0" w:color="auto"/>
        <w:bottom w:val="none" w:sz="0" w:space="0" w:color="auto"/>
        <w:right w:val="none" w:sz="0" w:space="0" w:color="auto"/>
      </w:divBdr>
    </w:div>
    <w:div w:id="767392215">
      <w:bodyDiv w:val="1"/>
      <w:marLeft w:val="0"/>
      <w:marRight w:val="0"/>
      <w:marTop w:val="0"/>
      <w:marBottom w:val="0"/>
      <w:divBdr>
        <w:top w:val="none" w:sz="0" w:space="0" w:color="auto"/>
        <w:left w:val="none" w:sz="0" w:space="0" w:color="auto"/>
        <w:bottom w:val="none" w:sz="0" w:space="0" w:color="auto"/>
        <w:right w:val="none" w:sz="0" w:space="0" w:color="auto"/>
      </w:divBdr>
    </w:div>
    <w:div w:id="783303091">
      <w:bodyDiv w:val="1"/>
      <w:marLeft w:val="0"/>
      <w:marRight w:val="0"/>
      <w:marTop w:val="0"/>
      <w:marBottom w:val="0"/>
      <w:divBdr>
        <w:top w:val="none" w:sz="0" w:space="0" w:color="auto"/>
        <w:left w:val="none" w:sz="0" w:space="0" w:color="auto"/>
        <w:bottom w:val="none" w:sz="0" w:space="0" w:color="auto"/>
        <w:right w:val="none" w:sz="0" w:space="0" w:color="auto"/>
      </w:divBdr>
    </w:div>
    <w:div w:id="786973641">
      <w:bodyDiv w:val="1"/>
      <w:marLeft w:val="0"/>
      <w:marRight w:val="0"/>
      <w:marTop w:val="0"/>
      <w:marBottom w:val="0"/>
      <w:divBdr>
        <w:top w:val="none" w:sz="0" w:space="0" w:color="auto"/>
        <w:left w:val="none" w:sz="0" w:space="0" w:color="auto"/>
        <w:bottom w:val="none" w:sz="0" w:space="0" w:color="auto"/>
        <w:right w:val="none" w:sz="0" w:space="0" w:color="auto"/>
      </w:divBdr>
    </w:div>
    <w:div w:id="799959676">
      <w:bodyDiv w:val="1"/>
      <w:marLeft w:val="0"/>
      <w:marRight w:val="0"/>
      <w:marTop w:val="0"/>
      <w:marBottom w:val="0"/>
      <w:divBdr>
        <w:top w:val="none" w:sz="0" w:space="0" w:color="auto"/>
        <w:left w:val="none" w:sz="0" w:space="0" w:color="auto"/>
        <w:bottom w:val="none" w:sz="0" w:space="0" w:color="auto"/>
        <w:right w:val="none" w:sz="0" w:space="0" w:color="auto"/>
      </w:divBdr>
    </w:div>
    <w:div w:id="800458390">
      <w:bodyDiv w:val="1"/>
      <w:marLeft w:val="0"/>
      <w:marRight w:val="0"/>
      <w:marTop w:val="0"/>
      <w:marBottom w:val="0"/>
      <w:divBdr>
        <w:top w:val="none" w:sz="0" w:space="0" w:color="auto"/>
        <w:left w:val="none" w:sz="0" w:space="0" w:color="auto"/>
        <w:bottom w:val="none" w:sz="0" w:space="0" w:color="auto"/>
        <w:right w:val="none" w:sz="0" w:space="0" w:color="auto"/>
      </w:divBdr>
    </w:div>
    <w:div w:id="811560321">
      <w:bodyDiv w:val="1"/>
      <w:marLeft w:val="0"/>
      <w:marRight w:val="0"/>
      <w:marTop w:val="0"/>
      <w:marBottom w:val="0"/>
      <w:divBdr>
        <w:top w:val="none" w:sz="0" w:space="0" w:color="auto"/>
        <w:left w:val="none" w:sz="0" w:space="0" w:color="auto"/>
        <w:bottom w:val="none" w:sz="0" w:space="0" w:color="auto"/>
        <w:right w:val="none" w:sz="0" w:space="0" w:color="auto"/>
      </w:divBdr>
    </w:div>
    <w:div w:id="812332624">
      <w:bodyDiv w:val="1"/>
      <w:marLeft w:val="0"/>
      <w:marRight w:val="0"/>
      <w:marTop w:val="0"/>
      <w:marBottom w:val="0"/>
      <w:divBdr>
        <w:top w:val="none" w:sz="0" w:space="0" w:color="auto"/>
        <w:left w:val="none" w:sz="0" w:space="0" w:color="auto"/>
        <w:bottom w:val="none" w:sz="0" w:space="0" w:color="auto"/>
        <w:right w:val="none" w:sz="0" w:space="0" w:color="auto"/>
      </w:divBdr>
    </w:div>
    <w:div w:id="846291277">
      <w:bodyDiv w:val="1"/>
      <w:marLeft w:val="0"/>
      <w:marRight w:val="0"/>
      <w:marTop w:val="0"/>
      <w:marBottom w:val="0"/>
      <w:divBdr>
        <w:top w:val="none" w:sz="0" w:space="0" w:color="auto"/>
        <w:left w:val="none" w:sz="0" w:space="0" w:color="auto"/>
        <w:bottom w:val="none" w:sz="0" w:space="0" w:color="auto"/>
        <w:right w:val="none" w:sz="0" w:space="0" w:color="auto"/>
      </w:divBdr>
    </w:div>
    <w:div w:id="966860635">
      <w:bodyDiv w:val="1"/>
      <w:marLeft w:val="0"/>
      <w:marRight w:val="0"/>
      <w:marTop w:val="0"/>
      <w:marBottom w:val="0"/>
      <w:divBdr>
        <w:top w:val="none" w:sz="0" w:space="0" w:color="auto"/>
        <w:left w:val="none" w:sz="0" w:space="0" w:color="auto"/>
        <w:bottom w:val="none" w:sz="0" w:space="0" w:color="auto"/>
        <w:right w:val="none" w:sz="0" w:space="0" w:color="auto"/>
      </w:divBdr>
    </w:div>
    <w:div w:id="968167905">
      <w:bodyDiv w:val="1"/>
      <w:marLeft w:val="0"/>
      <w:marRight w:val="0"/>
      <w:marTop w:val="0"/>
      <w:marBottom w:val="0"/>
      <w:divBdr>
        <w:top w:val="none" w:sz="0" w:space="0" w:color="auto"/>
        <w:left w:val="none" w:sz="0" w:space="0" w:color="auto"/>
        <w:bottom w:val="none" w:sz="0" w:space="0" w:color="auto"/>
        <w:right w:val="none" w:sz="0" w:space="0" w:color="auto"/>
      </w:divBdr>
    </w:div>
    <w:div w:id="976958832">
      <w:bodyDiv w:val="1"/>
      <w:marLeft w:val="0"/>
      <w:marRight w:val="0"/>
      <w:marTop w:val="0"/>
      <w:marBottom w:val="0"/>
      <w:divBdr>
        <w:top w:val="none" w:sz="0" w:space="0" w:color="auto"/>
        <w:left w:val="none" w:sz="0" w:space="0" w:color="auto"/>
        <w:bottom w:val="none" w:sz="0" w:space="0" w:color="auto"/>
        <w:right w:val="none" w:sz="0" w:space="0" w:color="auto"/>
      </w:divBdr>
    </w:div>
    <w:div w:id="984510655">
      <w:bodyDiv w:val="1"/>
      <w:marLeft w:val="0"/>
      <w:marRight w:val="0"/>
      <w:marTop w:val="0"/>
      <w:marBottom w:val="0"/>
      <w:divBdr>
        <w:top w:val="none" w:sz="0" w:space="0" w:color="auto"/>
        <w:left w:val="none" w:sz="0" w:space="0" w:color="auto"/>
        <w:bottom w:val="none" w:sz="0" w:space="0" w:color="auto"/>
        <w:right w:val="none" w:sz="0" w:space="0" w:color="auto"/>
      </w:divBdr>
    </w:div>
    <w:div w:id="1005858553">
      <w:bodyDiv w:val="1"/>
      <w:marLeft w:val="0"/>
      <w:marRight w:val="0"/>
      <w:marTop w:val="0"/>
      <w:marBottom w:val="0"/>
      <w:divBdr>
        <w:top w:val="none" w:sz="0" w:space="0" w:color="auto"/>
        <w:left w:val="none" w:sz="0" w:space="0" w:color="auto"/>
        <w:bottom w:val="none" w:sz="0" w:space="0" w:color="auto"/>
        <w:right w:val="none" w:sz="0" w:space="0" w:color="auto"/>
      </w:divBdr>
    </w:div>
    <w:div w:id="1035545212">
      <w:bodyDiv w:val="1"/>
      <w:marLeft w:val="0"/>
      <w:marRight w:val="0"/>
      <w:marTop w:val="0"/>
      <w:marBottom w:val="0"/>
      <w:divBdr>
        <w:top w:val="none" w:sz="0" w:space="0" w:color="auto"/>
        <w:left w:val="none" w:sz="0" w:space="0" w:color="auto"/>
        <w:bottom w:val="none" w:sz="0" w:space="0" w:color="auto"/>
        <w:right w:val="none" w:sz="0" w:space="0" w:color="auto"/>
      </w:divBdr>
    </w:div>
    <w:div w:id="1042053400">
      <w:bodyDiv w:val="1"/>
      <w:marLeft w:val="0"/>
      <w:marRight w:val="0"/>
      <w:marTop w:val="0"/>
      <w:marBottom w:val="0"/>
      <w:divBdr>
        <w:top w:val="none" w:sz="0" w:space="0" w:color="auto"/>
        <w:left w:val="none" w:sz="0" w:space="0" w:color="auto"/>
        <w:bottom w:val="none" w:sz="0" w:space="0" w:color="auto"/>
        <w:right w:val="none" w:sz="0" w:space="0" w:color="auto"/>
      </w:divBdr>
    </w:div>
    <w:div w:id="1076901018">
      <w:bodyDiv w:val="1"/>
      <w:marLeft w:val="0"/>
      <w:marRight w:val="0"/>
      <w:marTop w:val="0"/>
      <w:marBottom w:val="0"/>
      <w:divBdr>
        <w:top w:val="none" w:sz="0" w:space="0" w:color="auto"/>
        <w:left w:val="none" w:sz="0" w:space="0" w:color="auto"/>
        <w:bottom w:val="none" w:sz="0" w:space="0" w:color="auto"/>
        <w:right w:val="none" w:sz="0" w:space="0" w:color="auto"/>
      </w:divBdr>
    </w:div>
    <w:div w:id="1087308877">
      <w:bodyDiv w:val="1"/>
      <w:marLeft w:val="0"/>
      <w:marRight w:val="0"/>
      <w:marTop w:val="0"/>
      <w:marBottom w:val="0"/>
      <w:divBdr>
        <w:top w:val="none" w:sz="0" w:space="0" w:color="auto"/>
        <w:left w:val="none" w:sz="0" w:space="0" w:color="auto"/>
        <w:bottom w:val="none" w:sz="0" w:space="0" w:color="auto"/>
        <w:right w:val="none" w:sz="0" w:space="0" w:color="auto"/>
      </w:divBdr>
    </w:div>
    <w:div w:id="1104425402">
      <w:bodyDiv w:val="1"/>
      <w:marLeft w:val="0"/>
      <w:marRight w:val="0"/>
      <w:marTop w:val="0"/>
      <w:marBottom w:val="0"/>
      <w:divBdr>
        <w:top w:val="none" w:sz="0" w:space="0" w:color="auto"/>
        <w:left w:val="none" w:sz="0" w:space="0" w:color="auto"/>
        <w:bottom w:val="none" w:sz="0" w:space="0" w:color="auto"/>
        <w:right w:val="none" w:sz="0" w:space="0" w:color="auto"/>
      </w:divBdr>
    </w:div>
    <w:div w:id="1117717255">
      <w:bodyDiv w:val="1"/>
      <w:marLeft w:val="0"/>
      <w:marRight w:val="0"/>
      <w:marTop w:val="0"/>
      <w:marBottom w:val="0"/>
      <w:divBdr>
        <w:top w:val="none" w:sz="0" w:space="0" w:color="auto"/>
        <w:left w:val="none" w:sz="0" w:space="0" w:color="auto"/>
        <w:bottom w:val="none" w:sz="0" w:space="0" w:color="auto"/>
        <w:right w:val="none" w:sz="0" w:space="0" w:color="auto"/>
      </w:divBdr>
    </w:div>
    <w:div w:id="1157111147">
      <w:bodyDiv w:val="1"/>
      <w:marLeft w:val="0"/>
      <w:marRight w:val="0"/>
      <w:marTop w:val="0"/>
      <w:marBottom w:val="0"/>
      <w:divBdr>
        <w:top w:val="none" w:sz="0" w:space="0" w:color="auto"/>
        <w:left w:val="none" w:sz="0" w:space="0" w:color="auto"/>
        <w:bottom w:val="none" w:sz="0" w:space="0" w:color="auto"/>
        <w:right w:val="none" w:sz="0" w:space="0" w:color="auto"/>
      </w:divBdr>
    </w:div>
    <w:div w:id="1185049476">
      <w:bodyDiv w:val="1"/>
      <w:marLeft w:val="0"/>
      <w:marRight w:val="0"/>
      <w:marTop w:val="0"/>
      <w:marBottom w:val="0"/>
      <w:divBdr>
        <w:top w:val="none" w:sz="0" w:space="0" w:color="auto"/>
        <w:left w:val="none" w:sz="0" w:space="0" w:color="auto"/>
        <w:bottom w:val="none" w:sz="0" w:space="0" w:color="auto"/>
        <w:right w:val="none" w:sz="0" w:space="0" w:color="auto"/>
      </w:divBdr>
    </w:div>
    <w:div w:id="1194271121">
      <w:bodyDiv w:val="1"/>
      <w:marLeft w:val="0"/>
      <w:marRight w:val="0"/>
      <w:marTop w:val="0"/>
      <w:marBottom w:val="0"/>
      <w:divBdr>
        <w:top w:val="none" w:sz="0" w:space="0" w:color="auto"/>
        <w:left w:val="none" w:sz="0" w:space="0" w:color="auto"/>
        <w:bottom w:val="none" w:sz="0" w:space="0" w:color="auto"/>
        <w:right w:val="none" w:sz="0" w:space="0" w:color="auto"/>
      </w:divBdr>
    </w:div>
    <w:div w:id="1213538434">
      <w:bodyDiv w:val="1"/>
      <w:marLeft w:val="0"/>
      <w:marRight w:val="0"/>
      <w:marTop w:val="0"/>
      <w:marBottom w:val="0"/>
      <w:divBdr>
        <w:top w:val="none" w:sz="0" w:space="0" w:color="auto"/>
        <w:left w:val="none" w:sz="0" w:space="0" w:color="auto"/>
        <w:bottom w:val="none" w:sz="0" w:space="0" w:color="auto"/>
        <w:right w:val="none" w:sz="0" w:space="0" w:color="auto"/>
      </w:divBdr>
    </w:div>
    <w:div w:id="1232153580">
      <w:bodyDiv w:val="1"/>
      <w:marLeft w:val="0"/>
      <w:marRight w:val="0"/>
      <w:marTop w:val="0"/>
      <w:marBottom w:val="0"/>
      <w:divBdr>
        <w:top w:val="none" w:sz="0" w:space="0" w:color="auto"/>
        <w:left w:val="none" w:sz="0" w:space="0" w:color="auto"/>
        <w:bottom w:val="none" w:sz="0" w:space="0" w:color="auto"/>
        <w:right w:val="none" w:sz="0" w:space="0" w:color="auto"/>
      </w:divBdr>
    </w:div>
    <w:div w:id="1266886203">
      <w:bodyDiv w:val="1"/>
      <w:marLeft w:val="0"/>
      <w:marRight w:val="0"/>
      <w:marTop w:val="0"/>
      <w:marBottom w:val="0"/>
      <w:divBdr>
        <w:top w:val="none" w:sz="0" w:space="0" w:color="auto"/>
        <w:left w:val="none" w:sz="0" w:space="0" w:color="auto"/>
        <w:bottom w:val="none" w:sz="0" w:space="0" w:color="auto"/>
        <w:right w:val="none" w:sz="0" w:space="0" w:color="auto"/>
      </w:divBdr>
    </w:div>
    <w:div w:id="1273170531">
      <w:bodyDiv w:val="1"/>
      <w:marLeft w:val="0"/>
      <w:marRight w:val="0"/>
      <w:marTop w:val="0"/>
      <w:marBottom w:val="0"/>
      <w:divBdr>
        <w:top w:val="none" w:sz="0" w:space="0" w:color="auto"/>
        <w:left w:val="none" w:sz="0" w:space="0" w:color="auto"/>
        <w:bottom w:val="none" w:sz="0" w:space="0" w:color="auto"/>
        <w:right w:val="none" w:sz="0" w:space="0" w:color="auto"/>
      </w:divBdr>
    </w:div>
    <w:div w:id="1296525435">
      <w:bodyDiv w:val="1"/>
      <w:marLeft w:val="0"/>
      <w:marRight w:val="0"/>
      <w:marTop w:val="0"/>
      <w:marBottom w:val="0"/>
      <w:divBdr>
        <w:top w:val="none" w:sz="0" w:space="0" w:color="auto"/>
        <w:left w:val="none" w:sz="0" w:space="0" w:color="auto"/>
        <w:bottom w:val="none" w:sz="0" w:space="0" w:color="auto"/>
        <w:right w:val="none" w:sz="0" w:space="0" w:color="auto"/>
      </w:divBdr>
    </w:div>
    <w:div w:id="1317412904">
      <w:bodyDiv w:val="1"/>
      <w:marLeft w:val="0"/>
      <w:marRight w:val="0"/>
      <w:marTop w:val="0"/>
      <w:marBottom w:val="0"/>
      <w:divBdr>
        <w:top w:val="none" w:sz="0" w:space="0" w:color="auto"/>
        <w:left w:val="none" w:sz="0" w:space="0" w:color="auto"/>
        <w:bottom w:val="none" w:sz="0" w:space="0" w:color="auto"/>
        <w:right w:val="none" w:sz="0" w:space="0" w:color="auto"/>
      </w:divBdr>
    </w:div>
    <w:div w:id="1320499178">
      <w:bodyDiv w:val="1"/>
      <w:marLeft w:val="0"/>
      <w:marRight w:val="0"/>
      <w:marTop w:val="0"/>
      <w:marBottom w:val="0"/>
      <w:divBdr>
        <w:top w:val="none" w:sz="0" w:space="0" w:color="auto"/>
        <w:left w:val="none" w:sz="0" w:space="0" w:color="auto"/>
        <w:bottom w:val="none" w:sz="0" w:space="0" w:color="auto"/>
        <w:right w:val="none" w:sz="0" w:space="0" w:color="auto"/>
      </w:divBdr>
    </w:div>
    <w:div w:id="1328748049">
      <w:bodyDiv w:val="1"/>
      <w:marLeft w:val="0"/>
      <w:marRight w:val="0"/>
      <w:marTop w:val="0"/>
      <w:marBottom w:val="0"/>
      <w:divBdr>
        <w:top w:val="none" w:sz="0" w:space="0" w:color="auto"/>
        <w:left w:val="none" w:sz="0" w:space="0" w:color="auto"/>
        <w:bottom w:val="none" w:sz="0" w:space="0" w:color="auto"/>
        <w:right w:val="none" w:sz="0" w:space="0" w:color="auto"/>
      </w:divBdr>
    </w:div>
    <w:div w:id="1346640200">
      <w:bodyDiv w:val="1"/>
      <w:marLeft w:val="0"/>
      <w:marRight w:val="0"/>
      <w:marTop w:val="0"/>
      <w:marBottom w:val="0"/>
      <w:divBdr>
        <w:top w:val="none" w:sz="0" w:space="0" w:color="auto"/>
        <w:left w:val="none" w:sz="0" w:space="0" w:color="auto"/>
        <w:bottom w:val="none" w:sz="0" w:space="0" w:color="auto"/>
        <w:right w:val="none" w:sz="0" w:space="0" w:color="auto"/>
      </w:divBdr>
    </w:div>
    <w:div w:id="1353338520">
      <w:bodyDiv w:val="1"/>
      <w:marLeft w:val="0"/>
      <w:marRight w:val="0"/>
      <w:marTop w:val="0"/>
      <w:marBottom w:val="0"/>
      <w:divBdr>
        <w:top w:val="none" w:sz="0" w:space="0" w:color="auto"/>
        <w:left w:val="none" w:sz="0" w:space="0" w:color="auto"/>
        <w:bottom w:val="none" w:sz="0" w:space="0" w:color="auto"/>
        <w:right w:val="none" w:sz="0" w:space="0" w:color="auto"/>
      </w:divBdr>
    </w:div>
    <w:div w:id="1362898712">
      <w:bodyDiv w:val="1"/>
      <w:marLeft w:val="0"/>
      <w:marRight w:val="0"/>
      <w:marTop w:val="0"/>
      <w:marBottom w:val="0"/>
      <w:divBdr>
        <w:top w:val="none" w:sz="0" w:space="0" w:color="auto"/>
        <w:left w:val="none" w:sz="0" w:space="0" w:color="auto"/>
        <w:bottom w:val="none" w:sz="0" w:space="0" w:color="auto"/>
        <w:right w:val="none" w:sz="0" w:space="0" w:color="auto"/>
      </w:divBdr>
    </w:div>
    <w:div w:id="1419981448">
      <w:bodyDiv w:val="1"/>
      <w:marLeft w:val="0"/>
      <w:marRight w:val="0"/>
      <w:marTop w:val="0"/>
      <w:marBottom w:val="0"/>
      <w:divBdr>
        <w:top w:val="none" w:sz="0" w:space="0" w:color="auto"/>
        <w:left w:val="none" w:sz="0" w:space="0" w:color="auto"/>
        <w:bottom w:val="none" w:sz="0" w:space="0" w:color="auto"/>
        <w:right w:val="none" w:sz="0" w:space="0" w:color="auto"/>
      </w:divBdr>
    </w:div>
    <w:div w:id="1456438449">
      <w:bodyDiv w:val="1"/>
      <w:marLeft w:val="0"/>
      <w:marRight w:val="0"/>
      <w:marTop w:val="0"/>
      <w:marBottom w:val="0"/>
      <w:divBdr>
        <w:top w:val="none" w:sz="0" w:space="0" w:color="auto"/>
        <w:left w:val="none" w:sz="0" w:space="0" w:color="auto"/>
        <w:bottom w:val="none" w:sz="0" w:space="0" w:color="auto"/>
        <w:right w:val="none" w:sz="0" w:space="0" w:color="auto"/>
      </w:divBdr>
    </w:div>
    <w:div w:id="1462764983">
      <w:bodyDiv w:val="1"/>
      <w:marLeft w:val="0"/>
      <w:marRight w:val="0"/>
      <w:marTop w:val="0"/>
      <w:marBottom w:val="0"/>
      <w:divBdr>
        <w:top w:val="none" w:sz="0" w:space="0" w:color="auto"/>
        <w:left w:val="none" w:sz="0" w:space="0" w:color="auto"/>
        <w:bottom w:val="none" w:sz="0" w:space="0" w:color="auto"/>
        <w:right w:val="none" w:sz="0" w:space="0" w:color="auto"/>
      </w:divBdr>
    </w:div>
    <w:div w:id="1481968652">
      <w:bodyDiv w:val="1"/>
      <w:marLeft w:val="0"/>
      <w:marRight w:val="0"/>
      <w:marTop w:val="0"/>
      <w:marBottom w:val="0"/>
      <w:divBdr>
        <w:top w:val="none" w:sz="0" w:space="0" w:color="auto"/>
        <w:left w:val="none" w:sz="0" w:space="0" w:color="auto"/>
        <w:bottom w:val="none" w:sz="0" w:space="0" w:color="auto"/>
        <w:right w:val="none" w:sz="0" w:space="0" w:color="auto"/>
      </w:divBdr>
    </w:div>
    <w:div w:id="1502508802">
      <w:bodyDiv w:val="1"/>
      <w:marLeft w:val="0"/>
      <w:marRight w:val="0"/>
      <w:marTop w:val="0"/>
      <w:marBottom w:val="0"/>
      <w:divBdr>
        <w:top w:val="none" w:sz="0" w:space="0" w:color="auto"/>
        <w:left w:val="none" w:sz="0" w:space="0" w:color="auto"/>
        <w:bottom w:val="none" w:sz="0" w:space="0" w:color="auto"/>
        <w:right w:val="none" w:sz="0" w:space="0" w:color="auto"/>
      </w:divBdr>
    </w:div>
    <w:div w:id="1530871036">
      <w:bodyDiv w:val="1"/>
      <w:marLeft w:val="0"/>
      <w:marRight w:val="0"/>
      <w:marTop w:val="0"/>
      <w:marBottom w:val="0"/>
      <w:divBdr>
        <w:top w:val="none" w:sz="0" w:space="0" w:color="auto"/>
        <w:left w:val="none" w:sz="0" w:space="0" w:color="auto"/>
        <w:bottom w:val="none" w:sz="0" w:space="0" w:color="auto"/>
        <w:right w:val="none" w:sz="0" w:space="0" w:color="auto"/>
      </w:divBdr>
    </w:div>
    <w:div w:id="1532448978">
      <w:bodyDiv w:val="1"/>
      <w:marLeft w:val="0"/>
      <w:marRight w:val="0"/>
      <w:marTop w:val="0"/>
      <w:marBottom w:val="0"/>
      <w:divBdr>
        <w:top w:val="none" w:sz="0" w:space="0" w:color="auto"/>
        <w:left w:val="none" w:sz="0" w:space="0" w:color="auto"/>
        <w:bottom w:val="none" w:sz="0" w:space="0" w:color="auto"/>
        <w:right w:val="none" w:sz="0" w:space="0" w:color="auto"/>
      </w:divBdr>
    </w:div>
    <w:div w:id="1562405011">
      <w:bodyDiv w:val="1"/>
      <w:marLeft w:val="0"/>
      <w:marRight w:val="0"/>
      <w:marTop w:val="0"/>
      <w:marBottom w:val="0"/>
      <w:divBdr>
        <w:top w:val="none" w:sz="0" w:space="0" w:color="auto"/>
        <w:left w:val="none" w:sz="0" w:space="0" w:color="auto"/>
        <w:bottom w:val="none" w:sz="0" w:space="0" w:color="auto"/>
        <w:right w:val="none" w:sz="0" w:space="0" w:color="auto"/>
      </w:divBdr>
    </w:div>
    <w:div w:id="1580479307">
      <w:bodyDiv w:val="1"/>
      <w:marLeft w:val="0"/>
      <w:marRight w:val="0"/>
      <w:marTop w:val="0"/>
      <w:marBottom w:val="0"/>
      <w:divBdr>
        <w:top w:val="none" w:sz="0" w:space="0" w:color="auto"/>
        <w:left w:val="none" w:sz="0" w:space="0" w:color="auto"/>
        <w:bottom w:val="none" w:sz="0" w:space="0" w:color="auto"/>
        <w:right w:val="none" w:sz="0" w:space="0" w:color="auto"/>
      </w:divBdr>
    </w:div>
    <w:div w:id="1601448660">
      <w:bodyDiv w:val="1"/>
      <w:marLeft w:val="0"/>
      <w:marRight w:val="0"/>
      <w:marTop w:val="0"/>
      <w:marBottom w:val="0"/>
      <w:divBdr>
        <w:top w:val="none" w:sz="0" w:space="0" w:color="auto"/>
        <w:left w:val="none" w:sz="0" w:space="0" w:color="auto"/>
        <w:bottom w:val="none" w:sz="0" w:space="0" w:color="auto"/>
        <w:right w:val="none" w:sz="0" w:space="0" w:color="auto"/>
      </w:divBdr>
    </w:div>
    <w:div w:id="1608729181">
      <w:bodyDiv w:val="1"/>
      <w:marLeft w:val="0"/>
      <w:marRight w:val="0"/>
      <w:marTop w:val="0"/>
      <w:marBottom w:val="0"/>
      <w:divBdr>
        <w:top w:val="none" w:sz="0" w:space="0" w:color="auto"/>
        <w:left w:val="none" w:sz="0" w:space="0" w:color="auto"/>
        <w:bottom w:val="none" w:sz="0" w:space="0" w:color="auto"/>
        <w:right w:val="none" w:sz="0" w:space="0" w:color="auto"/>
      </w:divBdr>
    </w:div>
    <w:div w:id="1610314361">
      <w:bodyDiv w:val="1"/>
      <w:marLeft w:val="0"/>
      <w:marRight w:val="0"/>
      <w:marTop w:val="0"/>
      <w:marBottom w:val="0"/>
      <w:divBdr>
        <w:top w:val="none" w:sz="0" w:space="0" w:color="auto"/>
        <w:left w:val="none" w:sz="0" w:space="0" w:color="auto"/>
        <w:bottom w:val="none" w:sz="0" w:space="0" w:color="auto"/>
        <w:right w:val="none" w:sz="0" w:space="0" w:color="auto"/>
      </w:divBdr>
    </w:div>
    <w:div w:id="1629583656">
      <w:bodyDiv w:val="1"/>
      <w:marLeft w:val="0"/>
      <w:marRight w:val="0"/>
      <w:marTop w:val="0"/>
      <w:marBottom w:val="0"/>
      <w:divBdr>
        <w:top w:val="none" w:sz="0" w:space="0" w:color="auto"/>
        <w:left w:val="none" w:sz="0" w:space="0" w:color="auto"/>
        <w:bottom w:val="none" w:sz="0" w:space="0" w:color="auto"/>
        <w:right w:val="none" w:sz="0" w:space="0" w:color="auto"/>
      </w:divBdr>
    </w:div>
    <w:div w:id="1640572146">
      <w:bodyDiv w:val="1"/>
      <w:marLeft w:val="0"/>
      <w:marRight w:val="0"/>
      <w:marTop w:val="0"/>
      <w:marBottom w:val="0"/>
      <w:divBdr>
        <w:top w:val="none" w:sz="0" w:space="0" w:color="auto"/>
        <w:left w:val="none" w:sz="0" w:space="0" w:color="auto"/>
        <w:bottom w:val="none" w:sz="0" w:space="0" w:color="auto"/>
        <w:right w:val="none" w:sz="0" w:space="0" w:color="auto"/>
      </w:divBdr>
    </w:div>
    <w:div w:id="1642079982">
      <w:bodyDiv w:val="1"/>
      <w:marLeft w:val="0"/>
      <w:marRight w:val="0"/>
      <w:marTop w:val="0"/>
      <w:marBottom w:val="0"/>
      <w:divBdr>
        <w:top w:val="none" w:sz="0" w:space="0" w:color="auto"/>
        <w:left w:val="none" w:sz="0" w:space="0" w:color="auto"/>
        <w:bottom w:val="none" w:sz="0" w:space="0" w:color="auto"/>
        <w:right w:val="none" w:sz="0" w:space="0" w:color="auto"/>
      </w:divBdr>
    </w:div>
    <w:div w:id="1658339982">
      <w:bodyDiv w:val="1"/>
      <w:marLeft w:val="0"/>
      <w:marRight w:val="0"/>
      <w:marTop w:val="0"/>
      <w:marBottom w:val="0"/>
      <w:divBdr>
        <w:top w:val="none" w:sz="0" w:space="0" w:color="auto"/>
        <w:left w:val="none" w:sz="0" w:space="0" w:color="auto"/>
        <w:bottom w:val="none" w:sz="0" w:space="0" w:color="auto"/>
        <w:right w:val="none" w:sz="0" w:space="0" w:color="auto"/>
      </w:divBdr>
    </w:div>
    <w:div w:id="1691564291">
      <w:bodyDiv w:val="1"/>
      <w:marLeft w:val="0"/>
      <w:marRight w:val="0"/>
      <w:marTop w:val="0"/>
      <w:marBottom w:val="0"/>
      <w:divBdr>
        <w:top w:val="none" w:sz="0" w:space="0" w:color="auto"/>
        <w:left w:val="none" w:sz="0" w:space="0" w:color="auto"/>
        <w:bottom w:val="none" w:sz="0" w:space="0" w:color="auto"/>
        <w:right w:val="none" w:sz="0" w:space="0" w:color="auto"/>
      </w:divBdr>
    </w:div>
    <w:div w:id="1697729446">
      <w:bodyDiv w:val="1"/>
      <w:marLeft w:val="0"/>
      <w:marRight w:val="0"/>
      <w:marTop w:val="0"/>
      <w:marBottom w:val="0"/>
      <w:divBdr>
        <w:top w:val="none" w:sz="0" w:space="0" w:color="auto"/>
        <w:left w:val="none" w:sz="0" w:space="0" w:color="auto"/>
        <w:bottom w:val="none" w:sz="0" w:space="0" w:color="auto"/>
        <w:right w:val="none" w:sz="0" w:space="0" w:color="auto"/>
      </w:divBdr>
    </w:div>
    <w:div w:id="1700159530">
      <w:bodyDiv w:val="1"/>
      <w:marLeft w:val="0"/>
      <w:marRight w:val="0"/>
      <w:marTop w:val="0"/>
      <w:marBottom w:val="0"/>
      <w:divBdr>
        <w:top w:val="none" w:sz="0" w:space="0" w:color="auto"/>
        <w:left w:val="none" w:sz="0" w:space="0" w:color="auto"/>
        <w:bottom w:val="none" w:sz="0" w:space="0" w:color="auto"/>
        <w:right w:val="none" w:sz="0" w:space="0" w:color="auto"/>
      </w:divBdr>
    </w:div>
    <w:div w:id="1705640340">
      <w:bodyDiv w:val="1"/>
      <w:marLeft w:val="0"/>
      <w:marRight w:val="0"/>
      <w:marTop w:val="0"/>
      <w:marBottom w:val="0"/>
      <w:divBdr>
        <w:top w:val="none" w:sz="0" w:space="0" w:color="auto"/>
        <w:left w:val="none" w:sz="0" w:space="0" w:color="auto"/>
        <w:bottom w:val="none" w:sz="0" w:space="0" w:color="auto"/>
        <w:right w:val="none" w:sz="0" w:space="0" w:color="auto"/>
      </w:divBdr>
    </w:div>
    <w:div w:id="1737241307">
      <w:bodyDiv w:val="1"/>
      <w:marLeft w:val="0"/>
      <w:marRight w:val="0"/>
      <w:marTop w:val="0"/>
      <w:marBottom w:val="0"/>
      <w:divBdr>
        <w:top w:val="none" w:sz="0" w:space="0" w:color="auto"/>
        <w:left w:val="none" w:sz="0" w:space="0" w:color="auto"/>
        <w:bottom w:val="none" w:sz="0" w:space="0" w:color="auto"/>
        <w:right w:val="none" w:sz="0" w:space="0" w:color="auto"/>
      </w:divBdr>
    </w:div>
    <w:div w:id="1758557555">
      <w:bodyDiv w:val="1"/>
      <w:marLeft w:val="0"/>
      <w:marRight w:val="0"/>
      <w:marTop w:val="0"/>
      <w:marBottom w:val="0"/>
      <w:divBdr>
        <w:top w:val="none" w:sz="0" w:space="0" w:color="auto"/>
        <w:left w:val="none" w:sz="0" w:space="0" w:color="auto"/>
        <w:bottom w:val="none" w:sz="0" w:space="0" w:color="auto"/>
        <w:right w:val="none" w:sz="0" w:space="0" w:color="auto"/>
      </w:divBdr>
    </w:div>
    <w:div w:id="1764688369">
      <w:bodyDiv w:val="1"/>
      <w:marLeft w:val="0"/>
      <w:marRight w:val="0"/>
      <w:marTop w:val="0"/>
      <w:marBottom w:val="0"/>
      <w:divBdr>
        <w:top w:val="none" w:sz="0" w:space="0" w:color="auto"/>
        <w:left w:val="none" w:sz="0" w:space="0" w:color="auto"/>
        <w:bottom w:val="none" w:sz="0" w:space="0" w:color="auto"/>
        <w:right w:val="none" w:sz="0" w:space="0" w:color="auto"/>
      </w:divBdr>
    </w:div>
    <w:div w:id="1764689157">
      <w:bodyDiv w:val="1"/>
      <w:marLeft w:val="0"/>
      <w:marRight w:val="0"/>
      <w:marTop w:val="0"/>
      <w:marBottom w:val="0"/>
      <w:divBdr>
        <w:top w:val="none" w:sz="0" w:space="0" w:color="auto"/>
        <w:left w:val="none" w:sz="0" w:space="0" w:color="auto"/>
        <w:bottom w:val="none" w:sz="0" w:space="0" w:color="auto"/>
        <w:right w:val="none" w:sz="0" w:space="0" w:color="auto"/>
      </w:divBdr>
    </w:div>
    <w:div w:id="1780446918">
      <w:bodyDiv w:val="1"/>
      <w:marLeft w:val="0"/>
      <w:marRight w:val="0"/>
      <w:marTop w:val="0"/>
      <w:marBottom w:val="0"/>
      <w:divBdr>
        <w:top w:val="none" w:sz="0" w:space="0" w:color="auto"/>
        <w:left w:val="none" w:sz="0" w:space="0" w:color="auto"/>
        <w:bottom w:val="none" w:sz="0" w:space="0" w:color="auto"/>
        <w:right w:val="none" w:sz="0" w:space="0" w:color="auto"/>
      </w:divBdr>
    </w:div>
    <w:div w:id="1793742802">
      <w:bodyDiv w:val="1"/>
      <w:marLeft w:val="0"/>
      <w:marRight w:val="0"/>
      <w:marTop w:val="0"/>
      <w:marBottom w:val="0"/>
      <w:divBdr>
        <w:top w:val="none" w:sz="0" w:space="0" w:color="auto"/>
        <w:left w:val="none" w:sz="0" w:space="0" w:color="auto"/>
        <w:bottom w:val="none" w:sz="0" w:space="0" w:color="auto"/>
        <w:right w:val="none" w:sz="0" w:space="0" w:color="auto"/>
      </w:divBdr>
    </w:div>
    <w:div w:id="1814173520">
      <w:bodyDiv w:val="1"/>
      <w:marLeft w:val="0"/>
      <w:marRight w:val="0"/>
      <w:marTop w:val="0"/>
      <w:marBottom w:val="0"/>
      <w:divBdr>
        <w:top w:val="none" w:sz="0" w:space="0" w:color="auto"/>
        <w:left w:val="none" w:sz="0" w:space="0" w:color="auto"/>
        <w:bottom w:val="none" w:sz="0" w:space="0" w:color="auto"/>
        <w:right w:val="none" w:sz="0" w:space="0" w:color="auto"/>
      </w:divBdr>
    </w:div>
    <w:div w:id="1829788659">
      <w:bodyDiv w:val="1"/>
      <w:marLeft w:val="0"/>
      <w:marRight w:val="0"/>
      <w:marTop w:val="0"/>
      <w:marBottom w:val="0"/>
      <w:divBdr>
        <w:top w:val="none" w:sz="0" w:space="0" w:color="auto"/>
        <w:left w:val="none" w:sz="0" w:space="0" w:color="auto"/>
        <w:bottom w:val="none" w:sz="0" w:space="0" w:color="auto"/>
        <w:right w:val="none" w:sz="0" w:space="0" w:color="auto"/>
      </w:divBdr>
    </w:div>
    <w:div w:id="1868516909">
      <w:bodyDiv w:val="1"/>
      <w:marLeft w:val="0"/>
      <w:marRight w:val="0"/>
      <w:marTop w:val="0"/>
      <w:marBottom w:val="0"/>
      <w:divBdr>
        <w:top w:val="none" w:sz="0" w:space="0" w:color="auto"/>
        <w:left w:val="none" w:sz="0" w:space="0" w:color="auto"/>
        <w:bottom w:val="none" w:sz="0" w:space="0" w:color="auto"/>
        <w:right w:val="none" w:sz="0" w:space="0" w:color="auto"/>
      </w:divBdr>
    </w:div>
    <w:div w:id="1870296139">
      <w:bodyDiv w:val="1"/>
      <w:marLeft w:val="0"/>
      <w:marRight w:val="0"/>
      <w:marTop w:val="0"/>
      <w:marBottom w:val="0"/>
      <w:divBdr>
        <w:top w:val="none" w:sz="0" w:space="0" w:color="auto"/>
        <w:left w:val="none" w:sz="0" w:space="0" w:color="auto"/>
        <w:bottom w:val="none" w:sz="0" w:space="0" w:color="auto"/>
        <w:right w:val="none" w:sz="0" w:space="0" w:color="auto"/>
      </w:divBdr>
    </w:div>
    <w:div w:id="1880822138">
      <w:bodyDiv w:val="1"/>
      <w:marLeft w:val="0"/>
      <w:marRight w:val="0"/>
      <w:marTop w:val="0"/>
      <w:marBottom w:val="0"/>
      <w:divBdr>
        <w:top w:val="none" w:sz="0" w:space="0" w:color="auto"/>
        <w:left w:val="none" w:sz="0" w:space="0" w:color="auto"/>
        <w:bottom w:val="none" w:sz="0" w:space="0" w:color="auto"/>
        <w:right w:val="none" w:sz="0" w:space="0" w:color="auto"/>
      </w:divBdr>
    </w:div>
    <w:div w:id="1892958235">
      <w:bodyDiv w:val="1"/>
      <w:marLeft w:val="0"/>
      <w:marRight w:val="0"/>
      <w:marTop w:val="0"/>
      <w:marBottom w:val="0"/>
      <w:divBdr>
        <w:top w:val="none" w:sz="0" w:space="0" w:color="auto"/>
        <w:left w:val="none" w:sz="0" w:space="0" w:color="auto"/>
        <w:bottom w:val="none" w:sz="0" w:space="0" w:color="auto"/>
        <w:right w:val="none" w:sz="0" w:space="0" w:color="auto"/>
      </w:divBdr>
    </w:div>
    <w:div w:id="1930038072">
      <w:bodyDiv w:val="1"/>
      <w:marLeft w:val="0"/>
      <w:marRight w:val="0"/>
      <w:marTop w:val="0"/>
      <w:marBottom w:val="0"/>
      <w:divBdr>
        <w:top w:val="none" w:sz="0" w:space="0" w:color="auto"/>
        <w:left w:val="none" w:sz="0" w:space="0" w:color="auto"/>
        <w:bottom w:val="none" w:sz="0" w:space="0" w:color="auto"/>
        <w:right w:val="none" w:sz="0" w:space="0" w:color="auto"/>
      </w:divBdr>
    </w:div>
    <w:div w:id="1944260280">
      <w:bodyDiv w:val="1"/>
      <w:marLeft w:val="0"/>
      <w:marRight w:val="0"/>
      <w:marTop w:val="0"/>
      <w:marBottom w:val="0"/>
      <w:divBdr>
        <w:top w:val="none" w:sz="0" w:space="0" w:color="auto"/>
        <w:left w:val="none" w:sz="0" w:space="0" w:color="auto"/>
        <w:bottom w:val="none" w:sz="0" w:space="0" w:color="auto"/>
        <w:right w:val="none" w:sz="0" w:space="0" w:color="auto"/>
      </w:divBdr>
    </w:div>
    <w:div w:id="1945916353">
      <w:bodyDiv w:val="1"/>
      <w:marLeft w:val="0"/>
      <w:marRight w:val="0"/>
      <w:marTop w:val="0"/>
      <w:marBottom w:val="0"/>
      <w:divBdr>
        <w:top w:val="none" w:sz="0" w:space="0" w:color="auto"/>
        <w:left w:val="none" w:sz="0" w:space="0" w:color="auto"/>
        <w:bottom w:val="none" w:sz="0" w:space="0" w:color="auto"/>
        <w:right w:val="none" w:sz="0" w:space="0" w:color="auto"/>
      </w:divBdr>
    </w:div>
    <w:div w:id="1949696923">
      <w:bodyDiv w:val="1"/>
      <w:marLeft w:val="0"/>
      <w:marRight w:val="0"/>
      <w:marTop w:val="0"/>
      <w:marBottom w:val="0"/>
      <w:divBdr>
        <w:top w:val="none" w:sz="0" w:space="0" w:color="auto"/>
        <w:left w:val="none" w:sz="0" w:space="0" w:color="auto"/>
        <w:bottom w:val="none" w:sz="0" w:space="0" w:color="auto"/>
        <w:right w:val="none" w:sz="0" w:space="0" w:color="auto"/>
      </w:divBdr>
    </w:div>
    <w:div w:id="1954358277">
      <w:bodyDiv w:val="1"/>
      <w:marLeft w:val="0"/>
      <w:marRight w:val="0"/>
      <w:marTop w:val="0"/>
      <w:marBottom w:val="0"/>
      <w:divBdr>
        <w:top w:val="none" w:sz="0" w:space="0" w:color="auto"/>
        <w:left w:val="none" w:sz="0" w:space="0" w:color="auto"/>
        <w:bottom w:val="none" w:sz="0" w:space="0" w:color="auto"/>
        <w:right w:val="none" w:sz="0" w:space="0" w:color="auto"/>
      </w:divBdr>
    </w:div>
    <w:div w:id="1959137020">
      <w:bodyDiv w:val="1"/>
      <w:marLeft w:val="0"/>
      <w:marRight w:val="0"/>
      <w:marTop w:val="0"/>
      <w:marBottom w:val="0"/>
      <w:divBdr>
        <w:top w:val="none" w:sz="0" w:space="0" w:color="auto"/>
        <w:left w:val="none" w:sz="0" w:space="0" w:color="auto"/>
        <w:bottom w:val="none" w:sz="0" w:space="0" w:color="auto"/>
        <w:right w:val="none" w:sz="0" w:space="0" w:color="auto"/>
      </w:divBdr>
    </w:div>
    <w:div w:id="2041977411">
      <w:bodyDiv w:val="1"/>
      <w:marLeft w:val="0"/>
      <w:marRight w:val="0"/>
      <w:marTop w:val="0"/>
      <w:marBottom w:val="0"/>
      <w:divBdr>
        <w:top w:val="none" w:sz="0" w:space="0" w:color="auto"/>
        <w:left w:val="none" w:sz="0" w:space="0" w:color="auto"/>
        <w:bottom w:val="none" w:sz="0" w:space="0" w:color="auto"/>
        <w:right w:val="none" w:sz="0" w:space="0" w:color="auto"/>
      </w:divBdr>
    </w:div>
    <w:div w:id="2053381767">
      <w:bodyDiv w:val="1"/>
      <w:marLeft w:val="0"/>
      <w:marRight w:val="0"/>
      <w:marTop w:val="0"/>
      <w:marBottom w:val="0"/>
      <w:divBdr>
        <w:top w:val="none" w:sz="0" w:space="0" w:color="auto"/>
        <w:left w:val="none" w:sz="0" w:space="0" w:color="auto"/>
        <w:bottom w:val="none" w:sz="0" w:space="0" w:color="auto"/>
        <w:right w:val="none" w:sz="0" w:space="0" w:color="auto"/>
      </w:divBdr>
    </w:div>
    <w:div w:id="2090541389">
      <w:bodyDiv w:val="1"/>
      <w:marLeft w:val="0"/>
      <w:marRight w:val="0"/>
      <w:marTop w:val="0"/>
      <w:marBottom w:val="0"/>
      <w:divBdr>
        <w:top w:val="none" w:sz="0" w:space="0" w:color="auto"/>
        <w:left w:val="none" w:sz="0" w:space="0" w:color="auto"/>
        <w:bottom w:val="none" w:sz="0" w:space="0" w:color="auto"/>
        <w:right w:val="none" w:sz="0" w:space="0" w:color="auto"/>
      </w:divBdr>
    </w:div>
    <w:div w:id="2102482190">
      <w:bodyDiv w:val="1"/>
      <w:marLeft w:val="0"/>
      <w:marRight w:val="0"/>
      <w:marTop w:val="0"/>
      <w:marBottom w:val="0"/>
      <w:divBdr>
        <w:top w:val="none" w:sz="0" w:space="0" w:color="auto"/>
        <w:left w:val="none" w:sz="0" w:space="0" w:color="auto"/>
        <w:bottom w:val="none" w:sz="0" w:space="0" w:color="auto"/>
        <w:right w:val="none" w:sz="0" w:space="0" w:color="auto"/>
      </w:divBdr>
    </w:div>
    <w:div w:id="2128964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2017-11-18T00:00:00</PublishDate>
  <Abstract/>
  <CompanyAddress>UWTSD PGCE (PCET)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NPT17</b:Tag>
    <b:SourceType>InternetSite</b:SourceType>
    <b:Guid>{9C5C3A93-1DB9-4600-9AF6-09233914AB0A}</b:Guid>
    <b:Title>Cross-cutting themes: creating a global leader</b:Title>
    <b:Year>2017</b:Year>
    <b:Author>
      <b:Author>
        <b:NameList>
          <b:Person>
            <b:Last>NPTCgroup</b:Last>
          </b:Person>
        </b:NameList>
      </b:Author>
    </b:Author>
    <b:YearAccessed>2017</b:YearAccessed>
    <b:MonthAccessed>November</b:MonthAccessed>
    <b:DayAccessed>3</b:DayAccessed>
    <b:URL>http://moodle.nptcgroup.ac.uk/course/view.php?id=2965</b:URL>
    <b:RefOrder>21</b:RefOrder>
  </b:Source>
  <b:Source>
    <b:Tag>Dix13</b:Tag>
    <b:SourceType>Report</b:SourceType>
    <b:Guid>{E23AD72F-6A0F-4BDE-8E8F-0FE2C9C9397E}</b:Guid>
    <b:Title>Vocational Training and Employability Skills in Prisons and Young Offenders Institutions</b:Title>
    <b:Year>2013</b:Year>
    <b:Publisher>NIACE</b:Publisher>
    <b:Author>
      <b:Author>
        <b:NameList>
          <b:Person>
            <b:Last>Dixon</b:Last>
            <b:First>A</b:First>
          </b:Person>
          <b:Person>
            <b:Last>Casey</b:Last>
            <b:First>L</b:First>
          </b:Person>
        </b:NameList>
      </b:Author>
    </b:Author>
    <b:RefOrder>22</b:RefOrder>
  </b:Source>
  <b:Source>
    <b:Tag>Lea16</b:Tag>
    <b:SourceType>Report</b:SourceType>
    <b:Guid>{3EABAAA6-6177-4FA3-98A7-A6DDF21EFED2}</b:Guid>
    <b:Author>
      <b:Author>
        <b:Corporate>Learning, Skills &amp; Innovation Partnership</b:Corporate>
      </b:Author>
    </b:Author>
    <b:Title>South East Wales Employment and Skills Plan 2016</b:Title>
    <b:Year>2016</b:Year>
    <b:Publisher>LSkIP</b:Publisher>
    <b:RefOrder>23</b:RefOrder>
  </b:Source>
  <b:Source>
    <b:Tag>IBE17</b:Tag>
    <b:SourceType>InternetSite</b:SourceType>
    <b:Guid>{19823544-BDF7-417E-8CFD-21E5B9FD95EF}</b:Guid>
    <b:Title>Cross-Cutting Themes</b:Title>
    <b:Year>2017</b:Year>
    <b:Author>
      <b:Author>
        <b:Corporate>IBE-UNESCO</b:Corporate>
      </b:Author>
    </b:Author>
    <b:YearAccessed>2017</b:YearAccessed>
    <b:MonthAccessed>November</b:MonthAccessed>
    <b:DayAccessed>3</b:DayAccessed>
    <b:URL>http://www.ibe.unesco.org/en/glossary-curriculum-terminology/c/cross-cutting-themes</b:URL>
    <b:RefOrder>2</b:RefOrder>
  </b:Source>
  <b:Source>
    <b:Tag>Wel17</b:Tag>
    <b:SourceType>InternetSite</b:SourceType>
    <b:Guid>{76AB7275-CF9A-4FDE-BBFB-01BF3CF07148}</b:Guid>
    <b:Author>
      <b:Author>
        <b:Corporate>Welsh Government</b:Corporate>
      </b:Author>
    </b:Author>
    <b:Title>Cross-Cutting Themes guidance</b:Title>
    <b:Year>2017</b:Year>
    <b:YearAccessed>2017</b:YearAccessed>
    <b:MonthAccessed>November</b:MonthAccessed>
    <b:DayAccessed>3</b:DayAccessed>
    <b:URL>http://gov.wales/funding/eu-funds/2014-2020/wefo-guidance/cross-cutting-guidance/?lang=en</b:URL>
    <b:RefOrder>3</b:RefOrder>
  </b:Source>
  <b:Source>
    <b:Tag>Ano16</b:Tag>
    <b:SourceType>JournalArticle</b:SourceType>
    <b:Guid>{5501A1A6-2733-4763-BB4C-D7A610D0AAA1}</b:Guid>
    <b:Author>
      <b:Author>
        <b:NameList>
          <b:Person>
            <b:Last>Anon</b:Last>
          </b:Person>
        </b:NameList>
      </b:Author>
    </b:Author>
    <b:Title>Becoming a better leader: how action learning fosters authenticity and mindfulness</b:Title>
    <b:Year>2016</b:Year>
    <b:JournalName>Development and Learning in Organizations</b:JournalName>
    <b:Pages>30-32</b:Pages>
    <b:Volume>30</b:Volume>
    <b:Issue>4</b:Issue>
    <b:RefOrder>8</b:RefOrder>
  </b:Source>
  <b:Source>
    <b:Tag>Das17</b:Tag>
    <b:SourceType>InternetSite</b:SourceType>
    <b:Guid>{7A9FF18B-E1C0-41CE-87EE-96F0C067BE13}</b:Guid>
    <b:Title>Does Mindfulness Training Have Business Benefits?</b:Title>
    <b:Year>2017</b:Year>
    <b:YearAccessed>2017</b:YearAccessed>
    <b:MonthAccessed>October</b:MonthAccessed>
    <b:DayAccessed>18</b:DayAccessed>
    <b:URL>https://www.shrm.org/hr-today/news/hr-magazine/0417/pages/does-mindfulness-training-have-business-benefits.aspx</b:URL>
    <b:Author>
      <b:Author>
        <b:NameList>
          <b:Person>
            <b:Last>Dasa</b:Last>
            <b:First>P</b:First>
          </b:Person>
          <b:Person>
            <b:Last>Brendel</b:Last>
            <b:First>D</b:First>
          </b:Person>
        </b:NameList>
      </b:Author>
    </b:Author>
    <b:RefOrder>24</b:RefOrder>
  </b:Source>
  <b:Source>
    <b:Tag>Hül13</b:Tag>
    <b:SourceType>JournalArticle</b:SourceType>
    <b:Guid>{9A50A200-D504-47DE-9128-9B2A7A4F0B82}</b:Guid>
    <b:Title>Benefits of mindfulness at work: The role of mindfulness in emotion regulation, emotional exhaustion, and job satisfaction</b:Title>
    <b:Year>2013</b:Year>
    <b:Author>
      <b:Author>
        <b:NameList>
          <b:Person>
            <b:Last>Hülsheger</b:Last>
            <b:First>U</b:First>
          </b:Person>
          <b:Person>
            <b:Last>Alberts</b:Last>
            <b:First>H</b:First>
          </b:Person>
          <b:Person>
            <b:Last>Feinholdt</b:Last>
            <b:First>A</b:First>
          </b:Person>
          <b:Person>
            <b:Last>Lang</b:Last>
            <b:First>J</b:First>
          </b:Person>
        </b:NameList>
      </b:Author>
    </b:Author>
    <b:JournalName>Journal Of Applied Psychology</b:JournalName>
    <b:Pages>310-325</b:Pages>
    <b:Volume>98</b:Volume>
    <b:Issue>2</b:Issue>
    <b:RefOrder>25</b:RefOrder>
  </b:Source>
  <b:Source>
    <b:Tag>Sch15</b:Tag>
    <b:SourceType>JournalArticle</b:SourceType>
    <b:Guid>{6A9C6467-4A72-46D7-B7D2-B78A28830AD1}</b:Guid>
    <b:Title>Enhancing Cognitive and Social–Emotional Development Through a Simple-to-Administer Mindfulness-Based School Program for Elementary School Children: A Randomized Controlled Trial</b:Title>
    <b:Year>2015</b:Year>
    <b:JournalName>Developmental Psychology</b:JournalName>
    <b:Pages>52-66</b:Pages>
    <b:Volume>51</b:Volume>
    <b:Issue>1</b:Issue>
    <b:Author>
      <b:Author>
        <b:NameList>
          <b:Person>
            <b:Last>Schonert-Reichl</b:Last>
            <b:Middle>A</b:Middle>
            <b:First>K</b:First>
          </b:Person>
          <b:Person>
            <b:Last>Oberle</b:Last>
            <b:First>E</b:First>
          </b:Person>
          <b:Person>
            <b:Last>Lawlor</b:Last>
            <b:Middle>S</b:Middle>
            <b:First>M</b:First>
          </b:Person>
          <b:Person>
            <b:Last>Abbott</b:Last>
            <b:First>D</b:First>
          </b:Person>
          <b:Person>
            <b:Last>Thomson</b:Last>
            <b:First>K</b:First>
          </b:Person>
          <b:Person>
            <b:Last>Oberlander</b:Last>
            <b:Middle>F</b:Middle>
            <b:First>T</b:First>
          </b:Person>
          <b:Person>
            <b:Last>Diamond</b:Last>
            <b:First>A</b:First>
          </b:Person>
        </b:NameList>
      </b:Author>
    </b:Author>
    <b:RefOrder>26</b:RefOrder>
  </b:Source>
  <b:Source>
    <b:Tag>Bro03</b:Tag>
    <b:SourceType>JournalArticle</b:SourceType>
    <b:Guid>{212F03EA-354F-4DB6-BA21-B4DA285F5BC1}</b:Guid>
    <b:Title>The benefits of being present: Mindfulness and its role in psychological well-being</b:Title>
    <b:JournalName>Journal of Personality and Social Psychology</b:JournalName>
    <b:Year>2003</b:Year>
    <b:Pages>822-848</b:Pages>
    <b:Volume>84</b:Volume>
    <b:Issue>4</b:Issue>
    <b:Author>
      <b:Author>
        <b:NameList>
          <b:Person>
            <b:Last>Brown</b:Last>
            <b:Middle>W</b:Middle>
            <b:First>K</b:First>
          </b:Person>
          <b:Person>
            <b:Last>Ryan</b:Last>
            <b:Middle>M</b:Middle>
            <b:First>R</b:First>
          </b:Person>
        </b:NameList>
      </b:Author>
    </b:Author>
    <b:RefOrder>27</b:RefOrder>
  </b:Source>
  <b:Source>
    <b:Tag>Spe13</b:Tag>
    <b:SourceType>JournalArticle</b:SourceType>
    <b:Guid>{8513E5BB-D443-4C06-8786-EFC30FD687E0}</b:Guid>
    <b:Title>Mindfulness-based therapy in adults with an autism spectrum disorder: A randomized controlled trial</b:Title>
    <b:JournalName>Research in Developmental Disabilities</b:JournalName>
    <b:Year>2013</b:Year>
    <b:Pages>246-253</b:Pages>
    <b:Volume>34</b:Volume>
    <b:Issue>1</b:Issue>
    <b:Author>
      <b:Author>
        <b:NameList>
          <b:Person>
            <b:Last>Spek</b:Last>
            <b:Middle>A</b:Middle>
            <b:First>A</b:First>
          </b:Person>
          <b:Person>
            <b:Last>van Ham</b:Last>
            <b:Middle>C</b:Middle>
            <b:First>N</b:First>
          </b:Person>
          <b:Person>
            <b:Last>Nyklíček</b:Last>
            <b:First>I</b:First>
          </b:Person>
        </b:NameList>
      </b:Author>
    </b:Author>
    <b:RefOrder>28</b:RefOrder>
  </b:Source>
  <b:Source>
    <b:Tag>Cac17</b:Tag>
    <b:SourceType>BookSection</b:SourceType>
    <b:Guid>{660D7869-8196-43F9-83C1-9D2DE8B85A47}</b:Guid>
    <b:Author>
      <b:Author>
        <b:NameList>
          <b:Person>
            <b:Last>Cachia</b:Last>
            <b:First>R,</b:First>
            <b:Middle>L</b:Middle>
          </b:Person>
        </b:NameList>
      </b:Author>
      <b:Editor>
        <b:NameList>
          <b:Person>
            <b:Last>Fiztgerald</b:Last>
            <b:First>M.</b:First>
          </b:Person>
          <b:Person>
            <b:Last>Yip</b:Last>
            <b:First>J.</b:First>
          </b:Person>
        </b:NameList>
      </b:Editor>
    </b:Author>
    <b:Title>Mindfulness and Autism Spectrum Disorder</b:Title>
    <b:Year>2017</b:Year>
    <b:Pages>Chapter 12</b:Pages>
    <b:BookTitle>Autism - Paradigms, Recent Research and Clinical Applications</b:BookTitle>
    <b:Publisher>InTechOpen</b:Publisher>
    <b:RefOrder>29</b:RefOrder>
  </b:Source>
  <b:Source>
    <b:Tag>Wei16</b:Tag>
    <b:SourceType>InternetSite</b:SourceType>
    <b:Guid>{49AFF5D7-9C50-4F40-82D1-9D45DA2AE4B5}</b:Guid>
    <b:Title>5 Ways Origami Boosts Mindfulness</b:Title>
    <b:Year>2016</b:Year>
    <b:Author>
      <b:Author>
        <b:NameList>
          <b:Person>
            <b:Last>Wei</b:Last>
            <b:First>M</b:First>
          </b:Person>
        </b:NameList>
      </b:Author>
    </b:Author>
    <b:YearAccessed>2017</b:YearAccessed>
    <b:MonthAccessed>November</b:MonthAccessed>
    <b:DayAccessed>7</b:DayAccessed>
    <b:URL>https://www.psychologytoday.com/blog/urban-survival/201609/5-ways-origami-boosts-mindfulness</b:URL>
    <b:RefOrder>13</b:RefOrder>
  </b:Source>
  <b:Source>
    <b:Tag>Esp15</b:Tag>
    <b:SourceType>InternetSite</b:SourceType>
    <b:Guid>{8895CAD5-9DB7-431D-B859-7ED5A45BC3CC}</b:Guid>
    <b:Author>
      <b:Author>
        <b:NameList>
          <b:Person>
            <b:Last>Espino-Bravo</b:Last>
            <b:First>C.</b:First>
          </b:Person>
        </b:NameList>
      </b:Author>
    </b:Author>
    <b:Title>Using Personal Stories to Engage Students in Conversation</b:Title>
    <b:Year>2015</b:Year>
    <b:YearAccessed>2017</b:YearAccessed>
    <b:MonthAccessed>November</b:MonthAccessed>
    <b:DayAccessed>7</b:DayAccessed>
    <b:URL>https://www.facultyfocus.com/articles/teaching-and-learning/using-personal-stories-to-engage-students-in-conversation/</b:URL>
    <b:RefOrder>14</b:RefOrder>
  </b:Source>
  <b:Source>
    <b:Tag>Lom08</b:Tag>
    <b:SourceType>JournalArticle</b:SourceType>
    <b:Guid>{E23247D8-17E7-434C-9F19-38FA9A1A63AD}</b:Guid>
    <b:Title>Making the grade: The role of assessment in authentic learning</b:Title>
    <b:Year>2008</b:Year>
    <b:Author>
      <b:Author>
        <b:NameList>
          <b:Person>
            <b:Last>Lombardi</b:Last>
            <b:First>M.</b:First>
            <b:Middle>M.</b:Middle>
          </b:Person>
        </b:NameList>
      </b:Author>
    </b:Author>
    <b:JournalName>Educause Learning Initiative</b:JournalName>
    <b:Pages>1-16</b:Pages>
    <b:Volume>1</b:Volume>
    <b:RefOrder>15</b:RefOrder>
  </b:Source>
  <b:Source>
    <b:Tag>Boh12</b:Tag>
    <b:SourceType>JournalArticle</b:SourceType>
    <b:Guid>{12883C4E-499F-4B68-9F33-DCBDD93A6AF8}</b:Guid>
    <b:Title>Authentic learning: The gift project</b:Title>
    <b:JournalName>Digital and Technology Education: An International Journal</b:JournalName>
    <b:Year>2012</b:Year>
    <b:Pages>49-62</b:Pages>
    <b:Volume>17</b:Volume>
    <b:Issue>2</b:Issue>
    <b:Author>
      <b:Author>
        <b:NameList>
          <b:Person>
            <b:Last>Bohemia</b:Last>
            <b:First>E</b:First>
          </b:Person>
          <b:Person>
            <b:Last>Davison</b:Last>
            <b:First>G</b:First>
          </b:Person>
        </b:NameList>
      </b:Author>
    </b:Author>
    <b:RefOrder>16</b:RefOrder>
  </b:Source>
  <b:Source>
    <b:Tag>Kee13</b:Tag>
    <b:SourceType>JournalArticle</b:SourceType>
    <b:Guid>{A2EA19E7-8942-4440-B981-BB58DA088D50}</b:Guid>
    <b:Title>Assessment is not a spectator sport: Experiencing authentic assessment in the classroom</b:Title>
    <b:JournalName>Assessment Update</b:JournalName>
    <b:Year>2013</b:Year>
    <b:Pages>12-13</b:Pages>
    <b:Volume>25</b:Volume>
    <b:Issue>5</b:Issue>
    <b:Author>
      <b:Author>
        <b:NameList>
          <b:Person>
            <b:Last>Keeling</b:Last>
            <b:Middle>M</b:Middle>
            <b:First>S</b:First>
          </b:Person>
          <b:Person>
            <b:Last>Woodlee</b:Last>
            <b:Middle>M</b:Middle>
            <b:First>K</b:First>
          </b:Person>
          <b:Person>
            <b:Last>Maher</b:Last>
            <b:Middle>A</b:Middle>
            <b:First>M</b:First>
          </b:Person>
        </b:NameList>
      </b:Author>
    </b:Author>
    <b:RefOrder>18</b:RefOrder>
  </b:Source>
  <b:Source>
    <b:Tag>Sri17</b:Tag>
    <b:SourceType>InternetSite</b:SourceType>
    <b:Guid>{E950D4F1-EC56-4708-BEFA-8F77632D03F8}</b:Guid>
    <b:Title>Authentic Assessment Methods: A Practical Handbook for Teaching Staff</b:Title>
    <b:Year>2017</b:Year>
    <b:Author>
      <b:Author>
        <b:NameList>
          <b:Person>
            <b:Last>Sridharan</b:Last>
            <b:First>B</b:First>
          </b:Person>
          <b:Person>
            <b:Last>Mustard</b:Last>
            <b:First>J</b:First>
          </b:Person>
        </b:NameList>
      </b:Author>
    </b:Author>
    <b:YearAccessed>2017</b:YearAccessed>
    <b:MonthAccessed>November</b:MonthAccessed>
    <b:DayAccessed>7</b:DayAccessed>
    <b:URL>https://blogs.deakin.edu.au/learning-innovations/authentic-assessment-methods-a-practical-handbook-for-teaching-staff/</b:URL>
    <b:RefOrder>17</b:RefOrder>
  </b:Source>
  <b:Source>
    <b:Tag>Gul04</b:Tag>
    <b:SourceType>JournalArticle</b:SourceType>
    <b:Guid>{90E455FB-9465-4E8F-B2D6-C20FEACF0163}</b:Guid>
    <b:Title>A Five-Dimensional Framework for Authentic Assessment</b:Title>
    <b:Year>2004</b:Year>
    <b:JournalName>Educational Technology Research and Development</b:JournalName>
    <b:Pages>67-86</b:Pages>
    <b:Volume>52</b:Volume>
    <b:Issue>3</b:Issue>
    <b:Author>
      <b:Author>
        <b:NameList>
          <b:Person>
            <b:Last>Gulikers</b:Last>
            <b:Middle>T</b:Middle>
            <b:First>J</b:First>
          </b:Person>
          <b:Person>
            <b:Last>Bastiaens</b:Last>
            <b:Middle>J</b:Middle>
            <b:First>T</b:First>
          </b:Person>
          <b:Person>
            <b:Last>Kirschner</b:Last>
            <b:Middle>A</b:Middle>
            <b:First>P</b:First>
          </b:Person>
        </b:NameList>
      </b:Author>
    </b:Author>
    <b:RefOrder>19</b:RefOrder>
  </b:Source>
  <b:Source>
    <b:Tag>Fla17</b:Tag>
    <b:SourceType>Misc</b:SourceType>
    <b:Guid>{001F73F6-0A5B-4259-B3F4-EF59B4F982A0}</b:Guid>
    <b:Title>PGCE/PCE (PCET) Lesson Assessment Form</b:Title>
    <b:Year>2017</b:Year>
    <b:Author>
      <b:Author>
        <b:NameList>
          <b:Person>
            <b:Last>Flagg</b:Last>
            <b:First>M.</b:First>
          </b:Person>
        </b:NameList>
      </b:Author>
    </b:Author>
    <b:City>Swansea</b:City>
    <b:Publisher>UWTSD</b:Publisher>
    <b:RefOrder>20</b:RefOrder>
  </b:Source>
  <b:Source>
    <b:Tag>McL17</b:Tag>
    <b:SourceType>JournalArticle</b:SourceType>
    <b:Guid>{EF318D3A-2319-461A-88CD-B21B617B349B}</b:Guid>
    <b:Title>Emerging perspectives on the demonstration as a signature pedagogy in design and technology education</b:Title>
    <b:Year>2017</b:Year>
    <b:Author>
      <b:Author>
        <b:NameList>
          <b:Person>
            <b:Last>McLain</b:Last>
            <b:First>M</b:First>
          </b:Person>
        </b:NameList>
      </b:Author>
    </b:Author>
    <b:JournalName>International Journal of Technology and Design Education</b:JournalName>
    <b:Pages>1-16</b:Pages>
    <b:Volume>27</b:Volume>
    <b:Issue>4</b:Issue>
    <b:RefOrder>10</b:RefOrder>
  </b:Source>
  <b:Source>
    <b:Tag>DfE04</b:Tag>
    <b:SourceType>InternetSite</b:SourceType>
    <b:Guid>{EEFAF79E-2DCB-415A-842D-B33C9428324E}</b:Guid>
    <b:Author>
      <b:Author>
        <b:Corporate>DfES</b:Corporate>
      </b:Author>
    </b:Author>
    <b:Title>Pedagogy and practice: Teaching and learning in secondary schools</b:Title>
    <b:Year>2004</b:Year>
    <b:YearAccessed>2017</b:YearAccessed>
    <b:MonthAccessed>November</b:MonthAccessed>
    <b:DayAccessed>7</b:DayAccessed>
    <b:URL>http://webarchive.nationalarchives.gov.uk/20110812234120/http://nsonline.org.uk/node/97131</b:URL>
    <b:RefOrder>12</b:RefOrder>
  </b:Source>
  <b:Source>
    <b:Tag>Vyg781</b:Tag>
    <b:SourceType>Book</b:SourceType>
    <b:Guid>{F039B7A6-68C8-4773-A834-3BF635DAEC49}</b:Guid>
    <b:Title>Mind in society</b:Title>
    <b:Year>1978</b:Year>
    <b:Author>
      <b:Author>
        <b:NameList>
          <b:Person>
            <b:Last>Vygotsky</b:Last>
            <b:First>L.</b:First>
          </b:Person>
        </b:NameList>
      </b:Author>
    </b:Author>
    <b:City>Cambridge</b:City>
    <b:Publisher>Harvard University Press</b:Publisher>
    <b:RefOrder>11</b:RefOrder>
  </b:Source>
  <b:Source>
    <b:Tag>Row09</b:Tag>
    <b:SourceType>Book</b:SourceType>
    <b:Guid>{7BA454A4-0A65-437E-AA14-7CAF40799D70}</b:Guid>
    <b:Title>Cross-curricular approaches to teaching and learning</b:Title>
    <b:Year>2009</b:Year>
    <b:City>London</b:City>
    <b:Publisher>Sage</b:Publisher>
    <b:Edition>1st</b:Edition>
    <b:Author>
      <b:Author>
        <b:NameList>
          <b:Person>
            <b:Last>Rowley</b:Last>
            <b:First>C</b:First>
          </b:Person>
          <b:Person>
            <b:Last>Cooper</b:Last>
            <b:First>H</b:First>
          </b:Person>
        </b:NameList>
      </b:Author>
    </b:Author>
    <b:RefOrder>7</b:RefOrder>
  </b:Source>
  <b:Source>
    <b:Tag>Dee14</b:Tag>
    <b:SourceType>JournalArticle</b:SourceType>
    <b:Guid>{E688F06B-F193-4ED1-8099-375713F4118D}</b:Guid>
    <b:Title>Summative co-assessment: A deep learning approach to enhancing employability skills and attributes</b:Title>
    <b:Year>2014</b:Year>
    <b:Author>
      <b:Author>
        <b:NameList>
          <b:Person>
            <b:Last>Deeley</b:Last>
            <b:First>S,</b:First>
            <b:Middle>J.,</b:Middle>
          </b:Person>
        </b:NameList>
      </b:Author>
    </b:Author>
    <b:JournalName>Active learning in higher education</b:JournalName>
    <b:Pages>39-51</b:Pages>
    <b:Volume>15</b:Volume>
    <b:Issue>1</b:Issue>
    <b:RefOrder>4</b:RefOrder>
  </b:Source>
  <b:Source>
    <b:Tag>Nic161</b:Tag>
    <b:SourceType>JournalArticle</b:SourceType>
    <b:Guid>{D65FB0D2-9F2B-40D5-A141-C9848A47CA4B}</b:Guid>
    <b:Title>Understanding reflective practice</b:Title>
    <b:Year>2016</b:Year>
    <b:JournalName>Nursing Standard (2014+)</b:JournalName>
    <b:Pages>34</b:Pages>
    <b:Volume>30</b:Volume>
    <b:Issue>36</b:Issue>
    <b:Author>
      <b:Author>
        <b:NameList>
          <b:Person>
            <b:Last>Nicol</b:Last>
            <b:Middle>s</b:Middle>
            <b:First>J</b:First>
          </b:Person>
          <b:Person>
            <b:Last>Dosser</b:Last>
            <b:First>I</b:First>
          </b:Person>
        </b:NameList>
      </b:Author>
    </b:Author>
    <b:RefOrder>1</b:RefOrder>
  </b:Source>
  <b:Source>
    <b:Tag>Gor15</b:Tag>
    <b:SourceType>Report</b:SourceType>
    <b:Guid>{86468815-51C3-4973-8700-23F20DD93197}</b:Guid>
    <b:Title>Small businesses decry UK skills shortage</b:Title>
    <b:Year>2015</b:Year>
    <b:Author>
      <b:Author>
        <b:NameList>
          <b:Person>
            <b:Last>Gordon</b:Last>
            <b:First>S</b:First>
          </b:Person>
        </b:NameList>
      </b:Author>
    </b:Author>
    <b:PeriodicalTitle>FT.com</b:PeriodicalTitle>
    <b:YearAccessed>2017</b:YearAccessed>
    <b:MonthAccessed>November</b:MonthAccessed>
    <b:DayAccessed>17</b:DayAccessed>
    <b:Publisher>FT.com</b:Publisher>
    <b:RefOrder>30</b:RefOrder>
  </b:Source>
  <b:Source>
    <b:Tag>Elk13</b:Tag>
    <b:SourceType>InternetSite</b:SourceType>
    <b:Guid>{E0D9B2F8-E8D2-4D31-8671-15DF2F39CFA7}</b:Guid>
    <b:Title>The obvious reasons why UK literacy and numeracy skills are among the lowest in the developed world</b:Title>
    <b:Year>2013</b:Year>
    <b:YearAccessed>2017</b:YearAccessed>
    <b:MonthAccessed>November</b:MonthAccessed>
    <b:DayAccessed>16</b:DayAccessed>
    <b:URL>http://www.independent.co.uk/voices/comment/the-obvious-reasons-why-uk-literacy-and-numeracy-skills-are-among-the-lowest-in-the-developed-world-8871402.html</b:URL>
    <b:Author>
      <b:Author>
        <b:NameList>
          <b:Person>
            <b:Last>Elkin</b:Last>
            <b:First>S</b:First>
          </b:Person>
        </b:NameList>
      </b:Author>
    </b:Author>
    <b:RefOrder>31</b:RefOrder>
  </b:Source>
  <b:Source>
    <b:Tag>Des16</b:Tag>
    <b:SourceType>JournalArticle</b:SourceType>
    <b:Guid>{F0C78EAC-3163-4771-AC8B-08DFD3A141C0}</b:Guid>
    <b:Title>Critical thinking skills for business school graduates as demanded by employers: A strategic perspective and recommendations</b:Title>
    <b:Year>2016</b:Year>
    <b:JournalName>Academy of Educational Leadership Journal</b:JournalName>
    <b:Pages>10-31</b:Pages>
    <b:Volume>20</b:Volume>
    <b:Issue>1</b:Issue>
    <b:Author>
      <b:Author>
        <b:NameList>
          <b:Person>
            <b:Last>Desai</b:Last>
            <b:Middle>S</b:Middle>
            <b:First>M</b:First>
          </b:Person>
          <b:Person>
            <b:Last>Berger</b:Last>
            <b:Middle>D</b:Middle>
            <b:First>B</b:First>
          </b:Person>
          <b:Person>
            <b:Last>Higgs</b:Last>
            <b:First>R</b:First>
          </b:Person>
        </b:NameList>
      </b:Author>
    </b:Author>
    <b:RefOrder>32</b:RefOrder>
  </b:Source>
  <b:Source>
    <b:Tag>Sar16</b:Tag>
    <b:SourceType>JournalArticle</b:SourceType>
    <b:Guid>{3869B1E5-1652-4C85-AAC1-6D092C17245F}</b:Guid>
    <b:Title>Graduate Employability: Views of Recent Science Graduates and Employers</b:Title>
    <b:JournalName>International Journal of Innovation in Science and Mathematics Education</b:JournalName>
    <b:Year>2016</b:Year>
    <b:Pages>31-48</b:Pages>
    <b:Volume>24</b:Volume>
    <b:Issue>3</b:Issue>
    <b:Author>
      <b:Author>
        <b:NameList>
          <b:Person>
            <b:Last>Sarkar</b:Last>
            <b:First>M</b:First>
          </b:Person>
          <b:Person>
            <b:Last>Overton</b:Last>
            <b:First>T</b:First>
          </b:Person>
          <b:Person>
            <b:Last>Thompson</b:Last>
            <b:First>C</b:First>
          </b:Person>
          <b:Person>
            <b:Last>Rayner</b:Last>
            <b:First>G</b:First>
          </b:Person>
        </b:NameList>
      </b:Author>
    </b:Author>
    <b:RefOrder>33</b:RefOrder>
  </b:Source>
  <b:Source>
    <b:Tag>Seg12</b:Tag>
    <b:SourceType>Book</b:SourceType>
    <b:Guid>{C1D68DBB-0AA8-4F98-8F7D-0B4F2FF58C48}</b:Guid>
    <b:Title>Mindfulness-based Cognitive Therapy for Depression: a new approach to preventing relapse – 2nd Edition</b:Title>
    <b:Year>2012</b:Year>
    <b:City>London</b:City>
    <b:Publisher>Guildford Press</b:Publisher>
    <b:Edition>2nd</b:Edition>
    <b:Author>
      <b:Author>
        <b:NameList>
          <b:Person>
            <b:Last>Segal</b:Last>
            <b:First>Z</b:First>
          </b:Person>
          <b:Person>
            <b:Last>Williams</b:Last>
            <b:Middle>G</b:Middle>
            <b:First>M</b:First>
          </b:Person>
          <b:Person>
            <b:Last>Teasdale</b:Last>
            <b:Middle>D</b:Middle>
            <b:First>J</b:First>
          </b:Person>
        </b:NameList>
      </b:Author>
    </b:Author>
    <b:RefOrder>9</b:RefOrder>
  </b:Source>
  <b:Source>
    <b:Tag>Tha15</b:Tag>
    <b:SourceType>InternetSite</b:SourceType>
    <b:Guid>{94B7212D-FCC9-4BE6-867F-7A1ABB9B4E78}</b:Guid>
    <b:Title>Debunk This: People Remember 10 Percent of What They Read</b:Title>
    <b:Year>2015</b:Year>
    <b:YearAccessed>2017</b:YearAccessed>
    <b:MonthAccessed>November</b:MonthAccessed>
    <b:DayAccessed>17</b:DayAccessed>
    <b:URL>https://www.td.org/Publications/Blogs/Science-of-Learning-Blog/2015/03/Debunk-This-People-Remember-10-Percent-of-What-They-Read</b:URL>
    <b:Author>
      <b:Author>
        <b:NameList>
          <b:Person>
            <b:Last>Thalheimer</b:Last>
            <b:First>W</b:First>
          </b:Person>
        </b:NameList>
      </b:Author>
    </b:Author>
    <b:RefOrder>34</b:RefOrder>
  </b:Source>
  <b:Source>
    <b:Tag>Sco09</b:Tag>
    <b:SourceType>Book</b:SourceType>
    <b:Guid>{BE36D985-27A5-42A1-AF95-3B59E7477D9D}</b:Guid>
    <b:Title>A Dictionary of Sociology</b:Title>
    <b:Year>2009</b:Year>
    <b:Publisher>Oxford university press</b:Publisher>
    <b:Edition>3rd</b:Edition>
    <b:Author>
      <b:Author>
        <b:NameList>
          <b:Person>
            <b:Last>Scott</b:Last>
            <b:First>J</b:First>
          </b:Person>
          <b:Person>
            <b:Last>Marshall</b:Last>
            <b:First>G</b:First>
          </b:Person>
        </b:NameList>
      </b:Author>
    </b:Author>
    <b:RefOrder>5</b:RefOrder>
  </b:Source>
  <b:Source>
    <b:Tag>Jac68</b:Tag>
    <b:SourceType>Book</b:SourceType>
    <b:Guid>{99CC4D54-FB6D-4F6A-BBF1-2904309EDBF9}</b:Guid>
    <b:Title>Life in classrooms</b:Title>
    <b:Year>1968</b:Year>
    <b:City>New York</b:City>
    <b:Publisher>Reinhart and Winston</b:Publisher>
    <b:Author>
      <b:Author>
        <b:NameList>
          <b:Person>
            <b:Last>Jackson</b:Last>
            <b:Middle>W</b:Middle>
            <b:First>P</b:First>
          </b:Person>
        </b:NameList>
      </b:Author>
    </b:Author>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DDB3507-D0C2-4AFD-942C-5D434B1C4E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17</Pages>
  <Words>4197</Words>
  <Characters>24345</Characters>
  <Application>Microsoft Office Word</Application>
  <DocSecurity>0</DocSecurity>
  <Lines>405</Lines>
  <Paragraphs>138</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M6X02269</vt:lpstr>
      <vt:lpstr>Introduction</vt:lpstr>
      <vt:lpstr>Findings</vt:lpstr>
      <vt:lpstr>Cross-cutting themes versus Cross-curricular themes</vt:lpstr>
      <vt:lpstr>The session</vt:lpstr>
      <vt:lpstr>Summary</vt:lpstr>
      <vt:lpstr>&lt;References</vt:lpstr>
      <vt:lpstr>Appendices</vt:lpstr>
    </vt:vector>
  </TitlesOfParts>
  <Company>1402056</Company>
  <LinksUpToDate>false</LinksUpToDate>
  <CharactersWithSpaces>28404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M6X02269</dc:title>
  <dc:subject>EFFECTIVE TEACHING, LEARNING AND ASSESSMENT IN PCET word count: 2538</dc:subject>
  <dc:creator>Christian Felices</dc:creator>
  <cp:keywords/>
  <dc:description/>
  <cp:lastModifiedBy>Christian Felices</cp:lastModifiedBy>
  <cp:revision>3</cp:revision>
  <dcterms:created xsi:type="dcterms:W3CDTF">2017-11-18T23:05:00Z</dcterms:created>
  <dcterms:modified xsi:type="dcterms:W3CDTF">2017-11-18T23:39:00Z</dcterms:modified>
</cp:coreProperties>
</file>