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98588046"/>
        <w:docPartObj>
          <w:docPartGallery w:val="Cover Pages"/>
          <w:docPartUnique/>
        </w:docPartObj>
      </w:sdtPr>
      <w:sdtEndPr>
        <w:rPr>
          <w:rFonts w:ascii="Arial" w:eastAsiaTheme="minorHAnsi" w:hAnsi="Arial" w:cs="Arial"/>
          <w:b/>
          <w:bCs/>
          <w:color w:val="auto"/>
          <w:kern w:val="2"/>
          <w:sz w:val="24"/>
          <w:szCs w:val="24"/>
          <w:lang w:val="en-GB"/>
          <w14:ligatures w14:val="standardContextual"/>
        </w:rPr>
      </w:sdtEndPr>
      <w:sdtContent>
        <w:p w14:paraId="0FA9F50D" w14:textId="77777777" w:rsidR="00FD0F48" w:rsidRDefault="00FD0F48">
          <w:pPr>
            <w:pStyle w:val="NoSpacing"/>
            <w:spacing w:before="1540" w:after="240"/>
            <w:jc w:val="center"/>
            <w:rPr>
              <w:color w:val="156082" w:themeColor="accent1"/>
            </w:rPr>
          </w:pPr>
        </w:p>
        <w:sdt>
          <w:sdtPr>
            <w:rPr>
              <w:rFonts w:ascii="Arial Black" w:eastAsiaTheme="majorEastAsia" w:hAnsi="Arial Black" w:cstheme="majorBidi"/>
              <w:caps/>
              <w:color w:val="156082" w:themeColor="accent1"/>
              <w:sz w:val="72"/>
              <w:szCs w:val="72"/>
            </w:rPr>
            <w:alias w:val="Title"/>
            <w:tag w:val=""/>
            <w:id w:val="1735040861"/>
            <w:placeholder>
              <w:docPart w:val="E8767D111B444E399D92262A5B7D637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2A9FC9" w14:textId="620434AD" w:rsidR="00FD0F48" w:rsidRDefault="00FD0F4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FD0F48">
                <w:rPr>
                  <w:rFonts w:ascii="Arial Black" w:eastAsiaTheme="majorEastAsia" w:hAnsi="Arial Black" w:cstheme="majorBidi"/>
                  <w:caps/>
                  <w:color w:val="156082" w:themeColor="accent1"/>
                  <w:sz w:val="72"/>
                  <w:szCs w:val="72"/>
                </w:rPr>
                <w:t>Assignment 2: Report</w:t>
              </w:r>
            </w:p>
          </w:sdtContent>
        </w:sdt>
        <w:p w14:paraId="439487BE" w14:textId="083B2A3E" w:rsidR="00FD0F48" w:rsidRDefault="00FD0F48">
          <w:pPr>
            <w:pStyle w:val="NoSpacing"/>
            <w:spacing w:before="480"/>
            <w:jc w:val="center"/>
            <w:rPr>
              <w:color w:val="156082" w:themeColor="accent1"/>
            </w:rPr>
          </w:pPr>
        </w:p>
        <w:p w14:paraId="13A6F7B4" w14:textId="77777777" w:rsidR="00FD0F48" w:rsidRDefault="00FD0F48" w:rsidP="00FD0F48">
          <w:pPr>
            <w:rPr>
              <w:rFonts w:ascii="Arial" w:hAnsi="Arial" w:cs="Arial"/>
              <w:b/>
              <w:bCs/>
            </w:rPr>
          </w:pPr>
        </w:p>
        <w:p w14:paraId="5889B632" w14:textId="77777777" w:rsidR="00FD0F48" w:rsidRDefault="00FD0F48" w:rsidP="00FD0F48">
          <w:pPr>
            <w:rPr>
              <w:rFonts w:ascii="Arial" w:hAnsi="Arial" w:cs="Arial"/>
              <w:b/>
              <w:bCs/>
            </w:rPr>
          </w:pPr>
        </w:p>
        <w:p w14:paraId="744EA45F" w14:textId="77777777" w:rsidR="00FD0F48" w:rsidRDefault="00FD0F48" w:rsidP="00FD0F48">
          <w:pPr>
            <w:rPr>
              <w:rFonts w:ascii="Arial" w:hAnsi="Arial" w:cs="Arial"/>
              <w:b/>
              <w:bCs/>
            </w:rPr>
          </w:pPr>
        </w:p>
        <w:p w14:paraId="3DDE597E" w14:textId="77777777" w:rsidR="00FD0F48" w:rsidRDefault="00FD0F48" w:rsidP="00FD0F48">
          <w:pPr>
            <w:rPr>
              <w:rFonts w:ascii="Arial" w:hAnsi="Arial" w:cs="Arial"/>
              <w:b/>
              <w:bCs/>
            </w:rPr>
          </w:pPr>
        </w:p>
        <w:p w14:paraId="4FD85022" w14:textId="77777777" w:rsidR="00FD0F48" w:rsidRDefault="00FD0F48" w:rsidP="00FD0F48">
          <w:pPr>
            <w:rPr>
              <w:rFonts w:ascii="Arial" w:hAnsi="Arial" w:cs="Arial"/>
              <w:b/>
              <w:bCs/>
            </w:rPr>
          </w:pPr>
        </w:p>
        <w:p w14:paraId="31BEBD32" w14:textId="77777777" w:rsidR="00FD0F48" w:rsidRDefault="00FD0F48" w:rsidP="00FD0F48">
          <w:pPr>
            <w:rPr>
              <w:rFonts w:ascii="Arial" w:hAnsi="Arial" w:cs="Arial"/>
              <w:b/>
              <w:bCs/>
            </w:rPr>
          </w:pPr>
        </w:p>
        <w:p w14:paraId="55264A93" w14:textId="77777777" w:rsidR="00FD0F48" w:rsidRDefault="00FD0F48" w:rsidP="00FD0F48">
          <w:pPr>
            <w:rPr>
              <w:rFonts w:ascii="Arial" w:hAnsi="Arial" w:cs="Arial"/>
              <w:b/>
              <w:bCs/>
            </w:rPr>
          </w:pPr>
        </w:p>
        <w:p w14:paraId="7C8054AC" w14:textId="77777777" w:rsidR="00FD0F48" w:rsidRDefault="00FD0F48" w:rsidP="00FD0F48">
          <w:pPr>
            <w:rPr>
              <w:rFonts w:ascii="Arial" w:hAnsi="Arial" w:cs="Arial"/>
              <w:b/>
              <w:bCs/>
            </w:rPr>
          </w:pPr>
        </w:p>
        <w:p w14:paraId="62506BBD" w14:textId="77777777" w:rsidR="00FD0F48" w:rsidRDefault="00FD0F48" w:rsidP="00FD0F48">
          <w:pPr>
            <w:rPr>
              <w:rFonts w:ascii="Arial" w:hAnsi="Arial" w:cs="Arial"/>
              <w:b/>
              <w:bCs/>
            </w:rPr>
          </w:pPr>
        </w:p>
        <w:p w14:paraId="7B9D5536" w14:textId="77777777" w:rsidR="00FD0F48" w:rsidRDefault="00FD0F48" w:rsidP="00FD0F48">
          <w:pPr>
            <w:rPr>
              <w:rFonts w:ascii="Arial" w:hAnsi="Arial" w:cs="Arial"/>
              <w:b/>
              <w:bCs/>
            </w:rPr>
          </w:pPr>
        </w:p>
        <w:p w14:paraId="32E794DD" w14:textId="77777777" w:rsidR="00FD0F48" w:rsidRDefault="00FD0F48" w:rsidP="00FD0F48">
          <w:pPr>
            <w:rPr>
              <w:rFonts w:ascii="Arial" w:hAnsi="Arial" w:cs="Arial"/>
              <w:b/>
              <w:bCs/>
            </w:rPr>
          </w:pPr>
        </w:p>
        <w:p w14:paraId="29418E15" w14:textId="77777777" w:rsidR="00FD0F48" w:rsidRDefault="00FD0F48" w:rsidP="00FD0F48">
          <w:pPr>
            <w:rPr>
              <w:rFonts w:ascii="Arial" w:hAnsi="Arial" w:cs="Arial"/>
              <w:b/>
              <w:bCs/>
            </w:rPr>
          </w:pPr>
        </w:p>
        <w:p w14:paraId="0BE33099" w14:textId="77777777" w:rsidR="00FD0F48" w:rsidRDefault="00FD0F48" w:rsidP="00FD0F48">
          <w:pPr>
            <w:rPr>
              <w:rFonts w:ascii="Arial" w:hAnsi="Arial" w:cs="Arial"/>
              <w:b/>
              <w:bCs/>
            </w:rPr>
          </w:pPr>
        </w:p>
        <w:p w14:paraId="72E64A75" w14:textId="52F4941E" w:rsidR="00FD0F48" w:rsidRPr="00FD0F48" w:rsidRDefault="00FD0F48" w:rsidP="00FD0F48">
          <w:pPr>
            <w:rPr>
              <w:rFonts w:ascii="Arial" w:hAnsi="Arial" w:cs="Arial"/>
              <w:b/>
              <w:bCs/>
            </w:rPr>
          </w:pPr>
          <w:r w:rsidRPr="00FD0F48">
            <w:rPr>
              <w:rFonts w:ascii="Arial" w:hAnsi="Arial" w:cs="Arial"/>
              <w:b/>
              <w:bCs/>
            </w:rPr>
            <w:t>Student name:</w:t>
          </w:r>
          <w:r>
            <w:rPr>
              <w:rFonts w:ascii="Arial" w:hAnsi="Arial" w:cs="Arial"/>
              <w:b/>
              <w:bCs/>
            </w:rPr>
            <w:t xml:space="preserve"> Catalin Dumitru</w:t>
          </w:r>
          <w:r w:rsidRPr="00FD0F48">
            <w:rPr>
              <w:rFonts w:ascii="Arial" w:hAnsi="Arial" w:cs="Arial"/>
              <w:b/>
              <w:bCs/>
            </w:rPr>
            <w:tab/>
            <w:t xml:space="preserve">     </w:t>
          </w:r>
        </w:p>
        <w:p w14:paraId="07C34E03" w14:textId="07152E0B" w:rsidR="00FD0F48" w:rsidRPr="00FD0F48" w:rsidRDefault="00FD0F48" w:rsidP="00FD0F48">
          <w:pPr>
            <w:rPr>
              <w:rFonts w:ascii="Arial" w:hAnsi="Arial" w:cs="Arial"/>
              <w:b/>
              <w:bCs/>
            </w:rPr>
          </w:pPr>
          <w:r w:rsidRPr="00FD0F48">
            <w:rPr>
              <w:rFonts w:ascii="Arial" w:hAnsi="Arial" w:cs="Arial"/>
              <w:b/>
              <w:bCs/>
            </w:rPr>
            <w:t>Programme:</w:t>
          </w:r>
          <w:r w:rsidRPr="00FD0F48">
            <w:rPr>
              <w:rFonts w:ascii="Arial" w:hAnsi="Arial" w:cs="Arial"/>
              <w:b/>
              <w:bCs/>
            </w:rPr>
            <w:tab/>
            <w:t>CertHE Sustainable Enterprise (Rural)</w:t>
          </w:r>
        </w:p>
        <w:p w14:paraId="6A9484F5" w14:textId="3A469F8F" w:rsidR="00FD0F48" w:rsidRPr="00FD0F48" w:rsidRDefault="00FD0F48" w:rsidP="00FD0F48">
          <w:pPr>
            <w:rPr>
              <w:rFonts w:ascii="Arial" w:hAnsi="Arial" w:cs="Arial"/>
              <w:b/>
              <w:bCs/>
            </w:rPr>
          </w:pPr>
          <w:r w:rsidRPr="00FD0F48">
            <w:rPr>
              <w:rFonts w:ascii="Arial" w:hAnsi="Arial" w:cs="Arial"/>
              <w:b/>
              <w:bCs/>
            </w:rPr>
            <w:t>Module:</w:t>
          </w:r>
          <w:r>
            <w:rPr>
              <w:rFonts w:ascii="Arial" w:hAnsi="Arial" w:cs="Arial"/>
              <w:b/>
              <w:bCs/>
            </w:rPr>
            <w:t xml:space="preserve"> </w:t>
          </w:r>
          <w:r w:rsidRPr="00FD0F48">
            <w:rPr>
              <w:rFonts w:ascii="Arial" w:hAnsi="Arial" w:cs="Arial"/>
              <w:b/>
              <w:bCs/>
            </w:rPr>
            <w:t>Digital Marketing</w:t>
          </w:r>
        </w:p>
        <w:p w14:paraId="5EBD89DD" w14:textId="107DB5E6" w:rsidR="00FD0F48" w:rsidRPr="00FD0F48" w:rsidRDefault="00FD0F48" w:rsidP="00FD0F48">
          <w:pPr>
            <w:rPr>
              <w:rFonts w:ascii="Arial" w:hAnsi="Arial" w:cs="Arial"/>
              <w:b/>
              <w:bCs/>
            </w:rPr>
          </w:pPr>
          <w:r w:rsidRPr="00FD0F48">
            <w:rPr>
              <w:rFonts w:ascii="Arial" w:hAnsi="Arial" w:cs="Arial"/>
              <w:b/>
              <w:bCs/>
            </w:rPr>
            <w:t>Module code:</w:t>
          </w:r>
          <w:r>
            <w:rPr>
              <w:rFonts w:ascii="Arial" w:hAnsi="Arial" w:cs="Arial"/>
              <w:b/>
              <w:bCs/>
            </w:rPr>
            <w:t xml:space="preserve"> </w:t>
          </w:r>
          <w:r w:rsidRPr="00FD0F48">
            <w:rPr>
              <w:rFonts w:ascii="Arial" w:hAnsi="Arial" w:cs="Arial"/>
              <w:b/>
              <w:bCs/>
            </w:rPr>
            <w:t>BMSE4008D</w:t>
          </w:r>
        </w:p>
        <w:p w14:paraId="23C8892B" w14:textId="47936454" w:rsidR="00FD0F48" w:rsidRDefault="00FD0F48" w:rsidP="00FD0F48">
          <w:pPr>
            <w:rPr>
              <w:rFonts w:ascii="Arial" w:hAnsi="Arial" w:cs="Arial"/>
              <w:b/>
              <w:bCs/>
            </w:rPr>
          </w:pPr>
          <w:r w:rsidRPr="00FD0F48">
            <w:rPr>
              <w:rFonts w:ascii="Arial" w:hAnsi="Arial" w:cs="Arial"/>
              <w:b/>
              <w:bCs/>
            </w:rPr>
            <w:t>Lecturer:</w:t>
          </w:r>
          <w:r>
            <w:rPr>
              <w:rFonts w:ascii="Arial" w:hAnsi="Arial" w:cs="Arial"/>
              <w:b/>
              <w:bCs/>
            </w:rPr>
            <w:t xml:space="preserve"> </w:t>
          </w:r>
          <w:r w:rsidRPr="00FD0F48">
            <w:rPr>
              <w:rFonts w:ascii="Arial" w:hAnsi="Arial" w:cs="Arial"/>
              <w:b/>
              <w:bCs/>
            </w:rPr>
            <w:t>Jessica Shore</w:t>
          </w:r>
          <w:r w:rsidRPr="00FD0F48">
            <w:rPr>
              <w:rFonts w:ascii="Arial" w:hAnsi="Arial" w:cs="Arial"/>
              <w:b/>
              <w:bCs/>
            </w:rPr>
            <w:t xml:space="preserve"> </w:t>
          </w:r>
          <w:r>
            <w:rPr>
              <w:rFonts w:ascii="Arial" w:hAnsi="Arial" w:cs="Arial"/>
              <w:b/>
              <w:bCs/>
            </w:rPr>
            <w:br w:type="page"/>
          </w:r>
        </w:p>
      </w:sdtContent>
    </w:sdt>
    <w:p w14:paraId="5E6B57D8" w14:textId="2E7D9BA3" w:rsidR="00FD0F48" w:rsidRDefault="00FD0F48" w:rsidP="00187CB1">
      <w:pPr>
        <w:spacing w:line="480" w:lineRule="auto"/>
        <w:rPr>
          <w:rFonts w:ascii="Arial" w:hAnsi="Arial" w:cs="Arial"/>
          <w:b/>
          <w:bCs/>
        </w:rPr>
      </w:pPr>
      <w:r>
        <w:rPr>
          <w:rFonts w:ascii="Arial" w:hAnsi="Arial" w:cs="Arial"/>
          <w:b/>
          <w:bCs/>
        </w:rPr>
        <w:lastRenderedPageBreak/>
        <w:t xml:space="preserve">Table of Contents </w:t>
      </w:r>
    </w:p>
    <w:p w14:paraId="37787C9A" w14:textId="77777777"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Executive Summary</w:t>
      </w:r>
    </w:p>
    <w:p w14:paraId="24510481" w14:textId="77777777"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Rationale</w:t>
      </w:r>
    </w:p>
    <w:p w14:paraId="53268A33" w14:textId="77777777"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Segmentation, Targeting and Positioning</w:t>
      </w:r>
    </w:p>
    <w:p w14:paraId="0890AF5B" w14:textId="77777777"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Digital Marketing Strategy and Channels</w:t>
      </w:r>
    </w:p>
    <w:p w14:paraId="31A3EDF5" w14:textId="2AE69B05"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 xml:space="preserve">Measurement </w:t>
      </w:r>
      <w:r>
        <w:rPr>
          <w:rFonts w:ascii="Arial" w:hAnsi="Arial" w:cs="Arial"/>
          <w:b/>
          <w:bCs/>
        </w:rPr>
        <w:t>&amp;</w:t>
      </w:r>
      <w:r w:rsidRPr="00FD0F48">
        <w:rPr>
          <w:rFonts w:ascii="Arial" w:hAnsi="Arial" w:cs="Arial"/>
          <w:b/>
          <w:bCs/>
        </w:rPr>
        <w:t xml:space="preserve"> </w:t>
      </w:r>
      <w:r>
        <w:rPr>
          <w:rFonts w:ascii="Arial" w:hAnsi="Arial" w:cs="Arial"/>
          <w:b/>
          <w:bCs/>
        </w:rPr>
        <w:t>Assessment</w:t>
      </w:r>
    </w:p>
    <w:p w14:paraId="78EC96CF" w14:textId="77777777"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Conclusion</w:t>
      </w:r>
    </w:p>
    <w:p w14:paraId="3998903C" w14:textId="276275FE" w:rsidR="00FD0F48" w:rsidRPr="00FD0F48" w:rsidRDefault="00FD0F48" w:rsidP="00FD0F48">
      <w:pPr>
        <w:pStyle w:val="ListParagraph"/>
        <w:numPr>
          <w:ilvl w:val="0"/>
          <w:numId w:val="1"/>
        </w:numPr>
        <w:spacing w:line="480" w:lineRule="auto"/>
        <w:rPr>
          <w:rFonts w:ascii="Arial" w:hAnsi="Arial" w:cs="Arial"/>
          <w:b/>
          <w:bCs/>
        </w:rPr>
      </w:pPr>
      <w:r w:rsidRPr="00FD0F48">
        <w:rPr>
          <w:rFonts w:ascii="Arial" w:hAnsi="Arial" w:cs="Arial"/>
          <w:b/>
          <w:bCs/>
        </w:rPr>
        <w:t>References</w:t>
      </w:r>
    </w:p>
    <w:p w14:paraId="7EB3C8B3" w14:textId="77777777" w:rsidR="00FD0F48" w:rsidRDefault="00FD0F48" w:rsidP="00187CB1">
      <w:pPr>
        <w:spacing w:line="480" w:lineRule="auto"/>
        <w:rPr>
          <w:rFonts w:ascii="Arial" w:hAnsi="Arial" w:cs="Arial"/>
          <w:b/>
          <w:bCs/>
        </w:rPr>
      </w:pPr>
    </w:p>
    <w:p w14:paraId="4EEEC0C5" w14:textId="77777777" w:rsidR="00FD0F48" w:rsidRDefault="00FD0F48" w:rsidP="00187CB1">
      <w:pPr>
        <w:spacing w:line="480" w:lineRule="auto"/>
        <w:rPr>
          <w:rFonts w:ascii="Arial" w:hAnsi="Arial" w:cs="Arial"/>
          <w:b/>
          <w:bCs/>
        </w:rPr>
      </w:pPr>
    </w:p>
    <w:p w14:paraId="41E0BE2B" w14:textId="77777777" w:rsidR="00FD0F48" w:rsidRDefault="00FD0F48" w:rsidP="00187CB1">
      <w:pPr>
        <w:spacing w:line="480" w:lineRule="auto"/>
        <w:rPr>
          <w:rFonts w:ascii="Arial" w:hAnsi="Arial" w:cs="Arial"/>
          <w:b/>
          <w:bCs/>
        </w:rPr>
      </w:pPr>
    </w:p>
    <w:p w14:paraId="34BEDBE5" w14:textId="77777777" w:rsidR="00FD0F48" w:rsidRDefault="00FD0F48" w:rsidP="00187CB1">
      <w:pPr>
        <w:spacing w:line="480" w:lineRule="auto"/>
        <w:rPr>
          <w:rFonts w:ascii="Arial" w:hAnsi="Arial" w:cs="Arial"/>
          <w:b/>
          <w:bCs/>
        </w:rPr>
      </w:pPr>
    </w:p>
    <w:p w14:paraId="319A3C66" w14:textId="77777777" w:rsidR="00FD0F48" w:rsidRDefault="00FD0F48" w:rsidP="00187CB1">
      <w:pPr>
        <w:spacing w:line="480" w:lineRule="auto"/>
        <w:rPr>
          <w:rFonts w:ascii="Arial" w:hAnsi="Arial" w:cs="Arial"/>
          <w:b/>
          <w:bCs/>
        </w:rPr>
      </w:pPr>
    </w:p>
    <w:p w14:paraId="34D304A2" w14:textId="77777777" w:rsidR="00FD0F48" w:rsidRDefault="00FD0F48" w:rsidP="00187CB1">
      <w:pPr>
        <w:spacing w:line="480" w:lineRule="auto"/>
        <w:rPr>
          <w:rFonts w:ascii="Arial" w:hAnsi="Arial" w:cs="Arial"/>
          <w:b/>
          <w:bCs/>
        </w:rPr>
      </w:pPr>
    </w:p>
    <w:p w14:paraId="38AA4B9F" w14:textId="77777777" w:rsidR="00FD0F48" w:rsidRDefault="00FD0F48" w:rsidP="00187CB1">
      <w:pPr>
        <w:spacing w:line="480" w:lineRule="auto"/>
        <w:rPr>
          <w:rFonts w:ascii="Arial" w:hAnsi="Arial" w:cs="Arial"/>
          <w:b/>
          <w:bCs/>
        </w:rPr>
      </w:pPr>
    </w:p>
    <w:p w14:paraId="15248286" w14:textId="77777777" w:rsidR="00FD0F48" w:rsidRDefault="00FD0F48" w:rsidP="00187CB1">
      <w:pPr>
        <w:spacing w:line="480" w:lineRule="auto"/>
        <w:rPr>
          <w:rFonts w:ascii="Arial" w:hAnsi="Arial" w:cs="Arial"/>
          <w:b/>
          <w:bCs/>
        </w:rPr>
      </w:pPr>
    </w:p>
    <w:p w14:paraId="2BAD7E8A" w14:textId="77777777" w:rsidR="00FD0F48" w:rsidRDefault="00FD0F48" w:rsidP="00187CB1">
      <w:pPr>
        <w:spacing w:line="480" w:lineRule="auto"/>
        <w:rPr>
          <w:rFonts w:ascii="Arial" w:hAnsi="Arial" w:cs="Arial"/>
          <w:b/>
          <w:bCs/>
        </w:rPr>
      </w:pPr>
    </w:p>
    <w:p w14:paraId="5294278B" w14:textId="77777777" w:rsidR="00FD0F48" w:rsidRDefault="00FD0F48" w:rsidP="00187CB1">
      <w:pPr>
        <w:spacing w:line="480" w:lineRule="auto"/>
        <w:rPr>
          <w:rFonts w:ascii="Arial" w:hAnsi="Arial" w:cs="Arial"/>
          <w:b/>
          <w:bCs/>
        </w:rPr>
      </w:pPr>
    </w:p>
    <w:p w14:paraId="480235FF" w14:textId="77777777" w:rsidR="00FD0F48" w:rsidRDefault="00FD0F48" w:rsidP="00187CB1">
      <w:pPr>
        <w:spacing w:line="480" w:lineRule="auto"/>
        <w:rPr>
          <w:rFonts w:ascii="Arial" w:hAnsi="Arial" w:cs="Arial"/>
          <w:b/>
          <w:bCs/>
        </w:rPr>
      </w:pPr>
    </w:p>
    <w:p w14:paraId="4977E981" w14:textId="77777777" w:rsidR="00FD0F48" w:rsidRDefault="00FD0F48" w:rsidP="00187CB1">
      <w:pPr>
        <w:spacing w:line="480" w:lineRule="auto"/>
        <w:rPr>
          <w:rFonts w:ascii="Arial" w:hAnsi="Arial" w:cs="Arial"/>
          <w:b/>
          <w:bCs/>
        </w:rPr>
      </w:pPr>
    </w:p>
    <w:p w14:paraId="4CB19137" w14:textId="77777777" w:rsidR="00FD0F48" w:rsidRDefault="00FD0F48" w:rsidP="00187CB1">
      <w:pPr>
        <w:spacing w:line="480" w:lineRule="auto"/>
        <w:rPr>
          <w:rFonts w:ascii="Arial" w:hAnsi="Arial" w:cs="Arial"/>
          <w:b/>
          <w:bCs/>
        </w:rPr>
      </w:pPr>
    </w:p>
    <w:p w14:paraId="12E3175E" w14:textId="1845E6BD" w:rsidR="00187CB1" w:rsidRPr="00187CB1" w:rsidRDefault="00187CB1" w:rsidP="00187CB1">
      <w:pPr>
        <w:spacing w:line="480" w:lineRule="auto"/>
        <w:rPr>
          <w:rFonts w:ascii="Arial" w:hAnsi="Arial" w:cs="Arial"/>
          <w:b/>
          <w:bCs/>
        </w:rPr>
      </w:pPr>
      <w:r w:rsidRPr="00187CB1">
        <w:rPr>
          <w:rFonts w:ascii="Arial" w:hAnsi="Arial" w:cs="Arial"/>
          <w:b/>
          <w:bCs/>
        </w:rPr>
        <w:lastRenderedPageBreak/>
        <w:t>Executive Summary</w:t>
      </w:r>
    </w:p>
    <w:p w14:paraId="2D043BDA" w14:textId="77777777" w:rsidR="00187CB1" w:rsidRPr="00187CB1" w:rsidRDefault="00187CB1" w:rsidP="00187CB1">
      <w:pPr>
        <w:spacing w:line="480" w:lineRule="auto"/>
        <w:rPr>
          <w:rFonts w:ascii="Arial" w:hAnsi="Arial" w:cs="Arial"/>
        </w:rPr>
      </w:pPr>
      <w:r w:rsidRPr="00187CB1">
        <w:rPr>
          <w:rFonts w:ascii="Arial" w:hAnsi="Arial" w:cs="Arial"/>
        </w:rPr>
        <w:t>This marketing plan outlines a digital marketing strategy for the upcoming Samsung Galaxy Watch6 as it expands into the senior wellness market in Spain by targeting people aged 55 and older. The number of people within this age range adopting wearable technology for health monitoring, remaining independent, and achieving overall wellness is increasing. Historically, Samsung's communication around its brand within the European smartwatch market has targeted younger fitness-oriented individuals and consumers who are interested in technology. Additionally, as cities throughout Europe continue to experience growth among their older population, more people are aware of the importance of preventive healthcare and are also adopting more digital health solutions. Thus, the development of a marketing plan to reposition the Galaxy Watch6 to the senior audience as a device that can assist with healthy ageing, provide a safety alert for fall detection, and enable remote wellness monitoring is timely. The approach outlined will utilise digital marketing, integrated marketing communications (IMC), data-driven product development (DDP), artificial intelligence (AI)-enabled personalisation, and customer relationship management (CRM) methodologies to implement a marketing plan that establishes brand awareness, credibility, and consumer trust and a measurable return on investment (ROI) to Samsung (Belch &amp; Belch, 2018, Weitz &amp; Wensley, 2020; Wang &amp; Xu, 2022).</w:t>
      </w:r>
    </w:p>
    <w:p w14:paraId="1678F7B5" w14:textId="77777777" w:rsidR="00187CB1" w:rsidRPr="00187CB1" w:rsidRDefault="00187CB1" w:rsidP="00187CB1">
      <w:pPr>
        <w:spacing w:line="480" w:lineRule="auto"/>
        <w:rPr>
          <w:rFonts w:ascii="Arial" w:hAnsi="Arial" w:cs="Arial"/>
        </w:rPr>
      </w:pPr>
    </w:p>
    <w:p w14:paraId="4E406C87" w14:textId="77777777" w:rsidR="00BB6F82" w:rsidRDefault="00BB6F82" w:rsidP="00187CB1">
      <w:pPr>
        <w:spacing w:line="480" w:lineRule="auto"/>
        <w:rPr>
          <w:rFonts w:ascii="Arial" w:hAnsi="Arial" w:cs="Arial"/>
        </w:rPr>
      </w:pPr>
    </w:p>
    <w:p w14:paraId="75D484BE" w14:textId="77777777" w:rsidR="00BB6F82" w:rsidRDefault="00BB6F82" w:rsidP="00187CB1">
      <w:pPr>
        <w:spacing w:line="480" w:lineRule="auto"/>
        <w:rPr>
          <w:rFonts w:ascii="Arial" w:hAnsi="Arial" w:cs="Arial"/>
        </w:rPr>
      </w:pPr>
    </w:p>
    <w:p w14:paraId="03C2DA8C" w14:textId="77777777" w:rsidR="00BB6F82" w:rsidRDefault="00BB6F82" w:rsidP="00187CB1">
      <w:pPr>
        <w:spacing w:line="480" w:lineRule="auto"/>
        <w:rPr>
          <w:rFonts w:ascii="Arial" w:hAnsi="Arial" w:cs="Arial"/>
        </w:rPr>
      </w:pPr>
    </w:p>
    <w:p w14:paraId="6A052154" w14:textId="77777777" w:rsidR="00BB6F82" w:rsidRDefault="00BB6F82" w:rsidP="00187CB1">
      <w:pPr>
        <w:spacing w:line="480" w:lineRule="auto"/>
        <w:rPr>
          <w:rFonts w:ascii="Arial" w:hAnsi="Arial" w:cs="Arial"/>
        </w:rPr>
      </w:pPr>
    </w:p>
    <w:p w14:paraId="39C3A89B" w14:textId="6546D924" w:rsidR="00187CB1" w:rsidRPr="00BB6F82" w:rsidRDefault="00187CB1" w:rsidP="00187CB1">
      <w:pPr>
        <w:spacing w:line="480" w:lineRule="auto"/>
        <w:rPr>
          <w:rFonts w:ascii="Arial" w:hAnsi="Arial" w:cs="Arial"/>
          <w:b/>
          <w:bCs/>
        </w:rPr>
      </w:pPr>
      <w:r w:rsidRPr="00BB6F82">
        <w:rPr>
          <w:rFonts w:ascii="Arial" w:hAnsi="Arial" w:cs="Arial"/>
          <w:b/>
          <w:bCs/>
        </w:rPr>
        <w:lastRenderedPageBreak/>
        <w:t>Rationale</w:t>
      </w:r>
    </w:p>
    <w:p w14:paraId="531A45D7" w14:textId="77777777" w:rsidR="00BB6F82" w:rsidRDefault="00187CB1" w:rsidP="00187CB1">
      <w:pPr>
        <w:spacing w:line="480" w:lineRule="auto"/>
        <w:rPr>
          <w:rFonts w:ascii="Arial" w:hAnsi="Arial" w:cs="Arial"/>
        </w:rPr>
      </w:pPr>
      <w:r w:rsidRPr="00187CB1">
        <w:rPr>
          <w:rFonts w:ascii="Arial" w:hAnsi="Arial" w:cs="Arial"/>
        </w:rPr>
        <w:t xml:space="preserve">The demographic and social changes taking place within Spain present a strong rationale to target the senior wellness segment. The population aged 55+ is growing at one of the fastest rates in terms of consumer spending; with many senior citizens living independently in urban locations, the senior wellness segment includes people who rely on using digital technology to communicate, monitor their health, and manage their lifestyle. Therefore, the features offered by the Galaxy Watch6, including continuous heart rate monitoring, sleep-tracking, alerts for fall detection, electrocardiogram (ECG) functionality, and medication reminders, meet both the functional and emotional needs of this target </w:t>
      </w:r>
      <w:r w:rsidR="00BB6F82" w:rsidRPr="00187CB1">
        <w:rPr>
          <w:rFonts w:ascii="Arial" w:hAnsi="Arial" w:cs="Arial"/>
        </w:rPr>
        <w:t>audience. This</w:t>
      </w:r>
      <w:r w:rsidRPr="00187CB1">
        <w:rPr>
          <w:rFonts w:ascii="Arial" w:hAnsi="Arial" w:cs="Arial"/>
        </w:rPr>
        <w:t xml:space="preserve"> campaign is in response to the increase in self-care/prevention, as well as the remote monitoring of many individuals during the COVID-19 pandemic. Older adults became more accepting of using digital tools to help them with their health and personal safety during this time and marketers also adjusted their marketing messages to correspond with the current socio-economic landscape and uncertainty (Chatterjee et al. 2022).</w:t>
      </w:r>
    </w:p>
    <w:p w14:paraId="45AC6220" w14:textId="4EB24107" w:rsidR="00187CB1" w:rsidRPr="00187CB1" w:rsidRDefault="00187CB1" w:rsidP="00187CB1">
      <w:pPr>
        <w:spacing w:line="480" w:lineRule="auto"/>
        <w:rPr>
          <w:rFonts w:ascii="Arial" w:hAnsi="Arial" w:cs="Arial"/>
        </w:rPr>
      </w:pPr>
      <w:r w:rsidRPr="00187CB1">
        <w:rPr>
          <w:rFonts w:ascii="Arial" w:hAnsi="Arial" w:cs="Arial"/>
        </w:rPr>
        <w:t xml:space="preserve">In addition to being a reaction to the current trend of self-care/prevention, the rationale behind the campaign is supported by Growth-oriented Strategy Theory; growth-oriented strategies are growth-driven. Market development, in Ansoff's Model, involves changing the target market segment of an already-established product. The introduction of this campaign is an example of growth-oriented strategy because it allows for the development of a new customer segment providing greater strategic growth opportunity and competitive advantage as compared to their competition in mature markets (Guilherme and Mendes 2023). The proposition of the campaign also promotes social well-being and supports Samsung's brand identity as an innovative company based on creating value for customers and communication of </w:t>
      </w:r>
      <w:r w:rsidRPr="00187CB1">
        <w:rPr>
          <w:rFonts w:ascii="Arial" w:hAnsi="Arial" w:cs="Arial"/>
        </w:rPr>
        <w:lastRenderedPageBreak/>
        <w:t>value and the long-term relationships that are created with customers (Kotler, 2020; Paley, 2017). The campaign recogni</w:t>
      </w:r>
      <w:r w:rsidR="00BB6F82">
        <w:rPr>
          <w:rFonts w:ascii="Arial" w:hAnsi="Arial" w:cs="Arial"/>
        </w:rPr>
        <w:t>s</w:t>
      </w:r>
      <w:r w:rsidRPr="00187CB1">
        <w:rPr>
          <w:rFonts w:ascii="Arial" w:hAnsi="Arial" w:cs="Arial"/>
        </w:rPr>
        <w:t>es the growing importance of digital ecosystems and CRM platforms in building lasting relationships with consumers and increasing retention throughout the product lifecycle (Hybrid TP 2015).</w:t>
      </w:r>
    </w:p>
    <w:p w14:paraId="278FF4B2" w14:textId="77777777" w:rsidR="00187CB1" w:rsidRPr="00BB6F82" w:rsidRDefault="00187CB1" w:rsidP="00187CB1">
      <w:pPr>
        <w:spacing w:line="480" w:lineRule="auto"/>
        <w:rPr>
          <w:rFonts w:ascii="Arial" w:hAnsi="Arial" w:cs="Arial"/>
          <w:b/>
          <w:bCs/>
        </w:rPr>
      </w:pPr>
      <w:r w:rsidRPr="00BB6F82">
        <w:rPr>
          <w:rFonts w:ascii="Arial" w:hAnsi="Arial" w:cs="Arial"/>
          <w:b/>
          <w:bCs/>
        </w:rPr>
        <w:t>Segmentation, Targeting and Positioning</w:t>
      </w:r>
    </w:p>
    <w:p w14:paraId="57A21DA5" w14:textId="2D96E7D8" w:rsidR="00CB1594" w:rsidRDefault="00187CB1" w:rsidP="00187CB1">
      <w:pPr>
        <w:spacing w:line="480" w:lineRule="auto"/>
        <w:rPr>
          <w:rFonts w:ascii="Arial" w:hAnsi="Arial" w:cs="Arial"/>
        </w:rPr>
      </w:pPr>
      <w:r w:rsidRPr="00187CB1">
        <w:rPr>
          <w:rFonts w:ascii="Arial" w:hAnsi="Arial" w:cs="Arial"/>
        </w:rPr>
        <w:t xml:space="preserve">Segmentation consists of demographic, psychographic, geographic and </w:t>
      </w:r>
      <w:r w:rsidR="00BB6F82" w:rsidRPr="00187CB1">
        <w:rPr>
          <w:rFonts w:ascii="Arial" w:hAnsi="Arial" w:cs="Arial"/>
        </w:rPr>
        <w:t>behavioural</w:t>
      </w:r>
      <w:r w:rsidRPr="00187CB1">
        <w:rPr>
          <w:rFonts w:ascii="Arial" w:hAnsi="Arial" w:cs="Arial"/>
        </w:rPr>
        <w:t xml:space="preserve"> variable categories and are in line with existing frameworks within the marketing discipline (Kotler and Keller, 2016). The segmentation of Samsung's target market consists of urban and suburban older adults (55+) who tend to be either active or are still working. This group tends to be health-conscious, somewhat tech-confident, and are becoming increasingly interested in devices that allow them to maintain their own independence, health, and well-being. From a </w:t>
      </w:r>
      <w:r w:rsidR="00BB6F82" w:rsidRPr="00187CB1">
        <w:rPr>
          <w:rFonts w:ascii="Arial" w:hAnsi="Arial" w:cs="Arial"/>
        </w:rPr>
        <w:t>behavioural</w:t>
      </w:r>
      <w:r w:rsidRPr="00187CB1">
        <w:rPr>
          <w:rFonts w:ascii="Arial" w:hAnsi="Arial" w:cs="Arial"/>
        </w:rPr>
        <w:t xml:space="preserve"> perspective, these customers are looking for reliability, trust, and simplicity in their products instead of solely focusing on performance or sports messaging. This segment tends to be drawn to brands that provide assurance of service delivery, credible health information, and after-sales </w:t>
      </w:r>
      <w:r w:rsidR="00BB6F82" w:rsidRPr="00187CB1">
        <w:rPr>
          <w:rFonts w:ascii="Arial" w:hAnsi="Arial" w:cs="Arial"/>
        </w:rPr>
        <w:t>support. This</w:t>
      </w:r>
      <w:r w:rsidRPr="00187CB1">
        <w:rPr>
          <w:rFonts w:ascii="Arial" w:hAnsi="Arial" w:cs="Arial"/>
        </w:rPr>
        <w:t xml:space="preserve"> campaign takes a narrow approach to targeting, directing efforts specifically towards the </w:t>
      </w:r>
      <w:r w:rsidR="00CB1594" w:rsidRPr="00187CB1">
        <w:rPr>
          <w:rFonts w:ascii="Arial" w:hAnsi="Arial" w:cs="Arial"/>
        </w:rPr>
        <w:t>clearly defined</w:t>
      </w:r>
      <w:r w:rsidRPr="00187CB1">
        <w:rPr>
          <w:rFonts w:ascii="Arial" w:hAnsi="Arial" w:cs="Arial"/>
        </w:rPr>
        <w:t xml:space="preserve"> senior wellness market versus the overall smartwatch market. Such an approach focuses on consumers who derive both functional and emotional value from health monitoring, early warning alerts and remote care communication; namely, those who are aging or baby boomers themselves or are caregivers to someone.</w:t>
      </w:r>
    </w:p>
    <w:p w14:paraId="51EFBB74" w14:textId="77777777" w:rsidR="00CB1594" w:rsidRDefault="00187CB1" w:rsidP="00187CB1">
      <w:pPr>
        <w:spacing w:line="480" w:lineRule="auto"/>
        <w:rPr>
          <w:rFonts w:ascii="Arial" w:hAnsi="Arial" w:cs="Arial"/>
        </w:rPr>
      </w:pPr>
      <w:r w:rsidRPr="00187CB1">
        <w:rPr>
          <w:rFonts w:ascii="Arial" w:hAnsi="Arial" w:cs="Arial"/>
        </w:rPr>
        <w:t xml:space="preserve">The concept behind this targeting strategy is based on a combination of strategies and principles; the most notable one being that the best practice (or recommended course of action) for providing a competitive advantage is through targeting specific </w:t>
      </w:r>
      <w:r w:rsidRPr="00187CB1">
        <w:rPr>
          <w:rFonts w:ascii="Arial" w:hAnsi="Arial" w:cs="Arial"/>
        </w:rPr>
        <w:lastRenderedPageBreak/>
        <w:t>market segments where your company can deliver a unique value proposition. (Ries &amp; Trout, 2001; Kotler &amp; Keller, 2016).</w:t>
      </w:r>
    </w:p>
    <w:p w14:paraId="1A7C415D" w14:textId="77777777" w:rsidR="00CB1594" w:rsidRDefault="00187CB1" w:rsidP="00187CB1">
      <w:pPr>
        <w:spacing w:line="480" w:lineRule="auto"/>
        <w:rPr>
          <w:rFonts w:ascii="Arial" w:hAnsi="Arial" w:cs="Arial"/>
        </w:rPr>
      </w:pPr>
      <w:r w:rsidRPr="00187CB1">
        <w:rPr>
          <w:rFonts w:ascii="Arial" w:hAnsi="Arial" w:cs="Arial"/>
        </w:rPr>
        <w:t>The position of the campaign focuses on reframing the Galaxy Watch6 product not as just another technology gadget but rather as a trusted digital companion for independence, wellbeing and security in daily life. Positioned as a premium health support device, the Galaxy Watch6 has been engineered to help older adults monitor their vital signs, stay connected with their families, and maintain a healthy active lifestyle.</w:t>
      </w:r>
    </w:p>
    <w:p w14:paraId="1A9F0E28" w14:textId="6D6BE934" w:rsidR="00187CB1" w:rsidRPr="00187CB1" w:rsidRDefault="00187CB1" w:rsidP="00187CB1">
      <w:pPr>
        <w:spacing w:line="480" w:lineRule="auto"/>
        <w:rPr>
          <w:rFonts w:ascii="Arial" w:hAnsi="Arial" w:cs="Arial"/>
        </w:rPr>
      </w:pPr>
      <w:r w:rsidRPr="00187CB1">
        <w:rPr>
          <w:rFonts w:ascii="Arial" w:hAnsi="Arial" w:cs="Arial"/>
        </w:rPr>
        <w:t>When positioning this product, Samsung emphasi</w:t>
      </w:r>
      <w:r w:rsidR="00CB1594">
        <w:rPr>
          <w:rFonts w:ascii="Arial" w:hAnsi="Arial" w:cs="Arial"/>
        </w:rPr>
        <w:t>s</w:t>
      </w:r>
      <w:r w:rsidRPr="00187CB1">
        <w:rPr>
          <w:rFonts w:ascii="Arial" w:hAnsi="Arial" w:cs="Arial"/>
        </w:rPr>
        <w:t>es the concepts of: Reliability, Safety and Reassurance, while also retaining Samsung's prestigious reputation for technological sophistication and design quality. This brand position is aligned with the brand positioning theories, which assert the importance of Emotional Meaning, Symbolic Value and Differentiation in the Consumer's mind. (Ries &amp; Trout, 2001; Godey et al., 2016). By combining premium brand positioning with health messaging, the campaign further reinforces Samsung as an Innovative and Human-</w:t>
      </w:r>
      <w:r w:rsidR="00CB1594" w:rsidRPr="00187CB1">
        <w:rPr>
          <w:rFonts w:ascii="Arial" w:hAnsi="Arial" w:cs="Arial"/>
        </w:rPr>
        <w:t>Centred</w:t>
      </w:r>
      <w:r w:rsidRPr="00187CB1">
        <w:rPr>
          <w:rFonts w:ascii="Arial" w:hAnsi="Arial" w:cs="Arial"/>
        </w:rPr>
        <w:t xml:space="preserve"> Technology Brand.</w:t>
      </w:r>
    </w:p>
    <w:p w14:paraId="007B43DF" w14:textId="5FDE5172" w:rsidR="00187CB1" w:rsidRPr="00CB1594" w:rsidRDefault="00187CB1" w:rsidP="00187CB1">
      <w:pPr>
        <w:spacing w:line="480" w:lineRule="auto"/>
        <w:rPr>
          <w:rFonts w:ascii="Arial" w:hAnsi="Arial" w:cs="Arial"/>
          <w:b/>
          <w:bCs/>
        </w:rPr>
      </w:pPr>
      <w:r w:rsidRPr="00CB1594">
        <w:rPr>
          <w:rFonts w:ascii="Arial" w:hAnsi="Arial" w:cs="Arial"/>
          <w:b/>
          <w:bCs/>
        </w:rPr>
        <w:t>Digital Marketing Strategy and Channels</w:t>
      </w:r>
    </w:p>
    <w:p w14:paraId="1355A1A3" w14:textId="77777777" w:rsidR="00CB1594" w:rsidRDefault="00187CB1" w:rsidP="00187CB1">
      <w:pPr>
        <w:spacing w:line="480" w:lineRule="auto"/>
        <w:rPr>
          <w:rFonts w:ascii="Arial" w:hAnsi="Arial" w:cs="Arial"/>
        </w:rPr>
      </w:pPr>
      <w:r w:rsidRPr="00187CB1">
        <w:rPr>
          <w:rFonts w:ascii="Arial" w:hAnsi="Arial" w:cs="Arial"/>
        </w:rPr>
        <w:t xml:space="preserve">The campaign is situated within an Integrated Marketing Communications strategy, ensuring consistent messaging, tone, and value propositions across all digital channels while also supporting select offline </w:t>
      </w:r>
      <w:r w:rsidR="00CB1594" w:rsidRPr="00187CB1">
        <w:rPr>
          <w:rFonts w:ascii="Arial" w:hAnsi="Arial" w:cs="Arial"/>
        </w:rPr>
        <w:t>activities. According</w:t>
      </w:r>
      <w:r w:rsidRPr="00187CB1">
        <w:rPr>
          <w:rFonts w:ascii="Arial" w:hAnsi="Arial" w:cs="Arial"/>
        </w:rPr>
        <w:t xml:space="preserve"> to Garcia and Lee (2022), and Weitz and Wensley (2020), integrating traditional and digital communication provides both credibility and reach, therefore successfully supporting a customer's seamless transition from awareness to purchase (and post purchase engagement).</w:t>
      </w:r>
    </w:p>
    <w:p w14:paraId="11A30A6F" w14:textId="7DCD7A05" w:rsidR="00CB1594" w:rsidRDefault="00187CB1" w:rsidP="00187CB1">
      <w:pPr>
        <w:spacing w:line="480" w:lineRule="auto"/>
        <w:rPr>
          <w:rFonts w:ascii="Arial" w:hAnsi="Arial" w:cs="Arial"/>
        </w:rPr>
      </w:pPr>
      <w:r w:rsidRPr="00187CB1">
        <w:rPr>
          <w:rFonts w:ascii="Arial" w:hAnsi="Arial" w:cs="Arial"/>
        </w:rPr>
        <w:lastRenderedPageBreak/>
        <w:t xml:space="preserve">The Galaxy Watch6 campaign's central narrative theme, "Live Well, Stay Connected", positions the Galaxy Watch6 as a companion in </w:t>
      </w:r>
      <w:r w:rsidR="00CB1594">
        <w:rPr>
          <w:rFonts w:ascii="Arial" w:hAnsi="Arial" w:cs="Arial"/>
        </w:rPr>
        <w:t>a</w:t>
      </w:r>
      <w:r w:rsidRPr="00187CB1">
        <w:rPr>
          <w:rFonts w:ascii="Arial" w:hAnsi="Arial" w:cs="Arial"/>
        </w:rPr>
        <w:t xml:space="preserve">ctive </w:t>
      </w:r>
      <w:r w:rsidR="00CB1594">
        <w:rPr>
          <w:rFonts w:ascii="Arial" w:hAnsi="Arial" w:cs="Arial"/>
        </w:rPr>
        <w:t>a</w:t>
      </w:r>
      <w:r w:rsidRPr="00187CB1">
        <w:rPr>
          <w:rFonts w:ascii="Arial" w:hAnsi="Arial" w:cs="Arial"/>
        </w:rPr>
        <w:t xml:space="preserve">geing, </w:t>
      </w:r>
      <w:r w:rsidR="00CB1594" w:rsidRPr="00187CB1">
        <w:rPr>
          <w:rFonts w:ascii="Arial" w:hAnsi="Arial" w:cs="Arial"/>
        </w:rPr>
        <w:t>everyday</w:t>
      </w:r>
      <w:r w:rsidRPr="00187CB1">
        <w:rPr>
          <w:rFonts w:ascii="Arial" w:hAnsi="Arial" w:cs="Arial"/>
        </w:rPr>
        <w:t xml:space="preserve"> confidence in </w:t>
      </w:r>
      <w:r w:rsidR="00CB1594">
        <w:rPr>
          <w:rFonts w:ascii="Arial" w:hAnsi="Arial" w:cs="Arial"/>
        </w:rPr>
        <w:t>h</w:t>
      </w:r>
      <w:r w:rsidRPr="00187CB1">
        <w:rPr>
          <w:rFonts w:ascii="Arial" w:hAnsi="Arial" w:cs="Arial"/>
        </w:rPr>
        <w:t xml:space="preserve">ealth and </w:t>
      </w:r>
      <w:r w:rsidR="00CB1594">
        <w:rPr>
          <w:rFonts w:ascii="Arial" w:hAnsi="Arial" w:cs="Arial"/>
        </w:rPr>
        <w:t>e</w:t>
      </w:r>
      <w:r w:rsidRPr="00187CB1">
        <w:rPr>
          <w:rFonts w:ascii="Arial" w:hAnsi="Arial" w:cs="Arial"/>
        </w:rPr>
        <w:t xml:space="preserve">motional </w:t>
      </w:r>
      <w:r w:rsidR="00CB1594">
        <w:rPr>
          <w:rFonts w:ascii="Arial" w:hAnsi="Arial" w:cs="Arial"/>
        </w:rPr>
        <w:t>s</w:t>
      </w:r>
      <w:r w:rsidRPr="00187CB1">
        <w:rPr>
          <w:rFonts w:ascii="Arial" w:hAnsi="Arial" w:cs="Arial"/>
        </w:rPr>
        <w:t>ecurity.</w:t>
      </w:r>
    </w:p>
    <w:p w14:paraId="1F07D394" w14:textId="078C61C3" w:rsidR="00CB1594" w:rsidRDefault="00187CB1" w:rsidP="00187CB1">
      <w:pPr>
        <w:spacing w:line="480" w:lineRule="auto"/>
        <w:rPr>
          <w:rFonts w:ascii="Arial" w:hAnsi="Arial" w:cs="Arial"/>
        </w:rPr>
      </w:pPr>
      <w:r w:rsidRPr="00187CB1">
        <w:rPr>
          <w:rFonts w:ascii="Arial" w:hAnsi="Arial" w:cs="Arial"/>
        </w:rPr>
        <w:t xml:space="preserve">A significant portion of the Campaign's Digital Communication strategy is connected to </w:t>
      </w:r>
      <w:r w:rsidR="00F5227E">
        <w:rPr>
          <w:rFonts w:ascii="Arial" w:hAnsi="Arial" w:cs="Arial"/>
        </w:rPr>
        <w:t>s</w:t>
      </w:r>
      <w:r w:rsidRPr="00187CB1">
        <w:rPr>
          <w:rFonts w:ascii="Arial" w:hAnsi="Arial" w:cs="Arial"/>
        </w:rPr>
        <w:t xml:space="preserve">ocial </w:t>
      </w:r>
      <w:r w:rsidR="00F5227E">
        <w:rPr>
          <w:rFonts w:ascii="Arial" w:hAnsi="Arial" w:cs="Arial"/>
        </w:rPr>
        <w:t>m</w:t>
      </w:r>
      <w:r w:rsidRPr="00187CB1">
        <w:rPr>
          <w:rFonts w:ascii="Arial" w:hAnsi="Arial" w:cs="Arial"/>
        </w:rPr>
        <w:t xml:space="preserve">edia platforms, </w:t>
      </w:r>
      <w:r w:rsidR="00F5227E">
        <w:rPr>
          <w:rFonts w:ascii="Arial" w:hAnsi="Arial" w:cs="Arial"/>
        </w:rPr>
        <w:t>s</w:t>
      </w:r>
      <w:r w:rsidRPr="00187CB1">
        <w:rPr>
          <w:rFonts w:ascii="Arial" w:hAnsi="Arial" w:cs="Arial"/>
        </w:rPr>
        <w:t xml:space="preserve">earch </w:t>
      </w:r>
      <w:r w:rsidR="00F5227E">
        <w:rPr>
          <w:rFonts w:ascii="Arial" w:hAnsi="Arial" w:cs="Arial"/>
        </w:rPr>
        <w:t>e</w:t>
      </w:r>
      <w:r w:rsidRPr="00187CB1">
        <w:rPr>
          <w:rFonts w:ascii="Arial" w:hAnsi="Arial" w:cs="Arial"/>
        </w:rPr>
        <w:t xml:space="preserve">ngine </w:t>
      </w:r>
      <w:r w:rsidR="00F5227E">
        <w:rPr>
          <w:rFonts w:ascii="Arial" w:hAnsi="Arial" w:cs="Arial"/>
        </w:rPr>
        <w:t>m</w:t>
      </w:r>
      <w:r w:rsidRPr="00187CB1">
        <w:rPr>
          <w:rFonts w:ascii="Arial" w:hAnsi="Arial" w:cs="Arial"/>
        </w:rPr>
        <w:t xml:space="preserve">arketing, </w:t>
      </w:r>
      <w:r w:rsidR="00F5227E">
        <w:rPr>
          <w:rFonts w:ascii="Arial" w:hAnsi="Arial" w:cs="Arial"/>
        </w:rPr>
        <w:t>e</w:t>
      </w:r>
      <w:r w:rsidRPr="00187CB1">
        <w:rPr>
          <w:rFonts w:ascii="Arial" w:hAnsi="Arial" w:cs="Arial"/>
        </w:rPr>
        <w:t xml:space="preserve">mail, </w:t>
      </w:r>
      <w:r w:rsidR="00F5227E">
        <w:rPr>
          <w:rFonts w:ascii="Arial" w:hAnsi="Arial" w:cs="Arial"/>
        </w:rPr>
        <w:t>c</w:t>
      </w:r>
      <w:r w:rsidRPr="00187CB1">
        <w:rPr>
          <w:rFonts w:ascii="Arial" w:hAnsi="Arial" w:cs="Arial"/>
        </w:rPr>
        <w:t xml:space="preserve">ontent </w:t>
      </w:r>
      <w:r w:rsidR="00F5227E">
        <w:rPr>
          <w:rFonts w:ascii="Arial" w:hAnsi="Arial" w:cs="Arial"/>
        </w:rPr>
        <w:t>m</w:t>
      </w:r>
      <w:r w:rsidRPr="00187CB1">
        <w:rPr>
          <w:rFonts w:ascii="Arial" w:hAnsi="Arial" w:cs="Arial"/>
        </w:rPr>
        <w:t xml:space="preserve">arketing and CRM-driven </w:t>
      </w:r>
      <w:r w:rsidR="00F5227E">
        <w:rPr>
          <w:rFonts w:ascii="Arial" w:hAnsi="Arial" w:cs="Arial"/>
        </w:rPr>
        <w:t>p</w:t>
      </w:r>
      <w:r w:rsidRPr="00187CB1">
        <w:rPr>
          <w:rFonts w:ascii="Arial" w:hAnsi="Arial" w:cs="Arial"/>
        </w:rPr>
        <w:t xml:space="preserve">ersonalisation. Platforms like Facebook and YouTube were prioritised due to their large number of </w:t>
      </w:r>
      <w:r w:rsidR="00CB1594">
        <w:rPr>
          <w:rFonts w:ascii="Arial" w:hAnsi="Arial" w:cs="Arial"/>
        </w:rPr>
        <w:t>o</w:t>
      </w:r>
      <w:r w:rsidRPr="00187CB1">
        <w:rPr>
          <w:rFonts w:ascii="Arial" w:hAnsi="Arial" w:cs="Arial"/>
        </w:rPr>
        <w:t xml:space="preserve">lder </w:t>
      </w:r>
      <w:r w:rsidR="00CB1594">
        <w:rPr>
          <w:rFonts w:ascii="Arial" w:hAnsi="Arial" w:cs="Arial"/>
        </w:rPr>
        <w:t>a</w:t>
      </w:r>
      <w:r w:rsidRPr="00187CB1">
        <w:rPr>
          <w:rFonts w:ascii="Arial" w:hAnsi="Arial" w:cs="Arial"/>
        </w:rPr>
        <w:t xml:space="preserve">dult users, as well as their capability to contain both </w:t>
      </w:r>
      <w:r w:rsidR="00CB1594">
        <w:rPr>
          <w:rFonts w:ascii="Arial" w:hAnsi="Arial" w:cs="Arial"/>
        </w:rPr>
        <w:t>s</w:t>
      </w:r>
      <w:r w:rsidRPr="00187CB1">
        <w:rPr>
          <w:rFonts w:ascii="Arial" w:hAnsi="Arial" w:cs="Arial"/>
        </w:rPr>
        <w:t xml:space="preserve">torytelling and </w:t>
      </w:r>
      <w:r w:rsidR="00CB1594">
        <w:rPr>
          <w:rFonts w:ascii="Arial" w:hAnsi="Arial" w:cs="Arial"/>
        </w:rPr>
        <w:t>t</w:t>
      </w:r>
      <w:r w:rsidRPr="00187CB1">
        <w:rPr>
          <w:rFonts w:ascii="Arial" w:hAnsi="Arial" w:cs="Arial"/>
        </w:rPr>
        <w:t>estimonials.</w:t>
      </w:r>
    </w:p>
    <w:p w14:paraId="677959DA" w14:textId="3949C1EC" w:rsidR="00187CB1" w:rsidRPr="00187CB1" w:rsidRDefault="00187CB1" w:rsidP="00187CB1">
      <w:pPr>
        <w:spacing w:line="480" w:lineRule="auto"/>
        <w:rPr>
          <w:rFonts w:ascii="Arial" w:hAnsi="Arial" w:cs="Arial"/>
        </w:rPr>
      </w:pPr>
      <w:r w:rsidRPr="00187CB1">
        <w:rPr>
          <w:rFonts w:ascii="Arial" w:hAnsi="Arial" w:cs="Arial"/>
        </w:rPr>
        <w:t xml:space="preserve">As illustrated in the campaign, relatable </w:t>
      </w:r>
      <w:r w:rsidR="00CB1594">
        <w:rPr>
          <w:rFonts w:ascii="Arial" w:hAnsi="Arial" w:cs="Arial"/>
        </w:rPr>
        <w:t>l</w:t>
      </w:r>
      <w:r w:rsidRPr="00187CB1">
        <w:rPr>
          <w:rFonts w:ascii="Arial" w:hAnsi="Arial" w:cs="Arial"/>
        </w:rPr>
        <w:t xml:space="preserve">ifestyle </w:t>
      </w:r>
      <w:r w:rsidR="00CB1594">
        <w:rPr>
          <w:rFonts w:ascii="Arial" w:hAnsi="Arial" w:cs="Arial"/>
        </w:rPr>
        <w:t>n</w:t>
      </w:r>
      <w:r w:rsidRPr="00187CB1">
        <w:rPr>
          <w:rFonts w:ascii="Arial" w:hAnsi="Arial" w:cs="Arial"/>
        </w:rPr>
        <w:t xml:space="preserve">arratives of </w:t>
      </w:r>
      <w:r w:rsidR="00F5227E">
        <w:rPr>
          <w:rFonts w:ascii="Arial" w:hAnsi="Arial" w:cs="Arial"/>
        </w:rPr>
        <w:t>o</w:t>
      </w:r>
      <w:r w:rsidRPr="00187CB1">
        <w:rPr>
          <w:rFonts w:ascii="Arial" w:hAnsi="Arial" w:cs="Arial"/>
        </w:rPr>
        <w:t xml:space="preserve">lder </w:t>
      </w:r>
      <w:r w:rsidR="00F5227E">
        <w:rPr>
          <w:rFonts w:ascii="Arial" w:hAnsi="Arial" w:cs="Arial"/>
        </w:rPr>
        <w:t>a</w:t>
      </w:r>
      <w:r w:rsidRPr="00187CB1">
        <w:rPr>
          <w:rFonts w:ascii="Arial" w:hAnsi="Arial" w:cs="Arial"/>
        </w:rPr>
        <w:t xml:space="preserve">dults walking, travelling, engaging in </w:t>
      </w:r>
      <w:r w:rsidR="00F5227E">
        <w:rPr>
          <w:rFonts w:ascii="Arial" w:hAnsi="Arial" w:cs="Arial"/>
        </w:rPr>
        <w:t>g</w:t>
      </w:r>
      <w:r w:rsidRPr="00187CB1">
        <w:rPr>
          <w:rFonts w:ascii="Arial" w:hAnsi="Arial" w:cs="Arial"/>
        </w:rPr>
        <w:t xml:space="preserve">entle </w:t>
      </w:r>
      <w:r w:rsidR="00F5227E">
        <w:rPr>
          <w:rFonts w:ascii="Arial" w:hAnsi="Arial" w:cs="Arial"/>
        </w:rPr>
        <w:t>e</w:t>
      </w:r>
      <w:r w:rsidRPr="00187CB1">
        <w:rPr>
          <w:rFonts w:ascii="Arial" w:hAnsi="Arial" w:cs="Arial"/>
        </w:rPr>
        <w:t xml:space="preserve">xercise and </w:t>
      </w:r>
      <w:r w:rsidR="00F5227E">
        <w:rPr>
          <w:rFonts w:ascii="Arial" w:hAnsi="Arial" w:cs="Arial"/>
        </w:rPr>
        <w:t>s</w:t>
      </w:r>
      <w:r w:rsidRPr="00187CB1">
        <w:rPr>
          <w:rFonts w:ascii="Arial" w:hAnsi="Arial" w:cs="Arial"/>
        </w:rPr>
        <w:t xml:space="preserve">taying </w:t>
      </w:r>
      <w:r w:rsidR="00F5227E">
        <w:rPr>
          <w:rFonts w:ascii="Arial" w:hAnsi="Arial" w:cs="Arial"/>
        </w:rPr>
        <w:t>c</w:t>
      </w:r>
      <w:r w:rsidRPr="00187CB1">
        <w:rPr>
          <w:rFonts w:ascii="Arial" w:hAnsi="Arial" w:cs="Arial"/>
        </w:rPr>
        <w:t xml:space="preserve">onnected to family are used to highlight the real-life benefits of reassurance, independence and improved wellbeing. As detailed by Tiago and Ver٠ssimo (2022), and Godey et al. (2016), engaging </w:t>
      </w:r>
      <w:r w:rsidR="00F5227E">
        <w:rPr>
          <w:rFonts w:ascii="Arial" w:hAnsi="Arial" w:cs="Arial"/>
        </w:rPr>
        <w:t>c</w:t>
      </w:r>
      <w:r w:rsidRPr="00187CB1">
        <w:rPr>
          <w:rFonts w:ascii="Arial" w:hAnsi="Arial" w:cs="Arial"/>
        </w:rPr>
        <w:t xml:space="preserve">ustomers through </w:t>
      </w:r>
      <w:r w:rsidR="00F5227E">
        <w:rPr>
          <w:rFonts w:ascii="Arial" w:hAnsi="Arial" w:cs="Arial"/>
        </w:rPr>
        <w:t>s</w:t>
      </w:r>
      <w:r w:rsidRPr="00187CB1">
        <w:rPr>
          <w:rFonts w:ascii="Arial" w:hAnsi="Arial" w:cs="Arial"/>
        </w:rPr>
        <w:t xml:space="preserve">ocial </w:t>
      </w:r>
      <w:r w:rsidR="00F5227E">
        <w:rPr>
          <w:rFonts w:ascii="Arial" w:hAnsi="Arial" w:cs="Arial"/>
        </w:rPr>
        <w:t>m</w:t>
      </w:r>
      <w:r w:rsidRPr="00187CB1">
        <w:rPr>
          <w:rFonts w:ascii="Arial" w:hAnsi="Arial" w:cs="Arial"/>
        </w:rPr>
        <w:t xml:space="preserve">edia therefore has a substantial impact on shaping </w:t>
      </w:r>
      <w:r w:rsidR="00F5227E">
        <w:rPr>
          <w:rFonts w:ascii="Arial" w:hAnsi="Arial" w:cs="Arial"/>
        </w:rPr>
        <w:t>c</w:t>
      </w:r>
      <w:r w:rsidRPr="00187CB1">
        <w:rPr>
          <w:rFonts w:ascii="Arial" w:hAnsi="Arial" w:cs="Arial"/>
        </w:rPr>
        <w:t xml:space="preserve">ustomer's perceptions of Brand Value, as well as influencing customer behaviour where </w:t>
      </w:r>
      <w:r w:rsidR="00F5227E">
        <w:rPr>
          <w:rFonts w:ascii="Arial" w:hAnsi="Arial" w:cs="Arial"/>
        </w:rPr>
        <w:t>t</w:t>
      </w:r>
      <w:r w:rsidRPr="00187CB1">
        <w:rPr>
          <w:rFonts w:ascii="Arial" w:hAnsi="Arial" w:cs="Arial"/>
        </w:rPr>
        <w:t xml:space="preserve">rust and </w:t>
      </w:r>
      <w:r w:rsidR="00F5227E">
        <w:rPr>
          <w:rFonts w:ascii="Arial" w:hAnsi="Arial" w:cs="Arial"/>
        </w:rPr>
        <w:t>e</w:t>
      </w:r>
      <w:r w:rsidRPr="00187CB1">
        <w:rPr>
          <w:rFonts w:ascii="Arial" w:hAnsi="Arial" w:cs="Arial"/>
        </w:rPr>
        <w:t xml:space="preserve">motional </w:t>
      </w:r>
      <w:r w:rsidR="00F5227E">
        <w:rPr>
          <w:rFonts w:ascii="Arial" w:hAnsi="Arial" w:cs="Arial"/>
        </w:rPr>
        <w:t>r</w:t>
      </w:r>
      <w:r w:rsidRPr="00187CB1">
        <w:rPr>
          <w:rFonts w:ascii="Arial" w:hAnsi="Arial" w:cs="Arial"/>
        </w:rPr>
        <w:t>esonance are key influencers of the purchase decision.</w:t>
      </w:r>
    </w:p>
    <w:p w14:paraId="7DAC7F40" w14:textId="719ED95F" w:rsidR="00187CB1" w:rsidRPr="00187CB1" w:rsidRDefault="00187CB1" w:rsidP="00187CB1">
      <w:pPr>
        <w:spacing w:line="480" w:lineRule="auto"/>
        <w:rPr>
          <w:rFonts w:ascii="Arial" w:hAnsi="Arial" w:cs="Arial"/>
        </w:rPr>
      </w:pPr>
      <w:r w:rsidRPr="00187CB1">
        <w:rPr>
          <w:rFonts w:ascii="Arial" w:hAnsi="Arial" w:cs="Arial"/>
        </w:rPr>
        <w:t xml:space="preserve">In addition, </w:t>
      </w:r>
      <w:r w:rsidR="00F5227E">
        <w:rPr>
          <w:rFonts w:ascii="Arial" w:hAnsi="Arial" w:cs="Arial"/>
        </w:rPr>
        <w:t>s</w:t>
      </w:r>
      <w:r w:rsidRPr="00187CB1">
        <w:rPr>
          <w:rFonts w:ascii="Arial" w:hAnsi="Arial" w:cs="Arial"/>
        </w:rPr>
        <w:t xml:space="preserve">earch </w:t>
      </w:r>
      <w:r w:rsidR="00F5227E">
        <w:rPr>
          <w:rFonts w:ascii="Arial" w:hAnsi="Arial" w:cs="Arial"/>
        </w:rPr>
        <w:t>e</w:t>
      </w:r>
      <w:r w:rsidRPr="00187CB1">
        <w:rPr>
          <w:rFonts w:ascii="Arial" w:hAnsi="Arial" w:cs="Arial"/>
        </w:rPr>
        <w:t xml:space="preserve">ngine </w:t>
      </w:r>
      <w:r w:rsidR="00F5227E">
        <w:rPr>
          <w:rFonts w:ascii="Arial" w:hAnsi="Arial" w:cs="Arial"/>
        </w:rPr>
        <w:t>o</w:t>
      </w:r>
      <w:r w:rsidRPr="00187CB1">
        <w:rPr>
          <w:rFonts w:ascii="Arial" w:hAnsi="Arial" w:cs="Arial"/>
        </w:rPr>
        <w:t xml:space="preserve">ptimisation and </w:t>
      </w:r>
      <w:r w:rsidR="00F5227E">
        <w:rPr>
          <w:rFonts w:ascii="Arial" w:hAnsi="Arial" w:cs="Arial"/>
        </w:rPr>
        <w:t>p</w:t>
      </w:r>
      <w:r w:rsidRPr="00187CB1">
        <w:rPr>
          <w:rFonts w:ascii="Arial" w:hAnsi="Arial" w:cs="Arial"/>
        </w:rPr>
        <w:t xml:space="preserve">aid </w:t>
      </w:r>
      <w:r w:rsidR="00F5227E">
        <w:rPr>
          <w:rFonts w:ascii="Arial" w:hAnsi="Arial" w:cs="Arial"/>
        </w:rPr>
        <w:t>s</w:t>
      </w:r>
      <w:r w:rsidRPr="00187CB1">
        <w:rPr>
          <w:rFonts w:ascii="Arial" w:hAnsi="Arial" w:cs="Arial"/>
        </w:rPr>
        <w:t xml:space="preserve">earch </w:t>
      </w:r>
      <w:r w:rsidR="00F5227E">
        <w:rPr>
          <w:rFonts w:ascii="Arial" w:hAnsi="Arial" w:cs="Arial"/>
        </w:rPr>
        <w:t>a</w:t>
      </w:r>
      <w:r w:rsidRPr="00187CB1">
        <w:rPr>
          <w:rFonts w:ascii="Arial" w:hAnsi="Arial" w:cs="Arial"/>
        </w:rPr>
        <w:t xml:space="preserve">dvertising focus on </w:t>
      </w:r>
      <w:r w:rsidR="00F5227E">
        <w:rPr>
          <w:rFonts w:ascii="Arial" w:hAnsi="Arial" w:cs="Arial"/>
        </w:rPr>
        <w:t>s</w:t>
      </w:r>
      <w:r w:rsidRPr="00187CB1">
        <w:rPr>
          <w:rFonts w:ascii="Arial" w:hAnsi="Arial" w:cs="Arial"/>
        </w:rPr>
        <w:t xml:space="preserve">earch </w:t>
      </w:r>
      <w:r w:rsidR="00F5227E">
        <w:rPr>
          <w:rFonts w:ascii="Arial" w:hAnsi="Arial" w:cs="Arial"/>
        </w:rPr>
        <w:t>e</w:t>
      </w:r>
      <w:r w:rsidRPr="00187CB1">
        <w:rPr>
          <w:rFonts w:ascii="Arial" w:hAnsi="Arial" w:cs="Arial"/>
        </w:rPr>
        <w:t xml:space="preserve">ngine </w:t>
      </w:r>
      <w:r w:rsidR="00F5227E">
        <w:rPr>
          <w:rFonts w:ascii="Arial" w:hAnsi="Arial" w:cs="Arial"/>
        </w:rPr>
        <w:t>q</w:t>
      </w:r>
      <w:r w:rsidRPr="00187CB1">
        <w:rPr>
          <w:rFonts w:ascii="Arial" w:hAnsi="Arial" w:cs="Arial"/>
        </w:rPr>
        <w:t xml:space="preserve">ueries related to </w:t>
      </w:r>
      <w:r w:rsidR="00F5227E">
        <w:rPr>
          <w:rFonts w:ascii="Arial" w:hAnsi="Arial" w:cs="Arial"/>
        </w:rPr>
        <w:t>h</w:t>
      </w:r>
      <w:r w:rsidRPr="00187CB1">
        <w:rPr>
          <w:rFonts w:ascii="Arial" w:hAnsi="Arial" w:cs="Arial"/>
        </w:rPr>
        <w:t xml:space="preserve">ealth and </w:t>
      </w:r>
      <w:r w:rsidR="00F5227E">
        <w:rPr>
          <w:rFonts w:ascii="Arial" w:hAnsi="Arial" w:cs="Arial"/>
        </w:rPr>
        <w:t>l</w:t>
      </w:r>
      <w:r w:rsidRPr="00187CB1">
        <w:rPr>
          <w:rFonts w:ascii="Arial" w:hAnsi="Arial" w:cs="Arial"/>
        </w:rPr>
        <w:t xml:space="preserve">ifestyle, such as </w:t>
      </w:r>
      <w:r w:rsidR="00F5227E">
        <w:rPr>
          <w:rFonts w:ascii="Arial" w:hAnsi="Arial" w:cs="Arial"/>
        </w:rPr>
        <w:t>s</w:t>
      </w:r>
      <w:r w:rsidRPr="00187CB1">
        <w:rPr>
          <w:rFonts w:ascii="Arial" w:hAnsi="Arial" w:cs="Arial"/>
        </w:rPr>
        <w:t xml:space="preserve">martwatch </w:t>
      </w:r>
      <w:r w:rsidR="00F5227E">
        <w:rPr>
          <w:rFonts w:ascii="Arial" w:hAnsi="Arial" w:cs="Arial"/>
        </w:rPr>
        <w:t>h</w:t>
      </w:r>
      <w:r w:rsidRPr="00187CB1">
        <w:rPr>
          <w:rFonts w:ascii="Arial" w:hAnsi="Arial" w:cs="Arial"/>
        </w:rPr>
        <w:t xml:space="preserve">ealth </w:t>
      </w:r>
      <w:r w:rsidR="00F5227E">
        <w:rPr>
          <w:rFonts w:ascii="Arial" w:hAnsi="Arial" w:cs="Arial"/>
        </w:rPr>
        <w:t>m</w:t>
      </w:r>
      <w:r w:rsidRPr="00187CB1">
        <w:rPr>
          <w:rFonts w:ascii="Arial" w:hAnsi="Arial" w:cs="Arial"/>
        </w:rPr>
        <w:t xml:space="preserve">onitoring, </w:t>
      </w:r>
      <w:r w:rsidR="00F5227E">
        <w:rPr>
          <w:rFonts w:ascii="Arial" w:hAnsi="Arial" w:cs="Arial"/>
        </w:rPr>
        <w:t>h</w:t>
      </w:r>
      <w:r w:rsidRPr="00187CB1">
        <w:rPr>
          <w:rFonts w:ascii="Arial" w:hAnsi="Arial" w:cs="Arial"/>
        </w:rPr>
        <w:t xml:space="preserve">eart </w:t>
      </w:r>
      <w:r w:rsidR="00F5227E">
        <w:rPr>
          <w:rFonts w:ascii="Arial" w:hAnsi="Arial" w:cs="Arial"/>
        </w:rPr>
        <w:t>r</w:t>
      </w:r>
      <w:r w:rsidRPr="00187CB1">
        <w:rPr>
          <w:rFonts w:ascii="Arial" w:hAnsi="Arial" w:cs="Arial"/>
        </w:rPr>
        <w:t xml:space="preserve">ate </w:t>
      </w:r>
      <w:r w:rsidR="00F5227E">
        <w:rPr>
          <w:rFonts w:ascii="Arial" w:hAnsi="Arial" w:cs="Arial"/>
        </w:rPr>
        <w:t>t</w:t>
      </w:r>
      <w:r w:rsidRPr="00187CB1">
        <w:rPr>
          <w:rFonts w:ascii="Arial" w:hAnsi="Arial" w:cs="Arial"/>
        </w:rPr>
        <w:t xml:space="preserve">racking for </w:t>
      </w:r>
      <w:r w:rsidR="00F5227E">
        <w:rPr>
          <w:rFonts w:ascii="Arial" w:hAnsi="Arial" w:cs="Arial"/>
        </w:rPr>
        <w:t>s</w:t>
      </w:r>
      <w:r w:rsidRPr="00187CB1">
        <w:rPr>
          <w:rFonts w:ascii="Arial" w:hAnsi="Arial" w:cs="Arial"/>
        </w:rPr>
        <w:t xml:space="preserve">eniors, </w:t>
      </w:r>
      <w:r w:rsidR="00F5227E">
        <w:rPr>
          <w:rFonts w:ascii="Arial" w:hAnsi="Arial" w:cs="Arial"/>
        </w:rPr>
        <w:t>d</w:t>
      </w:r>
      <w:r w:rsidRPr="00187CB1">
        <w:rPr>
          <w:rFonts w:ascii="Arial" w:hAnsi="Arial" w:cs="Arial"/>
        </w:rPr>
        <w:t xml:space="preserve">igital </w:t>
      </w:r>
      <w:r w:rsidR="00F5227E">
        <w:rPr>
          <w:rFonts w:ascii="Arial" w:hAnsi="Arial" w:cs="Arial"/>
        </w:rPr>
        <w:t>f</w:t>
      </w:r>
      <w:r w:rsidRPr="00187CB1">
        <w:rPr>
          <w:rFonts w:ascii="Arial" w:hAnsi="Arial" w:cs="Arial"/>
        </w:rPr>
        <w:t xml:space="preserve">all </w:t>
      </w:r>
      <w:r w:rsidR="00F5227E">
        <w:rPr>
          <w:rFonts w:ascii="Arial" w:hAnsi="Arial" w:cs="Arial"/>
        </w:rPr>
        <w:t>d</w:t>
      </w:r>
      <w:r w:rsidRPr="00187CB1">
        <w:rPr>
          <w:rFonts w:ascii="Arial" w:hAnsi="Arial" w:cs="Arial"/>
        </w:rPr>
        <w:t xml:space="preserve">etection </w:t>
      </w:r>
      <w:r w:rsidR="00F5227E">
        <w:rPr>
          <w:rFonts w:ascii="Arial" w:hAnsi="Arial" w:cs="Arial"/>
        </w:rPr>
        <w:t>d</w:t>
      </w:r>
      <w:r w:rsidRPr="00187CB1">
        <w:rPr>
          <w:rFonts w:ascii="Arial" w:hAnsi="Arial" w:cs="Arial"/>
        </w:rPr>
        <w:t xml:space="preserve">evice and </w:t>
      </w:r>
      <w:r w:rsidR="00F5227E">
        <w:rPr>
          <w:rFonts w:ascii="Arial" w:hAnsi="Arial" w:cs="Arial"/>
        </w:rPr>
        <w:t>i</w:t>
      </w:r>
      <w:r w:rsidRPr="00187CB1">
        <w:rPr>
          <w:rFonts w:ascii="Arial" w:hAnsi="Arial" w:cs="Arial"/>
        </w:rPr>
        <w:t xml:space="preserve">ndependent </w:t>
      </w:r>
      <w:r w:rsidR="00F5227E">
        <w:rPr>
          <w:rFonts w:ascii="Arial" w:hAnsi="Arial" w:cs="Arial"/>
        </w:rPr>
        <w:t>l</w:t>
      </w:r>
      <w:r w:rsidRPr="00187CB1">
        <w:rPr>
          <w:rFonts w:ascii="Arial" w:hAnsi="Arial" w:cs="Arial"/>
        </w:rPr>
        <w:t xml:space="preserve">iving </w:t>
      </w:r>
      <w:r w:rsidR="00F5227E">
        <w:rPr>
          <w:rFonts w:ascii="Arial" w:hAnsi="Arial" w:cs="Arial"/>
        </w:rPr>
        <w:t>t</w:t>
      </w:r>
      <w:r w:rsidRPr="00187CB1">
        <w:rPr>
          <w:rFonts w:ascii="Arial" w:hAnsi="Arial" w:cs="Arial"/>
        </w:rPr>
        <w:t xml:space="preserve">echnologies. Dedicated </w:t>
      </w:r>
      <w:r w:rsidR="00CE244B">
        <w:rPr>
          <w:rFonts w:ascii="Arial" w:hAnsi="Arial" w:cs="Arial"/>
        </w:rPr>
        <w:t>l</w:t>
      </w:r>
      <w:r w:rsidRPr="00187CB1">
        <w:rPr>
          <w:rFonts w:ascii="Arial" w:hAnsi="Arial" w:cs="Arial"/>
        </w:rPr>
        <w:t xml:space="preserve">anding </w:t>
      </w:r>
      <w:r w:rsidR="00CE244B">
        <w:rPr>
          <w:rFonts w:ascii="Arial" w:hAnsi="Arial" w:cs="Arial"/>
        </w:rPr>
        <w:t>p</w:t>
      </w:r>
      <w:r w:rsidRPr="00187CB1">
        <w:rPr>
          <w:rFonts w:ascii="Arial" w:hAnsi="Arial" w:cs="Arial"/>
        </w:rPr>
        <w:t xml:space="preserve">ages are used for each type of </w:t>
      </w:r>
      <w:r w:rsidR="00F5227E">
        <w:rPr>
          <w:rFonts w:ascii="Arial" w:hAnsi="Arial" w:cs="Arial"/>
        </w:rPr>
        <w:t>s</w:t>
      </w:r>
      <w:r w:rsidRPr="00187CB1">
        <w:rPr>
          <w:rFonts w:ascii="Arial" w:hAnsi="Arial" w:cs="Arial"/>
        </w:rPr>
        <w:t xml:space="preserve">earch </w:t>
      </w:r>
      <w:r w:rsidR="00F5227E">
        <w:rPr>
          <w:rFonts w:ascii="Arial" w:hAnsi="Arial" w:cs="Arial"/>
        </w:rPr>
        <w:t>e</w:t>
      </w:r>
      <w:r w:rsidRPr="00187CB1">
        <w:rPr>
          <w:rFonts w:ascii="Arial" w:hAnsi="Arial" w:cs="Arial"/>
        </w:rPr>
        <w:t xml:space="preserve">ngine </w:t>
      </w:r>
      <w:r w:rsidR="00F5227E">
        <w:rPr>
          <w:rFonts w:ascii="Arial" w:hAnsi="Arial" w:cs="Arial"/>
        </w:rPr>
        <w:t>q</w:t>
      </w:r>
      <w:r w:rsidRPr="00187CB1">
        <w:rPr>
          <w:rFonts w:ascii="Arial" w:hAnsi="Arial" w:cs="Arial"/>
        </w:rPr>
        <w:t xml:space="preserve">uery to </w:t>
      </w:r>
      <w:r w:rsidR="00F5227E">
        <w:rPr>
          <w:rFonts w:ascii="Arial" w:hAnsi="Arial" w:cs="Arial"/>
        </w:rPr>
        <w:t>i</w:t>
      </w:r>
      <w:r w:rsidRPr="00187CB1">
        <w:rPr>
          <w:rFonts w:ascii="Arial" w:hAnsi="Arial" w:cs="Arial"/>
        </w:rPr>
        <w:t xml:space="preserve">nform </w:t>
      </w:r>
      <w:r w:rsidR="00F5227E">
        <w:rPr>
          <w:rFonts w:ascii="Arial" w:hAnsi="Arial" w:cs="Arial"/>
        </w:rPr>
        <w:t>u</w:t>
      </w:r>
      <w:r w:rsidRPr="00187CB1">
        <w:rPr>
          <w:rFonts w:ascii="Arial" w:hAnsi="Arial" w:cs="Arial"/>
        </w:rPr>
        <w:t xml:space="preserve">sers of the </w:t>
      </w:r>
      <w:r w:rsidR="00F5227E">
        <w:rPr>
          <w:rFonts w:ascii="Arial" w:hAnsi="Arial" w:cs="Arial"/>
        </w:rPr>
        <w:t>p</w:t>
      </w:r>
      <w:r w:rsidRPr="00187CB1">
        <w:rPr>
          <w:rFonts w:ascii="Arial" w:hAnsi="Arial" w:cs="Arial"/>
        </w:rPr>
        <w:t xml:space="preserve">urpose of </w:t>
      </w:r>
      <w:r w:rsidR="00F5227E">
        <w:rPr>
          <w:rFonts w:ascii="Arial" w:hAnsi="Arial" w:cs="Arial"/>
        </w:rPr>
        <w:t>e</w:t>
      </w:r>
      <w:r w:rsidRPr="00187CB1">
        <w:rPr>
          <w:rFonts w:ascii="Arial" w:hAnsi="Arial" w:cs="Arial"/>
        </w:rPr>
        <w:t xml:space="preserve">ach </w:t>
      </w:r>
      <w:r w:rsidR="00F5227E">
        <w:rPr>
          <w:rFonts w:ascii="Arial" w:hAnsi="Arial" w:cs="Arial"/>
        </w:rPr>
        <w:t>t</w:t>
      </w:r>
      <w:r w:rsidRPr="00187CB1">
        <w:rPr>
          <w:rFonts w:ascii="Arial" w:hAnsi="Arial" w:cs="Arial"/>
        </w:rPr>
        <w:t xml:space="preserve">ype of </w:t>
      </w:r>
      <w:r w:rsidR="001D1093">
        <w:rPr>
          <w:rFonts w:ascii="Arial" w:hAnsi="Arial" w:cs="Arial"/>
        </w:rPr>
        <w:t>d</w:t>
      </w:r>
      <w:r w:rsidRPr="00187CB1">
        <w:rPr>
          <w:rFonts w:ascii="Arial" w:hAnsi="Arial" w:cs="Arial"/>
        </w:rPr>
        <w:t xml:space="preserve">evice in a </w:t>
      </w:r>
      <w:r w:rsidR="00CE244B">
        <w:rPr>
          <w:rFonts w:ascii="Arial" w:hAnsi="Arial" w:cs="Arial"/>
        </w:rPr>
        <w:t>l</w:t>
      </w:r>
      <w:r w:rsidRPr="00187CB1">
        <w:rPr>
          <w:rFonts w:ascii="Arial" w:hAnsi="Arial" w:cs="Arial"/>
        </w:rPr>
        <w:t xml:space="preserve">anguage that is easy to understand. It is possible to provide a </w:t>
      </w:r>
      <w:r w:rsidR="00CE244B">
        <w:rPr>
          <w:rFonts w:ascii="Arial" w:hAnsi="Arial" w:cs="Arial"/>
        </w:rPr>
        <w:t>u</w:t>
      </w:r>
      <w:r w:rsidRPr="00187CB1">
        <w:rPr>
          <w:rFonts w:ascii="Arial" w:hAnsi="Arial" w:cs="Arial"/>
        </w:rPr>
        <w:t xml:space="preserve">ser with a combination of </w:t>
      </w:r>
      <w:r w:rsidR="00CE244B">
        <w:rPr>
          <w:rFonts w:ascii="Arial" w:hAnsi="Arial" w:cs="Arial"/>
        </w:rPr>
        <w:t>c</w:t>
      </w:r>
      <w:r w:rsidRPr="00187CB1">
        <w:rPr>
          <w:rFonts w:ascii="Arial" w:hAnsi="Arial" w:cs="Arial"/>
        </w:rPr>
        <w:t xml:space="preserve">redibility, </w:t>
      </w:r>
      <w:r w:rsidR="00CE244B">
        <w:rPr>
          <w:rFonts w:ascii="Arial" w:hAnsi="Arial" w:cs="Arial"/>
        </w:rPr>
        <w:t>m</w:t>
      </w:r>
      <w:r w:rsidRPr="00187CB1">
        <w:rPr>
          <w:rFonts w:ascii="Arial" w:hAnsi="Arial" w:cs="Arial"/>
        </w:rPr>
        <w:t xml:space="preserve">edical </w:t>
      </w:r>
      <w:r w:rsidR="00CE244B">
        <w:rPr>
          <w:rFonts w:ascii="Arial" w:hAnsi="Arial" w:cs="Arial"/>
        </w:rPr>
        <w:t>r</w:t>
      </w:r>
      <w:r w:rsidRPr="00187CB1">
        <w:rPr>
          <w:rFonts w:ascii="Arial" w:hAnsi="Arial" w:cs="Arial"/>
        </w:rPr>
        <w:t xml:space="preserve">eassurance and </w:t>
      </w:r>
      <w:r w:rsidR="00CE244B">
        <w:rPr>
          <w:rFonts w:ascii="Arial" w:hAnsi="Arial" w:cs="Arial"/>
        </w:rPr>
        <w:t>u</w:t>
      </w:r>
      <w:r w:rsidRPr="00187CB1">
        <w:rPr>
          <w:rFonts w:ascii="Arial" w:hAnsi="Arial" w:cs="Arial"/>
        </w:rPr>
        <w:t xml:space="preserve">sability storytelling. Additionally, the </w:t>
      </w:r>
      <w:r w:rsidR="00CE244B">
        <w:rPr>
          <w:rFonts w:ascii="Arial" w:hAnsi="Arial" w:cs="Arial"/>
        </w:rPr>
        <w:t>d</w:t>
      </w:r>
      <w:r w:rsidRPr="00187CB1">
        <w:rPr>
          <w:rFonts w:ascii="Arial" w:hAnsi="Arial" w:cs="Arial"/>
        </w:rPr>
        <w:t xml:space="preserve">igital </w:t>
      </w:r>
      <w:r w:rsidR="00CE244B">
        <w:rPr>
          <w:rFonts w:ascii="Arial" w:hAnsi="Arial" w:cs="Arial"/>
        </w:rPr>
        <w:t>c</w:t>
      </w:r>
      <w:r w:rsidRPr="00187CB1">
        <w:rPr>
          <w:rFonts w:ascii="Arial" w:hAnsi="Arial" w:cs="Arial"/>
        </w:rPr>
        <w:t xml:space="preserve">ommunication </w:t>
      </w:r>
      <w:r w:rsidR="00CE244B">
        <w:rPr>
          <w:rFonts w:ascii="Arial" w:hAnsi="Arial" w:cs="Arial"/>
        </w:rPr>
        <w:t>s</w:t>
      </w:r>
      <w:r w:rsidRPr="00187CB1">
        <w:rPr>
          <w:rFonts w:ascii="Arial" w:hAnsi="Arial" w:cs="Arial"/>
        </w:rPr>
        <w:t xml:space="preserve">trategy and </w:t>
      </w:r>
      <w:r w:rsidR="00CE244B">
        <w:rPr>
          <w:rFonts w:ascii="Arial" w:hAnsi="Arial" w:cs="Arial"/>
        </w:rPr>
        <w:t>c</w:t>
      </w:r>
      <w:r w:rsidRPr="00187CB1">
        <w:rPr>
          <w:rFonts w:ascii="Arial" w:hAnsi="Arial" w:cs="Arial"/>
        </w:rPr>
        <w:t xml:space="preserve">reative </w:t>
      </w:r>
      <w:r w:rsidR="00CE244B">
        <w:rPr>
          <w:rFonts w:ascii="Arial" w:hAnsi="Arial" w:cs="Arial"/>
        </w:rPr>
        <w:t>c</w:t>
      </w:r>
      <w:r w:rsidRPr="00187CB1">
        <w:rPr>
          <w:rFonts w:ascii="Arial" w:hAnsi="Arial" w:cs="Arial"/>
        </w:rPr>
        <w:t xml:space="preserve">ontent are continuously </w:t>
      </w:r>
      <w:r w:rsidR="00CE244B">
        <w:rPr>
          <w:rFonts w:ascii="Arial" w:hAnsi="Arial" w:cs="Arial"/>
        </w:rPr>
        <w:t>i</w:t>
      </w:r>
      <w:r w:rsidRPr="00187CB1">
        <w:rPr>
          <w:rFonts w:ascii="Arial" w:hAnsi="Arial" w:cs="Arial"/>
        </w:rPr>
        <w:t xml:space="preserve">mproved through </w:t>
      </w:r>
      <w:r w:rsidR="00CE244B">
        <w:rPr>
          <w:rFonts w:ascii="Arial" w:hAnsi="Arial" w:cs="Arial"/>
        </w:rPr>
        <w:t>d</w:t>
      </w:r>
      <w:r w:rsidRPr="00187CB1">
        <w:rPr>
          <w:rFonts w:ascii="Arial" w:hAnsi="Arial" w:cs="Arial"/>
        </w:rPr>
        <w:t xml:space="preserve">ata-driven </w:t>
      </w:r>
      <w:r w:rsidR="00CE244B">
        <w:rPr>
          <w:rFonts w:ascii="Arial" w:hAnsi="Arial" w:cs="Arial"/>
        </w:rPr>
        <w:t>o</w:t>
      </w:r>
      <w:r w:rsidRPr="00187CB1">
        <w:rPr>
          <w:rFonts w:ascii="Arial" w:hAnsi="Arial" w:cs="Arial"/>
        </w:rPr>
        <w:t xml:space="preserve">ptimisation techniques that allow for the continuous refinement of the </w:t>
      </w:r>
      <w:r w:rsidR="00CE244B">
        <w:rPr>
          <w:rFonts w:ascii="Arial" w:hAnsi="Arial" w:cs="Arial"/>
        </w:rPr>
        <w:t>c</w:t>
      </w:r>
      <w:r w:rsidRPr="00187CB1">
        <w:rPr>
          <w:rFonts w:ascii="Arial" w:hAnsi="Arial" w:cs="Arial"/>
        </w:rPr>
        <w:t xml:space="preserve">ampaign's </w:t>
      </w:r>
      <w:r w:rsidR="00CE244B">
        <w:rPr>
          <w:rFonts w:ascii="Arial" w:hAnsi="Arial" w:cs="Arial"/>
        </w:rPr>
        <w:lastRenderedPageBreak/>
        <w:t>c</w:t>
      </w:r>
      <w:r w:rsidRPr="00187CB1">
        <w:rPr>
          <w:rFonts w:ascii="Arial" w:hAnsi="Arial" w:cs="Arial"/>
        </w:rPr>
        <w:t xml:space="preserve">reative </w:t>
      </w:r>
      <w:r w:rsidR="00CE244B">
        <w:rPr>
          <w:rFonts w:ascii="Arial" w:hAnsi="Arial" w:cs="Arial"/>
        </w:rPr>
        <w:t>c</w:t>
      </w:r>
      <w:r w:rsidRPr="00187CB1">
        <w:rPr>
          <w:rFonts w:ascii="Arial" w:hAnsi="Arial" w:cs="Arial"/>
        </w:rPr>
        <w:t xml:space="preserve">ontent, </w:t>
      </w:r>
      <w:r w:rsidR="00CE244B">
        <w:rPr>
          <w:rFonts w:ascii="Arial" w:hAnsi="Arial" w:cs="Arial"/>
        </w:rPr>
        <w:t>m</w:t>
      </w:r>
      <w:r w:rsidRPr="00187CB1">
        <w:rPr>
          <w:rFonts w:ascii="Arial" w:hAnsi="Arial" w:cs="Arial"/>
        </w:rPr>
        <w:t xml:space="preserve">essaging and </w:t>
      </w:r>
      <w:r w:rsidR="00CE244B">
        <w:rPr>
          <w:rFonts w:ascii="Arial" w:hAnsi="Arial" w:cs="Arial"/>
        </w:rPr>
        <w:t>c</w:t>
      </w:r>
      <w:r w:rsidRPr="00187CB1">
        <w:rPr>
          <w:rFonts w:ascii="Arial" w:hAnsi="Arial" w:cs="Arial"/>
        </w:rPr>
        <w:t xml:space="preserve">hannel </w:t>
      </w:r>
      <w:r w:rsidR="00CE244B">
        <w:rPr>
          <w:rFonts w:ascii="Arial" w:hAnsi="Arial" w:cs="Arial"/>
        </w:rPr>
        <w:t>s</w:t>
      </w:r>
      <w:r w:rsidRPr="00187CB1">
        <w:rPr>
          <w:rFonts w:ascii="Arial" w:hAnsi="Arial" w:cs="Arial"/>
        </w:rPr>
        <w:t xml:space="preserve">pend. The </w:t>
      </w:r>
      <w:r w:rsidR="00CE244B">
        <w:rPr>
          <w:rFonts w:ascii="Arial" w:hAnsi="Arial" w:cs="Arial"/>
        </w:rPr>
        <w:t>c</w:t>
      </w:r>
      <w:r w:rsidRPr="00187CB1">
        <w:rPr>
          <w:rFonts w:ascii="Arial" w:hAnsi="Arial" w:cs="Arial"/>
        </w:rPr>
        <w:t xml:space="preserve">ampaign will take a </w:t>
      </w:r>
      <w:r w:rsidR="00CE244B">
        <w:rPr>
          <w:rFonts w:ascii="Arial" w:hAnsi="Arial" w:cs="Arial"/>
        </w:rPr>
        <w:t>m</w:t>
      </w:r>
      <w:r w:rsidRPr="00187CB1">
        <w:rPr>
          <w:rFonts w:ascii="Arial" w:hAnsi="Arial" w:cs="Arial"/>
        </w:rPr>
        <w:t>achine-</w:t>
      </w:r>
      <w:r w:rsidR="00CE244B">
        <w:rPr>
          <w:rFonts w:ascii="Arial" w:hAnsi="Arial" w:cs="Arial"/>
        </w:rPr>
        <w:t>l</w:t>
      </w:r>
      <w:r w:rsidRPr="00187CB1">
        <w:rPr>
          <w:rFonts w:ascii="Arial" w:hAnsi="Arial" w:cs="Arial"/>
        </w:rPr>
        <w:t xml:space="preserve">earning </w:t>
      </w:r>
      <w:r w:rsidR="00CE244B">
        <w:rPr>
          <w:rFonts w:ascii="Arial" w:hAnsi="Arial" w:cs="Arial"/>
        </w:rPr>
        <w:t>a</w:t>
      </w:r>
      <w:r w:rsidRPr="00187CB1">
        <w:rPr>
          <w:rFonts w:ascii="Arial" w:hAnsi="Arial" w:cs="Arial"/>
        </w:rPr>
        <w:t xml:space="preserve">pproach toward the Marking-Mix Optimisation, where the Marking-Mix will be improved and become more </w:t>
      </w:r>
      <w:r w:rsidR="00CE244B">
        <w:rPr>
          <w:rFonts w:ascii="Arial" w:hAnsi="Arial" w:cs="Arial"/>
        </w:rPr>
        <w:t>e</w:t>
      </w:r>
      <w:r w:rsidRPr="00187CB1">
        <w:rPr>
          <w:rFonts w:ascii="Arial" w:hAnsi="Arial" w:cs="Arial"/>
        </w:rPr>
        <w:t xml:space="preserve">fficient and </w:t>
      </w:r>
      <w:r w:rsidR="00CE244B">
        <w:rPr>
          <w:rFonts w:ascii="Arial" w:hAnsi="Arial" w:cs="Arial"/>
        </w:rPr>
        <w:t>e</w:t>
      </w:r>
      <w:r w:rsidRPr="00187CB1">
        <w:rPr>
          <w:rFonts w:ascii="Arial" w:hAnsi="Arial" w:cs="Arial"/>
        </w:rPr>
        <w:t>ffective as time goes on (Wang &amp; Xu, 2022).</w:t>
      </w:r>
    </w:p>
    <w:p w14:paraId="13B805A5" w14:textId="77777777" w:rsidR="00CE244B" w:rsidRDefault="00187CB1" w:rsidP="00187CB1">
      <w:pPr>
        <w:spacing w:line="480" w:lineRule="auto"/>
        <w:rPr>
          <w:rFonts w:ascii="Arial" w:hAnsi="Arial" w:cs="Arial"/>
        </w:rPr>
      </w:pPr>
      <w:r w:rsidRPr="00187CB1">
        <w:rPr>
          <w:rFonts w:ascii="Arial" w:hAnsi="Arial" w:cs="Arial"/>
        </w:rPr>
        <w:t>Email marketing is essential in maintaining customer relationships for businesses by converting leads to buyers. Buyers, when they download an e-book/guide or express interest, receive customi</w:t>
      </w:r>
      <w:r w:rsidR="00CE244B">
        <w:rPr>
          <w:rFonts w:ascii="Arial" w:hAnsi="Arial" w:cs="Arial"/>
        </w:rPr>
        <w:t>s</w:t>
      </w:r>
      <w:r w:rsidRPr="00187CB1">
        <w:rPr>
          <w:rFonts w:ascii="Arial" w:hAnsi="Arial" w:cs="Arial"/>
        </w:rPr>
        <w:t>ed content paths with onboarding instructions, tutorials, health features, and resources designed specifically for elderly</w:t>
      </w:r>
      <w:r w:rsidR="00CE244B">
        <w:rPr>
          <w:rFonts w:ascii="Arial" w:hAnsi="Arial" w:cs="Arial"/>
        </w:rPr>
        <w:t xml:space="preserve"> </w:t>
      </w:r>
      <w:r w:rsidRPr="00187CB1">
        <w:rPr>
          <w:rFonts w:ascii="Arial" w:hAnsi="Arial" w:cs="Arial"/>
        </w:rPr>
        <w:t>customers/caregivers. The findings of studies show that strategically created email campaigns have a strong positive correlation with long-term buyer engagement and retention and customer lifetime value (CLV) (Venkatesan &amp; Kumar, 2021, Yang &amp; Zhao, 2023).</w:t>
      </w:r>
    </w:p>
    <w:p w14:paraId="457763CF" w14:textId="77777777" w:rsidR="0047507B" w:rsidRDefault="00187CB1" w:rsidP="00187CB1">
      <w:pPr>
        <w:spacing w:line="480" w:lineRule="auto"/>
        <w:rPr>
          <w:rFonts w:ascii="Arial" w:hAnsi="Arial" w:cs="Arial"/>
        </w:rPr>
      </w:pPr>
      <w:r w:rsidRPr="00187CB1">
        <w:rPr>
          <w:rFonts w:ascii="Arial" w:hAnsi="Arial" w:cs="Arial"/>
        </w:rPr>
        <w:t xml:space="preserve">Additionally, Artificial Intelligence (AI) powered </w:t>
      </w:r>
      <w:r w:rsidR="0047507B">
        <w:rPr>
          <w:rFonts w:ascii="Arial" w:hAnsi="Arial" w:cs="Arial"/>
        </w:rPr>
        <w:t>p</w:t>
      </w:r>
      <w:r w:rsidRPr="00187CB1">
        <w:rPr>
          <w:rFonts w:ascii="Arial" w:hAnsi="Arial" w:cs="Arial"/>
        </w:rPr>
        <w:t>ersonalisation is a key feature of this campaign through personali</w:t>
      </w:r>
      <w:r w:rsidR="0047507B">
        <w:rPr>
          <w:rFonts w:ascii="Arial" w:hAnsi="Arial" w:cs="Arial"/>
        </w:rPr>
        <w:t>s</w:t>
      </w:r>
      <w:r w:rsidRPr="00187CB1">
        <w:rPr>
          <w:rFonts w:ascii="Arial" w:hAnsi="Arial" w:cs="Arial"/>
        </w:rPr>
        <w:t xml:space="preserve">ation to integrate the website to provide adaptive content, recommend tailored products, and utilise a sequence of message flows (CRM). Through </w:t>
      </w:r>
      <w:r w:rsidR="0047507B">
        <w:rPr>
          <w:rFonts w:ascii="Arial" w:hAnsi="Arial" w:cs="Arial"/>
        </w:rPr>
        <w:t>p</w:t>
      </w:r>
      <w:r w:rsidRPr="00187CB1">
        <w:rPr>
          <w:rFonts w:ascii="Arial" w:hAnsi="Arial" w:cs="Arial"/>
        </w:rPr>
        <w:t xml:space="preserve">ersonalisation, </w:t>
      </w:r>
      <w:r w:rsidR="0047507B" w:rsidRPr="00187CB1">
        <w:rPr>
          <w:rFonts w:ascii="Arial" w:hAnsi="Arial" w:cs="Arial"/>
        </w:rPr>
        <w:t>can</w:t>
      </w:r>
      <w:r w:rsidRPr="00187CB1">
        <w:rPr>
          <w:rFonts w:ascii="Arial" w:hAnsi="Arial" w:cs="Arial"/>
        </w:rPr>
        <w:t xml:space="preserve"> better connect communications with users' motivations and health interest profiles, ultimately leading to improved user relevance, higher levels of user engagement, and increased user conversion rates. This approach is further validated by research suggesting AI-based </w:t>
      </w:r>
      <w:r w:rsidR="0047507B">
        <w:rPr>
          <w:rFonts w:ascii="Arial" w:hAnsi="Arial" w:cs="Arial"/>
        </w:rPr>
        <w:t>p</w:t>
      </w:r>
      <w:r w:rsidRPr="00187CB1">
        <w:rPr>
          <w:rFonts w:ascii="Arial" w:hAnsi="Arial" w:cs="Arial"/>
        </w:rPr>
        <w:t>ersonalisation will improve overall marketing effectiveness and customer experience as well as strategic value when appropriately implemented within digital environments (</w:t>
      </w:r>
      <w:proofErr w:type="spellStart"/>
      <w:r w:rsidRPr="00187CB1">
        <w:rPr>
          <w:rFonts w:ascii="Arial" w:hAnsi="Arial" w:cs="Arial"/>
        </w:rPr>
        <w:t>Erevelles</w:t>
      </w:r>
      <w:proofErr w:type="spellEnd"/>
      <w:r w:rsidRPr="00187CB1">
        <w:rPr>
          <w:rFonts w:ascii="Arial" w:hAnsi="Arial" w:cs="Arial"/>
        </w:rPr>
        <w:t xml:space="preserve">, </w:t>
      </w:r>
      <w:proofErr w:type="spellStart"/>
      <w:r w:rsidRPr="00187CB1">
        <w:rPr>
          <w:rFonts w:ascii="Arial" w:hAnsi="Arial" w:cs="Arial"/>
        </w:rPr>
        <w:t>Fukawa</w:t>
      </w:r>
      <w:proofErr w:type="spellEnd"/>
      <w:r w:rsidRPr="00187CB1">
        <w:rPr>
          <w:rFonts w:ascii="Arial" w:hAnsi="Arial" w:cs="Arial"/>
        </w:rPr>
        <w:t xml:space="preserve"> &amp; Swayne, 2022). Within post-purchase communication, CRM systems are also used to build trust through follow-up messages and to increase customer satisfaction by sending </w:t>
      </w:r>
      <w:r w:rsidR="0047507B">
        <w:rPr>
          <w:rFonts w:ascii="Arial" w:hAnsi="Arial" w:cs="Arial"/>
        </w:rPr>
        <w:t>s</w:t>
      </w:r>
      <w:r w:rsidRPr="00187CB1">
        <w:rPr>
          <w:rFonts w:ascii="Arial" w:hAnsi="Arial" w:cs="Arial"/>
        </w:rPr>
        <w:t xml:space="preserve">ervice </w:t>
      </w:r>
      <w:r w:rsidR="0047507B">
        <w:rPr>
          <w:rFonts w:ascii="Arial" w:hAnsi="Arial" w:cs="Arial"/>
        </w:rPr>
        <w:t>r</w:t>
      </w:r>
      <w:r w:rsidRPr="00187CB1">
        <w:rPr>
          <w:rFonts w:ascii="Arial" w:hAnsi="Arial" w:cs="Arial"/>
        </w:rPr>
        <w:t xml:space="preserve">eminders, </w:t>
      </w:r>
      <w:r w:rsidR="0047507B">
        <w:rPr>
          <w:rFonts w:ascii="Arial" w:hAnsi="Arial" w:cs="Arial"/>
        </w:rPr>
        <w:t>s</w:t>
      </w:r>
      <w:r w:rsidRPr="00187CB1">
        <w:rPr>
          <w:rFonts w:ascii="Arial" w:hAnsi="Arial" w:cs="Arial"/>
        </w:rPr>
        <w:t xml:space="preserve">oftware </w:t>
      </w:r>
      <w:r w:rsidR="0047507B">
        <w:rPr>
          <w:rFonts w:ascii="Arial" w:hAnsi="Arial" w:cs="Arial"/>
        </w:rPr>
        <w:t>u</w:t>
      </w:r>
      <w:r w:rsidRPr="00187CB1">
        <w:rPr>
          <w:rFonts w:ascii="Arial" w:hAnsi="Arial" w:cs="Arial"/>
        </w:rPr>
        <w:t xml:space="preserve">pdate messages, and </w:t>
      </w:r>
      <w:r w:rsidR="0047507B">
        <w:rPr>
          <w:rFonts w:ascii="Arial" w:hAnsi="Arial" w:cs="Arial"/>
        </w:rPr>
        <w:lastRenderedPageBreak/>
        <w:t>l</w:t>
      </w:r>
      <w:r w:rsidRPr="00187CB1">
        <w:rPr>
          <w:rFonts w:ascii="Arial" w:hAnsi="Arial" w:cs="Arial"/>
        </w:rPr>
        <w:t xml:space="preserve">oyalty </w:t>
      </w:r>
      <w:r w:rsidR="0047507B">
        <w:rPr>
          <w:rFonts w:ascii="Arial" w:hAnsi="Arial" w:cs="Arial"/>
        </w:rPr>
        <w:t>b</w:t>
      </w:r>
      <w:r w:rsidRPr="00187CB1">
        <w:rPr>
          <w:rFonts w:ascii="Arial" w:hAnsi="Arial" w:cs="Arial"/>
        </w:rPr>
        <w:t xml:space="preserve">uilding </w:t>
      </w:r>
      <w:r w:rsidR="0047507B">
        <w:rPr>
          <w:rFonts w:ascii="Arial" w:hAnsi="Arial" w:cs="Arial"/>
        </w:rPr>
        <w:t>p</w:t>
      </w:r>
      <w:r w:rsidRPr="00187CB1">
        <w:rPr>
          <w:rFonts w:ascii="Arial" w:hAnsi="Arial" w:cs="Arial"/>
        </w:rPr>
        <w:t>rograms, all of which strengthen the long-term relationship and increase the perceived value of the relationship (Hybrid TP, 2015).</w:t>
      </w:r>
    </w:p>
    <w:p w14:paraId="64B74D34" w14:textId="2E5B3C45" w:rsidR="00187CB1" w:rsidRPr="00187CB1" w:rsidRDefault="0047507B" w:rsidP="00187CB1">
      <w:pPr>
        <w:spacing w:line="480" w:lineRule="auto"/>
        <w:rPr>
          <w:rFonts w:ascii="Arial" w:hAnsi="Arial" w:cs="Arial"/>
        </w:rPr>
      </w:pPr>
      <w:r w:rsidRPr="00187CB1">
        <w:rPr>
          <w:rFonts w:ascii="Arial" w:hAnsi="Arial" w:cs="Arial"/>
        </w:rPr>
        <w:t>Enough</w:t>
      </w:r>
      <w:r w:rsidR="00187CB1" w:rsidRPr="00187CB1">
        <w:rPr>
          <w:rFonts w:ascii="Arial" w:hAnsi="Arial" w:cs="Arial"/>
        </w:rPr>
        <w:t xml:space="preserve"> educational content serves to validate the credibility of the entire campaign. When focusing on </w:t>
      </w:r>
      <w:r>
        <w:rPr>
          <w:rFonts w:ascii="Arial" w:hAnsi="Arial" w:cs="Arial"/>
        </w:rPr>
        <w:t>h</w:t>
      </w:r>
      <w:r w:rsidR="00187CB1" w:rsidRPr="00187CB1">
        <w:rPr>
          <w:rFonts w:ascii="Arial" w:hAnsi="Arial" w:cs="Arial"/>
        </w:rPr>
        <w:t xml:space="preserve">ealthy </w:t>
      </w:r>
      <w:r>
        <w:rPr>
          <w:rFonts w:ascii="Arial" w:hAnsi="Arial" w:cs="Arial"/>
        </w:rPr>
        <w:t>age</w:t>
      </w:r>
      <w:r w:rsidRPr="00187CB1">
        <w:rPr>
          <w:rFonts w:ascii="Arial" w:hAnsi="Arial" w:cs="Arial"/>
        </w:rPr>
        <w:t>ing</w:t>
      </w:r>
      <w:r w:rsidR="00187CB1" w:rsidRPr="00187CB1">
        <w:rPr>
          <w:rFonts w:ascii="Arial" w:hAnsi="Arial" w:cs="Arial"/>
        </w:rPr>
        <w:t xml:space="preserve">, </w:t>
      </w:r>
      <w:r>
        <w:rPr>
          <w:rFonts w:ascii="Arial" w:hAnsi="Arial" w:cs="Arial"/>
        </w:rPr>
        <w:t>i</w:t>
      </w:r>
      <w:r w:rsidR="00187CB1" w:rsidRPr="00187CB1">
        <w:rPr>
          <w:rFonts w:ascii="Arial" w:hAnsi="Arial" w:cs="Arial"/>
        </w:rPr>
        <w:t xml:space="preserve">ndependent </w:t>
      </w:r>
      <w:r>
        <w:rPr>
          <w:rFonts w:ascii="Arial" w:hAnsi="Arial" w:cs="Arial"/>
        </w:rPr>
        <w:t>l</w:t>
      </w:r>
      <w:r w:rsidR="00187CB1" w:rsidRPr="00187CB1">
        <w:rPr>
          <w:rFonts w:ascii="Arial" w:hAnsi="Arial" w:cs="Arial"/>
        </w:rPr>
        <w:t xml:space="preserve">iving, </w:t>
      </w:r>
      <w:r>
        <w:rPr>
          <w:rFonts w:ascii="Arial" w:hAnsi="Arial" w:cs="Arial"/>
        </w:rPr>
        <w:t>q</w:t>
      </w:r>
      <w:r w:rsidR="00187CB1" w:rsidRPr="00187CB1">
        <w:rPr>
          <w:rFonts w:ascii="Arial" w:hAnsi="Arial" w:cs="Arial"/>
        </w:rPr>
        <w:t xml:space="preserve">uality of </w:t>
      </w:r>
      <w:r>
        <w:rPr>
          <w:rFonts w:ascii="Arial" w:hAnsi="Arial" w:cs="Arial"/>
        </w:rPr>
        <w:t>s</w:t>
      </w:r>
      <w:r w:rsidR="00187CB1" w:rsidRPr="00187CB1">
        <w:rPr>
          <w:rFonts w:ascii="Arial" w:hAnsi="Arial" w:cs="Arial"/>
        </w:rPr>
        <w:t xml:space="preserve">leep, and </w:t>
      </w:r>
      <w:r>
        <w:rPr>
          <w:rFonts w:ascii="Arial" w:hAnsi="Arial" w:cs="Arial"/>
        </w:rPr>
        <w:t>c</w:t>
      </w:r>
      <w:r w:rsidR="00187CB1" w:rsidRPr="00187CB1">
        <w:rPr>
          <w:rFonts w:ascii="Arial" w:hAnsi="Arial" w:cs="Arial"/>
        </w:rPr>
        <w:t xml:space="preserve">ardiovascular </w:t>
      </w:r>
      <w:r>
        <w:rPr>
          <w:rFonts w:ascii="Arial" w:hAnsi="Arial" w:cs="Arial"/>
        </w:rPr>
        <w:t>a</w:t>
      </w:r>
      <w:r w:rsidR="00187CB1" w:rsidRPr="00187CB1">
        <w:rPr>
          <w:rFonts w:ascii="Arial" w:hAnsi="Arial" w:cs="Arial"/>
        </w:rPr>
        <w:t xml:space="preserve">wareness, a variety of educational articles, video explainer videos, and interviews are used as part of this </w:t>
      </w:r>
      <w:r>
        <w:rPr>
          <w:rFonts w:ascii="Arial" w:hAnsi="Arial" w:cs="Arial"/>
        </w:rPr>
        <w:t>c</w:t>
      </w:r>
      <w:r w:rsidR="00187CB1" w:rsidRPr="00187CB1">
        <w:rPr>
          <w:rFonts w:ascii="Arial" w:hAnsi="Arial" w:cs="Arial"/>
        </w:rPr>
        <w:t xml:space="preserve">ontent </w:t>
      </w:r>
      <w:r>
        <w:rPr>
          <w:rFonts w:ascii="Arial" w:hAnsi="Arial" w:cs="Arial"/>
        </w:rPr>
        <w:t>m</w:t>
      </w:r>
      <w:r w:rsidR="00187CB1" w:rsidRPr="00187CB1">
        <w:rPr>
          <w:rFonts w:ascii="Arial" w:hAnsi="Arial" w:cs="Arial"/>
        </w:rPr>
        <w:t xml:space="preserve">arketing strategy, which aligns with </w:t>
      </w:r>
      <w:r>
        <w:rPr>
          <w:rFonts w:ascii="Arial" w:hAnsi="Arial" w:cs="Arial"/>
        </w:rPr>
        <w:t>v</w:t>
      </w:r>
      <w:r w:rsidRPr="00187CB1">
        <w:rPr>
          <w:rFonts w:ascii="Arial" w:hAnsi="Arial" w:cs="Arial"/>
        </w:rPr>
        <w:t>alue-based</w:t>
      </w:r>
      <w:r w:rsidR="00187CB1" w:rsidRPr="00187CB1">
        <w:rPr>
          <w:rFonts w:ascii="Arial" w:hAnsi="Arial" w:cs="Arial"/>
        </w:rPr>
        <w:t xml:space="preserve"> </w:t>
      </w:r>
      <w:r>
        <w:rPr>
          <w:rFonts w:ascii="Arial" w:hAnsi="Arial" w:cs="Arial"/>
        </w:rPr>
        <w:t>c</w:t>
      </w:r>
      <w:r w:rsidR="00187CB1" w:rsidRPr="00187CB1">
        <w:rPr>
          <w:rFonts w:ascii="Arial" w:hAnsi="Arial" w:cs="Arial"/>
        </w:rPr>
        <w:t xml:space="preserve">ommunication principles. Together, these support an image of Samsung as a </w:t>
      </w:r>
      <w:r>
        <w:rPr>
          <w:rFonts w:ascii="Arial" w:hAnsi="Arial" w:cs="Arial"/>
        </w:rPr>
        <w:t>w</w:t>
      </w:r>
      <w:r w:rsidR="00187CB1" w:rsidRPr="00187CB1">
        <w:rPr>
          <w:rFonts w:ascii="Arial" w:hAnsi="Arial" w:cs="Arial"/>
        </w:rPr>
        <w:t xml:space="preserve">ellness </w:t>
      </w:r>
      <w:r>
        <w:rPr>
          <w:rFonts w:ascii="Arial" w:hAnsi="Arial" w:cs="Arial"/>
        </w:rPr>
        <w:t>p</w:t>
      </w:r>
      <w:r w:rsidR="00187CB1" w:rsidRPr="00187CB1">
        <w:rPr>
          <w:rFonts w:ascii="Arial" w:hAnsi="Arial" w:cs="Arial"/>
        </w:rPr>
        <w:t>artner and not just a supplier of a product. The combination of performance-based media, engaging with individuals, and providing followers of brands with relevant content (Weitz &amp; Wensley 2020; Belch &amp; Belch 2019) are the most current views of integrated marketing communications, including image, identity, and the role of the internet in creating trust, according to Belch &amp; Belch (2019).</w:t>
      </w:r>
    </w:p>
    <w:p w14:paraId="61092F76" w14:textId="7D23EC91" w:rsidR="00187CB1" w:rsidRPr="0047507B" w:rsidRDefault="00187CB1" w:rsidP="00187CB1">
      <w:pPr>
        <w:spacing w:line="480" w:lineRule="auto"/>
        <w:rPr>
          <w:rFonts w:ascii="Arial" w:hAnsi="Arial" w:cs="Arial"/>
          <w:b/>
          <w:bCs/>
        </w:rPr>
      </w:pPr>
      <w:r w:rsidRPr="0047507B">
        <w:rPr>
          <w:rFonts w:ascii="Arial" w:hAnsi="Arial" w:cs="Arial"/>
          <w:b/>
          <w:bCs/>
        </w:rPr>
        <w:t>Measurement &amp; Assessment</w:t>
      </w:r>
    </w:p>
    <w:p w14:paraId="4C083DEC" w14:textId="77777777" w:rsidR="0047507B" w:rsidRDefault="00187CB1" w:rsidP="00187CB1">
      <w:pPr>
        <w:spacing w:line="480" w:lineRule="auto"/>
        <w:rPr>
          <w:rFonts w:ascii="Arial" w:hAnsi="Arial" w:cs="Arial"/>
        </w:rPr>
      </w:pPr>
      <w:r w:rsidRPr="00187CB1">
        <w:rPr>
          <w:rFonts w:ascii="Arial" w:hAnsi="Arial" w:cs="Arial"/>
        </w:rPr>
        <w:t>The determination of success will be based upon a data-led approach that can ascertain the effectiveness of campaigns against the strategic goals, financial potential, and behaviour-driven metrics. Campaigns will provide a clear assessment of increased awareness for the campaign, increasing engagement with Kenner television series and other media, and generation and conversion to leads, client retention, and lifetime value. These findings and the use of metrics to assess the ROI of digital marketing will lead to stronger accountability and optimisation of campaign resources through rigorously quantified analytics and data-driven decision-making process for campaign and product development and long-term relationship enhancement with the client (Srivastava &amp; Sharma 2021).</w:t>
      </w:r>
    </w:p>
    <w:p w14:paraId="5977555A" w14:textId="77777777" w:rsidR="0047507B" w:rsidRDefault="00187CB1" w:rsidP="00187CB1">
      <w:pPr>
        <w:spacing w:line="480" w:lineRule="auto"/>
        <w:rPr>
          <w:rFonts w:ascii="Arial" w:hAnsi="Arial" w:cs="Arial"/>
        </w:rPr>
      </w:pPr>
      <w:r w:rsidRPr="00187CB1">
        <w:rPr>
          <w:rFonts w:ascii="Arial" w:hAnsi="Arial" w:cs="Arial"/>
        </w:rPr>
        <w:lastRenderedPageBreak/>
        <w:t xml:space="preserve">Some of the indicators for an increase in traffic to the campaign page, organic and paid visitor interaction with educational material, the completion rates for videos, and the social signals and interactions from the senior wellness audience that indicate relevancy and how well the campaign resonates with the audience include conversion-related indicators such as inquiry rates on landing pages, e-commerce sales that can be tracked as "assist" for those sales, and trends in the cost per acquisition for acquiring customers to the campaign from each of the channels on which a campaign was run. The metrics after creating and delivering a campaign include completion of onboarding, active engagement from customers engaged with the campaign in their </w:t>
      </w:r>
      <w:r w:rsidR="0047507B" w:rsidRPr="00187CB1">
        <w:rPr>
          <w:rFonts w:ascii="Arial" w:hAnsi="Arial" w:cs="Arial"/>
        </w:rPr>
        <w:t>CRM and</w:t>
      </w:r>
      <w:r w:rsidRPr="00187CB1">
        <w:rPr>
          <w:rFonts w:ascii="Arial" w:hAnsi="Arial" w:cs="Arial"/>
        </w:rPr>
        <w:t xml:space="preserve"> repeat purchases of ancillary items or accessories for smartwatches. Assessing the performance of campaigns over an extended time includes modelling lifetime customer value and the outcome of having retained customers over an extended period consistent with Lifetime Customer Value modelling (Yang &amp; Zhao 2023).</w:t>
      </w:r>
    </w:p>
    <w:p w14:paraId="727B8186" w14:textId="6911585A" w:rsidR="00187CB1" w:rsidRPr="00187CB1" w:rsidRDefault="00187CB1" w:rsidP="00187CB1">
      <w:pPr>
        <w:spacing w:line="480" w:lineRule="auto"/>
        <w:rPr>
          <w:rFonts w:ascii="Arial" w:hAnsi="Arial" w:cs="Arial"/>
        </w:rPr>
      </w:pPr>
      <w:r w:rsidRPr="00187CB1">
        <w:rPr>
          <w:rFonts w:ascii="Arial" w:hAnsi="Arial" w:cs="Arial"/>
        </w:rPr>
        <w:t>Marketing campaigns continuously assess current performance based on dashboards, A/B testing results, and insights from attribution analysis enabling the reallocation of budgets and refinements to the creative form and processes of marketing through iterative learnings. This type of adaptive-based approach through evidence-based outcomes with robust analysis is in alignment with the trend of increasing reliance on performance-based marketing strategies and creating a marketing organisational culture based on data analysis for improving accountability of performance-based metrics (Srivastava &amp; Sharma 2021; Wang &amp; Xu 2022).</w:t>
      </w:r>
    </w:p>
    <w:p w14:paraId="0724DA35" w14:textId="77777777" w:rsidR="00187CB1" w:rsidRPr="00187CB1" w:rsidRDefault="00187CB1" w:rsidP="00187CB1">
      <w:pPr>
        <w:spacing w:line="480" w:lineRule="auto"/>
        <w:rPr>
          <w:rFonts w:ascii="Arial" w:hAnsi="Arial" w:cs="Arial"/>
        </w:rPr>
      </w:pPr>
    </w:p>
    <w:p w14:paraId="21BAFF7E" w14:textId="77777777" w:rsidR="0047507B" w:rsidRDefault="0047507B" w:rsidP="00187CB1">
      <w:pPr>
        <w:spacing w:line="480" w:lineRule="auto"/>
        <w:rPr>
          <w:rFonts w:ascii="Arial" w:hAnsi="Arial" w:cs="Arial"/>
        </w:rPr>
      </w:pPr>
    </w:p>
    <w:p w14:paraId="2BD3E5B8" w14:textId="521243AC" w:rsidR="00187CB1" w:rsidRPr="0047507B" w:rsidRDefault="00187CB1" w:rsidP="00187CB1">
      <w:pPr>
        <w:spacing w:line="480" w:lineRule="auto"/>
        <w:rPr>
          <w:rFonts w:ascii="Arial" w:hAnsi="Arial" w:cs="Arial"/>
          <w:b/>
          <w:bCs/>
        </w:rPr>
      </w:pPr>
      <w:r w:rsidRPr="0047507B">
        <w:rPr>
          <w:rFonts w:ascii="Arial" w:hAnsi="Arial" w:cs="Arial"/>
          <w:b/>
          <w:bCs/>
        </w:rPr>
        <w:lastRenderedPageBreak/>
        <w:t>Conclusion</w:t>
      </w:r>
    </w:p>
    <w:p w14:paraId="2837EED5" w14:textId="20A05C0D" w:rsidR="00187CB1" w:rsidRPr="00187CB1" w:rsidRDefault="00187CB1" w:rsidP="00187CB1">
      <w:pPr>
        <w:spacing w:line="480" w:lineRule="auto"/>
        <w:rPr>
          <w:rFonts w:ascii="Arial" w:hAnsi="Arial" w:cs="Arial"/>
        </w:rPr>
      </w:pPr>
      <w:r w:rsidRPr="00187CB1">
        <w:rPr>
          <w:rFonts w:ascii="Arial" w:hAnsi="Arial" w:cs="Arial"/>
        </w:rPr>
        <w:t xml:space="preserve">This marketing strategy describes how the Samsung Galaxy Watch6 can be effectively repositioned and promoted to effectively support the older adult market segment in Spain. Older adults who want to be self-sufficient and healthy will turn to digital health monitoring solutions that increase their sense of independence and help increase their overall health and wellbeing through having access to real-time information. The rationale behind this recommendation is based on demographic trends associated with an increased interest in proactively managing health and an increase in the level of trust that older consumers have for wearing technology to support health. By applying the theory of segmentation, targeting, and positioning, the marketing plan conceptualises the Galaxy Watch6 as a companion that supports healthy ageing instead of being exclusively </w:t>
      </w:r>
      <w:r w:rsidR="00FD0F48" w:rsidRPr="00187CB1">
        <w:rPr>
          <w:rFonts w:ascii="Arial" w:hAnsi="Arial" w:cs="Arial"/>
        </w:rPr>
        <w:t>fitness related</w:t>
      </w:r>
      <w:r w:rsidRPr="00187CB1">
        <w:rPr>
          <w:rFonts w:ascii="Arial" w:hAnsi="Arial" w:cs="Arial"/>
        </w:rPr>
        <w:t>.</w:t>
      </w:r>
    </w:p>
    <w:p w14:paraId="747824D9" w14:textId="0E36FC0A" w:rsidR="00187CB1" w:rsidRDefault="00187CB1" w:rsidP="00187CB1">
      <w:pPr>
        <w:spacing w:line="480" w:lineRule="auto"/>
        <w:rPr>
          <w:rFonts w:ascii="Arial" w:hAnsi="Arial" w:cs="Arial"/>
        </w:rPr>
      </w:pPr>
      <w:r w:rsidRPr="00187CB1">
        <w:rPr>
          <w:rFonts w:ascii="Arial" w:hAnsi="Arial" w:cs="Arial"/>
        </w:rPr>
        <w:t>The recommended digital strategy becomes a fully integrated marketing communications system incorporating an integrated digital strategy that combines IMC, CRM for personalised delivery, AI-driven personalised delivery, content delivery, and performance analytics that provide cohesiveness, credibility, and accountability to all parts of the customer's journey and are tied to the tracking of the campaign's actions and behavioural responses to the campaign against measuring return-on-investment, as well as measuring the relationship and development of a long-term relationship with the customer against the benchmarks of accountability and sustainable market development to the client (Srivastava &amp; Sharma 2021; Yang &amp; Zhao 2023). Through aligning innovative solutions with social value and well-being, Samsung adds to its overall competitive advantage and helps facilitate the transition to digital-societal transformation for inclusiveness among older consumers.</w:t>
      </w:r>
    </w:p>
    <w:p w14:paraId="57466E98" w14:textId="36CA732F" w:rsidR="00FD0F48" w:rsidRPr="00FD0F48" w:rsidRDefault="00FD0F48" w:rsidP="00187CB1">
      <w:pPr>
        <w:spacing w:line="480" w:lineRule="auto"/>
        <w:rPr>
          <w:rFonts w:ascii="Arial" w:hAnsi="Arial" w:cs="Arial"/>
          <w:b/>
          <w:bCs/>
        </w:rPr>
      </w:pPr>
      <w:r w:rsidRPr="00FD0F48">
        <w:rPr>
          <w:rFonts w:ascii="Arial" w:hAnsi="Arial" w:cs="Arial"/>
          <w:b/>
          <w:bCs/>
        </w:rPr>
        <w:lastRenderedPageBreak/>
        <w:t xml:space="preserve">References </w:t>
      </w:r>
    </w:p>
    <w:p w14:paraId="45DD1A0B" w14:textId="77777777" w:rsidR="00FD0F48" w:rsidRPr="00FD0F48" w:rsidRDefault="00FD0F48" w:rsidP="00FD0F48">
      <w:pPr>
        <w:spacing w:line="480" w:lineRule="auto"/>
        <w:rPr>
          <w:rFonts w:ascii="Arial" w:hAnsi="Arial" w:cs="Arial"/>
        </w:rPr>
      </w:pPr>
      <w:r w:rsidRPr="00FD0F48">
        <w:rPr>
          <w:rFonts w:ascii="Arial" w:hAnsi="Arial" w:cs="Arial"/>
        </w:rPr>
        <w:t xml:space="preserve">Belch, G. E., &amp; Belch, M. A. (2018). </w:t>
      </w:r>
      <w:r w:rsidRPr="00C12360">
        <w:rPr>
          <w:rFonts w:ascii="Arial" w:hAnsi="Arial" w:cs="Arial"/>
          <w:i/>
          <w:iCs/>
        </w:rPr>
        <w:t>Advertising and promotion: An integrated marketing communications perspective</w:t>
      </w:r>
      <w:r w:rsidRPr="00FD0F48">
        <w:rPr>
          <w:rFonts w:ascii="Arial" w:hAnsi="Arial" w:cs="Arial"/>
        </w:rPr>
        <w:t xml:space="preserve"> (11th ed.). McGraw-Hill Education.</w:t>
      </w:r>
    </w:p>
    <w:p w14:paraId="13C008C9" w14:textId="15A88FBC" w:rsidR="00FD0F48" w:rsidRPr="00FD0F48" w:rsidRDefault="00FD0F48" w:rsidP="00FD0F48">
      <w:pPr>
        <w:spacing w:line="480" w:lineRule="auto"/>
        <w:rPr>
          <w:rFonts w:ascii="Arial" w:hAnsi="Arial" w:cs="Arial"/>
        </w:rPr>
      </w:pPr>
      <w:r w:rsidRPr="00FD0F48">
        <w:rPr>
          <w:rFonts w:ascii="Arial" w:hAnsi="Arial" w:cs="Arial"/>
        </w:rPr>
        <w:t xml:space="preserve">Chatterjee, S., Nguyen, B., Ghosh, S. K., Bhattacharjee, A., &amp; Chaudhuri, R. (2022). Adaptive marketing strategies during economic downturns: Evidence from the COVID-19 pandemic. </w:t>
      </w:r>
      <w:r w:rsidRPr="00C12360">
        <w:rPr>
          <w:rFonts w:ascii="Arial" w:hAnsi="Arial" w:cs="Arial"/>
          <w:i/>
          <w:iCs/>
        </w:rPr>
        <w:t>Journal of Marketing Research, 59</w:t>
      </w:r>
      <w:r w:rsidRPr="00FD0F48">
        <w:rPr>
          <w:rFonts w:ascii="Arial" w:hAnsi="Arial" w:cs="Arial"/>
        </w:rPr>
        <w:t xml:space="preserve">(4), 789–805. </w:t>
      </w:r>
      <w:hyperlink r:id="rId7" w:history="1">
        <w:r w:rsidR="00C12360" w:rsidRPr="00A12926">
          <w:rPr>
            <w:rStyle w:val="Hyperlink"/>
            <w:rFonts w:ascii="Arial" w:hAnsi="Arial" w:cs="Arial"/>
          </w:rPr>
          <w:t>https://doi.org/10.1177/00222437221082715</w:t>
        </w:r>
      </w:hyperlink>
      <w:r w:rsidR="00C12360">
        <w:rPr>
          <w:rFonts w:ascii="Arial" w:hAnsi="Arial" w:cs="Arial"/>
        </w:rPr>
        <w:t xml:space="preserve"> </w:t>
      </w:r>
    </w:p>
    <w:p w14:paraId="1845A0BF" w14:textId="77777777" w:rsidR="00FD0F48" w:rsidRPr="00FD0F48" w:rsidRDefault="00FD0F48" w:rsidP="00FD0F48">
      <w:pPr>
        <w:spacing w:line="480" w:lineRule="auto"/>
        <w:rPr>
          <w:rFonts w:ascii="Arial" w:hAnsi="Arial" w:cs="Arial"/>
        </w:rPr>
      </w:pPr>
      <w:proofErr w:type="spellStart"/>
      <w:r w:rsidRPr="00FD0F48">
        <w:rPr>
          <w:rFonts w:ascii="Arial" w:hAnsi="Arial" w:cs="Arial"/>
        </w:rPr>
        <w:t>Erevelles</w:t>
      </w:r>
      <w:proofErr w:type="spellEnd"/>
      <w:r w:rsidRPr="00FD0F48">
        <w:rPr>
          <w:rFonts w:ascii="Arial" w:hAnsi="Arial" w:cs="Arial"/>
        </w:rPr>
        <w:t xml:space="preserve">, S., </w:t>
      </w:r>
      <w:proofErr w:type="spellStart"/>
      <w:r w:rsidRPr="00FD0F48">
        <w:rPr>
          <w:rFonts w:ascii="Arial" w:hAnsi="Arial" w:cs="Arial"/>
        </w:rPr>
        <w:t>Fukawa</w:t>
      </w:r>
      <w:proofErr w:type="spellEnd"/>
      <w:r w:rsidRPr="00FD0F48">
        <w:rPr>
          <w:rFonts w:ascii="Arial" w:hAnsi="Arial" w:cs="Arial"/>
        </w:rPr>
        <w:t xml:space="preserve">, N., &amp; Swayne, L. (2022). The role of artificial intelligence in personalization: Implications for marketing strategy. </w:t>
      </w:r>
      <w:r w:rsidRPr="00C12360">
        <w:rPr>
          <w:rFonts w:ascii="Arial" w:hAnsi="Arial" w:cs="Arial"/>
          <w:i/>
          <w:iCs/>
        </w:rPr>
        <w:t>Journal of the Academy of Marketing Science, 50</w:t>
      </w:r>
      <w:r w:rsidRPr="00FD0F48">
        <w:rPr>
          <w:rFonts w:ascii="Arial" w:hAnsi="Arial" w:cs="Arial"/>
        </w:rPr>
        <w:t>(3), 482–500.</w:t>
      </w:r>
    </w:p>
    <w:p w14:paraId="72666B99" w14:textId="0CFC3D6D" w:rsidR="00FD0F48" w:rsidRPr="00FD0F48" w:rsidRDefault="00FD0F48" w:rsidP="00FD0F48">
      <w:pPr>
        <w:spacing w:line="480" w:lineRule="auto"/>
        <w:rPr>
          <w:rFonts w:ascii="Arial" w:hAnsi="Arial" w:cs="Arial"/>
        </w:rPr>
      </w:pPr>
      <w:r w:rsidRPr="00FD0F48">
        <w:rPr>
          <w:rFonts w:ascii="Arial" w:hAnsi="Arial" w:cs="Arial"/>
        </w:rPr>
        <w:t xml:space="preserve">Garcia, M., &amp; Lee, T. (2022). Integrating traditional and digital marketing strategies: A case study approach. </w:t>
      </w:r>
      <w:r w:rsidRPr="00C12360">
        <w:rPr>
          <w:rFonts w:ascii="Arial" w:hAnsi="Arial" w:cs="Arial"/>
          <w:i/>
          <w:iCs/>
        </w:rPr>
        <w:t>Journal of Business Research</w:t>
      </w:r>
      <w:r w:rsidRPr="00FD0F48">
        <w:rPr>
          <w:rFonts w:ascii="Arial" w:hAnsi="Arial" w:cs="Arial"/>
        </w:rPr>
        <w:t xml:space="preserve">, 139, 102–115. </w:t>
      </w:r>
      <w:hyperlink r:id="rId8" w:history="1">
        <w:r w:rsidR="00C12360" w:rsidRPr="00A12926">
          <w:rPr>
            <w:rStyle w:val="Hyperlink"/>
            <w:rFonts w:ascii="Arial" w:hAnsi="Arial" w:cs="Arial"/>
          </w:rPr>
          <w:t>https://doi.org/10.1016/j.jbusres.2021.09.003</w:t>
        </w:r>
      </w:hyperlink>
      <w:r w:rsidR="00C12360">
        <w:rPr>
          <w:rFonts w:ascii="Arial" w:hAnsi="Arial" w:cs="Arial"/>
        </w:rPr>
        <w:t xml:space="preserve"> </w:t>
      </w:r>
    </w:p>
    <w:p w14:paraId="112DE86D" w14:textId="0BCB1C9D" w:rsidR="00FD0F48" w:rsidRPr="00FD0F48" w:rsidRDefault="00FD0F48" w:rsidP="00FD0F48">
      <w:pPr>
        <w:spacing w:line="480" w:lineRule="auto"/>
        <w:rPr>
          <w:rFonts w:ascii="Arial" w:hAnsi="Arial" w:cs="Arial"/>
        </w:rPr>
      </w:pPr>
      <w:r w:rsidRPr="00FD0F48">
        <w:rPr>
          <w:rFonts w:ascii="Arial" w:hAnsi="Arial" w:cs="Arial"/>
        </w:rPr>
        <w:t xml:space="preserve">Godey, B., </w:t>
      </w:r>
      <w:proofErr w:type="spellStart"/>
      <w:r w:rsidRPr="00FD0F48">
        <w:rPr>
          <w:rFonts w:ascii="Arial" w:hAnsi="Arial" w:cs="Arial"/>
        </w:rPr>
        <w:t>Manthiou</w:t>
      </w:r>
      <w:proofErr w:type="spellEnd"/>
      <w:r w:rsidRPr="00FD0F48">
        <w:rPr>
          <w:rFonts w:ascii="Arial" w:hAnsi="Arial" w:cs="Arial"/>
        </w:rPr>
        <w:t xml:space="preserve">, A., </w:t>
      </w:r>
      <w:proofErr w:type="spellStart"/>
      <w:r w:rsidRPr="00FD0F48">
        <w:rPr>
          <w:rFonts w:ascii="Arial" w:hAnsi="Arial" w:cs="Arial"/>
        </w:rPr>
        <w:t>Pederzoli</w:t>
      </w:r>
      <w:proofErr w:type="spellEnd"/>
      <w:r w:rsidRPr="00FD0F48">
        <w:rPr>
          <w:rFonts w:ascii="Arial" w:hAnsi="Arial" w:cs="Arial"/>
        </w:rPr>
        <w:t xml:space="preserve">, D., Rokka, J., Aiello, G., Donvito, R., &amp; Singh, R. (2016). Social media marketing efforts of luxury brands: Influence on brand equity and consumer </w:t>
      </w:r>
      <w:r w:rsidR="00C12360" w:rsidRPr="00FD0F48">
        <w:rPr>
          <w:rFonts w:ascii="Arial" w:hAnsi="Arial" w:cs="Arial"/>
        </w:rPr>
        <w:t>behaviours</w:t>
      </w:r>
      <w:r w:rsidRPr="00FD0F48">
        <w:rPr>
          <w:rFonts w:ascii="Arial" w:hAnsi="Arial" w:cs="Arial"/>
        </w:rPr>
        <w:t xml:space="preserve">. </w:t>
      </w:r>
      <w:r w:rsidRPr="00C12360">
        <w:rPr>
          <w:rFonts w:ascii="Arial" w:hAnsi="Arial" w:cs="Arial"/>
          <w:i/>
          <w:iCs/>
        </w:rPr>
        <w:t>Journal of Business Research, 69</w:t>
      </w:r>
      <w:r w:rsidRPr="00FD0F48">
        <w:rPr>
          <w:rFonts w:ascii="Arial" w:hAnsi="Arial" w:cs="Arial"/>
        </w:rPr>
        <w:t>(12), 5833–5841.</w:t>
      </w:r>
    </w:p>
    <w:p w14:paraId="3FD19A38" w14:textId="77777777" w:rsidR="00FD0F48" w:rsidRPr="00FD0F48" w:rsidRDefault="00FD0F48" w:rsidP="00FD0F48">
      <w:pPr>
        <w:spacing w:line="480" w:lineRule="auto"/>
        <w:rPr>
          <w:rFonts w:ascii="Arial" w:hAnsi="Arial" w:cs="Arial"/>
        </w:rPr>
      </w:pPr>
      <w:r w:rsidRPr="00FD0F48">
        <w:rPr>
          <w:rFonts w:ascii="Arial" w:hAnsi="Arial" w:cs="Arial"/>
        </w:rPr>
        <w:t xml:space="preserve">Guilherme, A. C., &amp; Mendes, A. C. (2023). Strategic growth decisions and the Ansoff matrix: A review of literature and application in the retail sector. </w:t>
      </w:r>
      <w:r w:rsidRPr="00C12360">
        <w:rPr>
          <w:rFonts w:ascii="Arial" w:hAnsi="Arial" w:cs="Arial"/>
          <w:i/>
          <w:iCs/>
        </w:rPr>
        <w:t>International Journal of Retail &amp; Distribution Management, 51</w:t>
      </w:r>
      <w:r w:rsidRPr="00FD0F48">
        <w:rPr>
          <w:rFonts w:ascii="Arial" w:hAnsi="Arial" w:cs="Arial"/>
        </w:rPr>
        <w:t>(4), 533–548.</w:t>
      </w:r>
    </w:p>
    <w:p w14:paraId="56FBC700" w14:textId="36513CF9" w:rsidR="00FD0F48" w:rsidRPr="00FD0F48" w:rsidRDefault="00FD0F48" w:rsidP="00FD0F48">
      <w:pPr>
        <w:spacing w:line="480" w:lineRule="auto"/>
        <w:rPr>
          <w:rFonts w:ascii="Arial" w:hAnsi="Arial" w:cs="Arial"/>
        </w:rPr>
      </w:pPr>
      <w:r w:rsidRPr="00FD0F48">
        <w:rPr>
          <w:rFonts w:ascii="Arial" w:hAnsi="Arial" w:cs="Arial"/>
        </w:rPr>
        <w:t xml:space="preserve">Hybrid TP. (2015, April 27). CRM – What are the benefits to your overall business? </w:t>
      </w:r>
      <w:hyperlink r:id="rId9" w:history="1">
        <w:r w:rsidR="00C12360" w:rsidRPr="00A12926">
          <w:rPr>
            <w:rStyle w:val="Hyperlink"/>
            <w:rFonts w:ascii="Arial" w:hAnsi="Arial" w:cs="Arial"/>
          </w:rPr>
          <w:t>https://www.hybridtp.ie/crm-what-are-the-benefits-to-your-overall-business/</w:t>
        </w:r>
      </w:hyperlink>
      <w:r w:rsidR="00C12360">
        <w:rPr>
          <w:rFonts w:ascii="Arial" w:hAnsi="Arial" w:cs="Arial"/>
        </w:rPr>
        <w:t xml:space="preserve"> </w:t>
      </w:r>
    </w:p>
    <w:p w14:paraId="663A5636" w14:textId="77777777" w:rsidR="00C12360" w:rsidRDefault="00FD0F48" w:rsidP="00FD0F48">
      <w:pPr>
        <w:spacing w:line="480" w:lineRule="auto"/>
        <w:rPr>
          <w:rFonts w:ascii="Arial" w:hAnsi="Arial" w:cs="Arial"/>
        </w:rPr>
      </w:pPr>
      <w:r w:rsidRPr="00FD0F48">
        <w:rPr>
          <w:rFonts w:ascii="Arial" w:hAnsi="Arial" w:cs="Arial"/>
        </w:rPr>
        <w:t xml:space="preserve">Kotler, P. (2020). Marketing and value creation. </w:t>
      </w:r>
      <w:r w:rsidRPr="00C12360">
        <w:rPr>
          <w:rFonts w:ascii="Arial" w:hAnsi="Arial" w:cs="Arial"/>
          <w:i/>
          <w:iCs/>
        </w:rPr>
        <w:t>Journal of Creating Value, 6</w:t>
      </w:r>
      <w:r w:rsidRPr="00FD0F48">
        <w:rPr>
          <w:rFonts w:ascii="Arial" w:hAnsi="Arial" w:cs="Arial"/>
        </w:rPr>
        <w:t>(1), 10–11.</w:t>
      </w:r>
    </w:p>
    <w:p w14:paraId="5E240682" w14:textId="503A4372" w:rsidR="00FD0F48" w:rsidRPr="00FD0F48" w:rsidRDefault="00FD0F48" w:rsidP="00FD0F48">
      <w:pPr>
        <w:spacing w:line="480" w:lineRule="auto"/>
        <w:rPr>
          <w:rFonts w:ascii="Arial" w:hAnsi="Arial" w:cs="Arial"/>
        </w:rPr>
      </w:pPr>
      <w:r w:rsidRPr="00FD0F48">
        <w:rPr>
          <w:rFonts w:ascii="Arial" w:hAnsi="Arial" w:cs="Arial"/>
        </w:rPr>
        <w:lastRenderedPageBreak/>
        <w:t xml:space="preserve">Kotler, P., &amp; Keller, K. L. (2016). </w:t>
      </w:r>
      <w:r w:rsidRPr="00C12360">
        <w:rPr>
          <w:rFonts w:ascii="Arial" w:hAnsi="Arial" w:cs="Arial"/>
          <w:i/>
          <w:iCs/>
        </w:rPr>
        <w:t>Marketing management</w:t>
      </w:r>
      <w:r w:rsidRPr="00FD0F48">
        <w:rPr>
          <w:rFonts w:ascii="Arial" w:hAnsi="Arial" w:cs="Arial"/>
        </w:rPr>
        <w:t xml:space="preserve"> (15th ed.). Pearson Education.</w:t>
      </w:r>
    </w:p>
    <w:p w14:paraId="40B562BE" w14:textId="77777777" w:rsidR="00FD0F48" w:rsidRPr="00FD0F48" w:rsidRDefault="00FD0F48" w:rsidP="00FD0F48">
      <w:pPr>
        <w:spacing w:line="480" w:lineRule="auto"/>
        <w:rPr>
          <w:rFonts w:ascii="Arial" w:hAnsi="Arial" w:cs="Arial"/>
        </w:rPr>
      </w:pPr>
      <w:r w:rsidRPr="00FD0F48">
        <w:rPr>
          <w:rFonts w:ascii="Arial" w:hAnsi="Arial" w:cs="Arial"/>
        </w:rPr>
        <w:t xml:space="preserve">Paley, N. (2017). </w:t>
      </w:r>
      <w:r w:rsidRPr="00C12360">
        <w:rPr>
          <w:rFonts w:ascii="Arial" w:hAnsi="Arial" w:cs="Arial"/>
          <w:i/>
          <w:iCs/>
        </w:rPr>
        <w:t>How to develop a strategic marketing plan</w:t>
      </w:r>
      <w:r w:rsidRPr="00FD0F48">
        <w:rPr>
          <w:rFonts w:ascii="Arial" w:hAnsi="Arial" w:cs="Arial"/>
        </w:rPr>
        <w:t>. Routledge.</w:t>
      </w:r>
    </w:p>
    <w:p w14:paraId="70D5EF51" w14:textId="77777777" w:rsidR="00FD0F48" w:rsidRPr="00FD0F48" w:rsidRDefault="00FD0F48" w:rsidP="00FD0F48">
      <w:pPr>
        <w:spacing w:line="480" w:lineRule="auto"/>
        <w:rPr>
          <w:rFonts w:ascii="Arial" w:hAnsi="Arial" w:cs="Arial"/>
        </w:rPr>
      </w:pPr>
      <w:r w:rsidRPr="00FD0F48">
        <w:rPr>
          <w:rFonts w:ascii="Arial" w:hAnsi="Arial" w:cs="Arial"/>
        </w:rPr>
        <w:t xml:space="preserve">Ries, A., &amp; Trout, J. (2001). </w:t>
      </w:r>
      <w:r w:rsidRPr="00C12360">
        <w:rPr>
          <w:rFonts w:ascii="Arial" w:hAnsi="Arial" w:cs="Arial"/>
          <w:i/>
          <w:iCs/>
        </w:rPr>
        <w:t>Positioning: The battle for your mind.</w:t>
      </w:r>
      <w:r w:rsidRPr="00FD0F48">
        <w:rPr>
          <w:rFonts w:ascii="Arial" w:hAnsi="Arial" w:cs="Arial"/>
        </w:rPr>
        <w:t xml:space="preserve"> McGraw-Hill Education.</w:t>
      </w:r>
    </w:p>
    <w:p w14:paraId="07A25EB9" w14:textId="77777777" w:rsidR="00FD0F48" w:rsidRPr="00FD0F48" w:rsidRDefault="00FD0F48" w:rsidP="00FD0F48">
      <w:pPr>
        <w:spacing w:line="480" w:lineRule="auto"/>
        <w:rPr>
          <w:rFonts w:ascii="Arial" w:hAnsi="Arial" w:cs="Arial"/>
        </w:rPr>
      </w:pPr>
      <w:r w:rsidRPr="00FD0F48">
        <w:rPr>
          <w:rFonts w:ascii="Arial" w:hAnsi="Arial" w:cs="Arial"/>
        </w:rPr>
        <w:t xml:space="preserve">Srivastava, M., &amp; Sharma, R. (2021). Evaluating the ROI of digital marketing campaigns: A framework for data-driven decision making. </w:t>
      </w:r>
      <w:r w:rsidRPr="00C12360">
        <w:rPr>
          <w:rFonts w:ascii="Arial" w:hAnsi="Arial" w:cs="Arial"/>
          <w:i/>
          <w:iCs/>
        </w:rPr>
        <w:t>Journal of Digital Marketing, 22</w:t>
      </w:r>
      <w:r w:rsidRPr="00FD0F48">
        <w:rPr>
          <w:rFonts w:ascii="Arial" w:hAnsi="Arial" w:cs="Arial"/>
        </w:rPr>
        <w:t>(4), 415–428.</w:t>
      </w:r>
    </w:p>
    <w:p w14:paraId="79E827EC" w14:textId="77777777" w:rsidR="00FD0F48" w:rsidRPr="00FD0F48" w:rsidRDefault="00FD0F48" w:rsidP="00FD0F48">
      <w:pPr>
        <w:spacing w:line="480" w:lineRule="auto"/>
        <w:rPr>
          <w:rFonts w:ascii="Arial" w:hAnsi="Arial" w:cs="Arial"/>
        </w:rPr>
      </w:pPr>
      <w:r w:rsidRPr="00FD0F48">
        <w:rPr>
          <w:rFonts w:ascii="Arial" w:hAnsi="Arial" w:cs="Arial"/>
        </w:rPr>
        <w:t xml:space="preserve">Tiago, M. T. P. M. B., &amp; Veríssimo, J. M. C. (2022). Digital marketing and social media: Why bother? </w:t>
      </w:r>
      <w:r w:rsidRPr="00C12360">
        <w:rPr>
          <w:rFonts w:ascii="Arial" w:hAnsi="Arial" w:cs="Arial"/>
          <w:i/>
          <w:iCs/>
        </w:rPr>
        <w:t>Business Horizons, 65</w:t>
      </w:r>
      <w:r w:rsidRPr="00FD0F48">
        <w:rPr>
          <w:rFonts w:ascii="Arial" w:hAnsi="Arial" w:cs="Arial"/>
        </w:rPr>
        <w:t>(4), 463–472.</w:t>
      </w:r>
    </w:p>
    <w:p w14:paraId="5E34F5D9" w14:textId="77777777" w:rsidR="00FD0F48" w:rsidRPr="00FD0F48" w:rsidRDefault="00FD0F48" w:rsidP="00FD0F48">
      <w:pPr>
        <w:spacing w:line="480" w:lineRule="auto"/>
        <w:rPr>
          <w:rFonts w:ascii="Arial" w:hAnsi="Arial" w:cs="Arial"/>
        </w:rPr>
      </w:pPr>
      <w:r w:rsidRPr="00FD0F48">
        <w:rPr>
          <w:rFonts w:ascii="Arial" w:hAnsi="Arial" w:cs="Arial"/>
        </w:rPr>
        <w:t xml:space="preserve">Venkatesan, R., &amp; Kumar, V. (2021). The impact of email marketing campaigns on customer lifetime value. </w:t>
      </w:r>
      <w:r w:rsidRPr="00C12360">
        <w:rPr>
          <w:rFonts w:ascii="Arial" w:hAnsi="Arial" w:cs="Arial"/>
          <w:i/>
          <w:iCs/>
        </w:rPr>
        <w:t>Journal of Interactive Marketing</w:t>
      </w:r>
      <w:r w:rsidRPr="00FD0F48">
        <w:rPr>
          <w:rFonts w:ascii="Arial" w:hAnsi="Arial" w:cs="Arial"/>
        </w:rPr>
        <w:t>, 53, 1–17.</w:t>
      </w:r>
    </w:p>
    <w:p w14:paraId="137DEA7A" w14:textId="77777777" w:rsidR="00FD0F48" w:rsidRPr="00FD0F48" w:rsidRDefault="00FD0F48" w:rsidP="00FD0F48">
      <w:pPr>
        <w:spacing w:line="480" w:lineRule="auto"/>
        <w:rPr>
          <w:rFonts w:ascii="Arial" w:hAnsi="Arial" w:cs="Arial"/>
        </w:rPr>
      </w:pPr>
      <w:r w:rsidRPr="00FD0F48">
        <w:rPr>
          <w:rFonts w:ascii="Arial" w:hAnsi="Arial" w:cs="Arial"/>
        </w:rPr>
        <w:t xml:space="preserve">Wang, Y., &amp; Xu, H. (2022). Marketing mix optimization using machine learning: A data-driven approach. </w:t>
      </w:r>
      <w:r w:rsidRPr="00C12360">
        <w:rPr>
          <w:rFonts w:ascii="Arial" w:hAnsi="Arial" w:cs="Arial"/>
          <w:i/>
          <w:iCs/>
        </w:rPr>
        <w:t>Marketing Science, 41</w:t>
      </w:r>
      <w:r w:rsidRPr="00FD0F48">
        <w:rPr>
          <w:rFonts w:ascii="Arial" w:hAnsi="Arial" w:cs="Arial"/>
        </w:rPr>
        <w:t>(3), 457–475.</w:t>
      </w:r>
    </w:p>
    <w:p w14:paraId="690DE41D" w14:textId="77777777" w:rsidR="00FD0F48" w:rsidRPr="00FD0F48" w:rsidRDefault="00FD0F48" w:rsidP="00FD0F48">
      <w:pPr>
        <w:spacing w:line="480" w:lineRule="auto"/>
        <w:rPr>
          <w:rFonts w:ascii="Arial" w:hAnsi="Arial" w:cs="Arial"/>
        </w:rPr>
      </w:pPr>
      <w:r w:rsidRPr="00FD0F48">
        <w:rPr>
          <w:rFonts w:ascii="Arial" w:hAnsi="Arial" w:cs="Arial"/>
        </w:rPr>
        <w:t xml:space="preserve">Weitz, B. A., &amp; Wensley, R. (2020). Integrated marketing communications and the future of branding. </w:t>
      </w:r>
      <w:r w:rsidRPr="00C12360">
        <w:rPr>
          <w:rFonts w:ascii="Arial" w:hAnsi="Arial" w:cs="Arial"/>
          <w:i/>
          <w:iCs/>
        </w:rPr>
        <w:t>Journal of Brand Management, 27</w:t>
      </w:r>
      <w:r w:rsidRPr="00FD0F48">
        <w:rPr>
          <w:rFonts w:ascii="Arial" w:hAnsi="Arial" w:cs="Arial"/>
        </w:rPr>
        <w:t>(2), 163–177.</w:t>
      </w:r>
    </w:p>
    <w:p w14:paraId="75D67906" w14:textId="0C9F025D" w:rsidR="00FD0F48" w:rsidRDefault="00FD0F48" w:rsidP="00FD0F48">
      <w:pPr>
        <w:spacing w:line="480" w:lineRule="auto"/>
        <w:rPr>
          <w:rFonts w:ascii="Arial" w:hAnsi="Arial" w:cs="Arial"/>
        </w:rPr>
      </w:pPr>
      <w:r w:rsidRPr="00FD0F48">
        <w:rPr>
          <w:rFonts w:ascii="Arial" w:hAnsi="Arial" w:cs="Arial"/>
        </w:rPr>
        <w:t xml:space="preserve">Yang, S., &amp; Zhao, X. (2023). Measuring customer lifetime value in subscription-based models: A framework for the digital age. </w:t>
      </w:r>
      <w:r w:rsidRPr="00C12360">
        <w:rPr>
          <w:rFonts w:ascii="Arial" w:hAnsi="Arial" w:cs="Arial"/>
          <w:i/>
          <w:iCs/>
        </w:rPr>
        <w:t>Journal of Marketing Analytics, 11</w:t>
      </w:r>
      <w:r w:rsidRPr="00FD0F48">
        <w:rPr>
          <w:rFonts w:ascii="Arial" w:hAnsi="Arial" w:cs="Arial"/>
        </w:rPr>
        <w:t>(2), 130–</w:t>
      </w:r>
      <w:r w:rsidR="00C12360" w:rsidRPr="00FD0F48">
        <w:rPr>
          <w:rFonts w:ascii="Arial" w:hAnsi="Arial" w:cs="Arial"/>
        </w:rPr>
        <w:t xml:space="preserve">142. </w:t>
      </w:r>
    </w:p>
    <w:p w14:paraId="34A1957E" w14:textId="3FEC36B2" w:rsidR="00C12360" w:rsidRDefault="00C12360" w:rsidP="00FD0F48">
      <w:pPr>
        <w:spacing w:line="480" w:lineRule="auto"/>
        <w:rPr>
          <w:rFonts w:ascii="Arial" w:hAnsi="Arial" w:cs="Arial"/>
        </w:rPr>
      </w:pPr>
      <w:hyperlink r:id="rId10" w:history="1">
        <w:r w:rsidRPr="00A12926">
          <w:rPr>
            <w:rStyle w:val="Hyperlink"/>
            <w:rFonts w:ascii="Arial" w:hAnsi="Arial" w:cs="Arial"/>
          </w:rPr>
          <w:t>https://www.samsung.com/uk/watches/galaxy-watch6/buy/</w:t>
        </w:r>
      </w:hyperlink>
      <w:r>
        <w:rPr>
          <w:rFonts w:ascii="Arial" w:hAnsi="Arial" w:cs="Arial"/>
        </w:rPr>
        <w:t xml:space="preserve"> </w:t>
      </w:r>
    </w:p>
    <w:p w14:paraId="3558132A" w14:textId="1C82C28B" w:rsidR="00C12360" w:rsidRDefault="00C12360" w:rsidP="00FD0F48">
      <w:pPr>
        <w:spacing w:line="480" w:lineRule="auto"/>
        <w:rPr>
          <w:rFonts w:ascii="Arial" w:hAnsi="Arial" w:cs="Arial"/>
        </w:rPr>
      </w:pPr>
      <w:hyperlink r:id="rId11" w:history="1">
        <w:r w:rsidRPr="00A12926">
          <w:rPr>
            <w:rStyle w:val="Hyperlink"/>
            <w:rFonts w:ascii="Arial" w:hAnsi="Arial" w:cs="Arial"/>
          </w:rPr>
          <w:t>https://www.samsung.com/uk/watches/galaxy-watch/galaxy-watch6-classic-47mm-black-bt-sm-r960nzkaeua/</w:t>
        </w:r>
      </w:hyperlink>
      <w:r>
        <w:rPr>
          <w:rFonts w:ascii="Arial" w:hAnsi="Arial" w:cs="Arial"/>
        </w:rPr>
        <w:t xml:space="preserve"> </w:t>
      </w:r>
    </w:p>
    <w:p w14:paraId="1BE6ACC4" w14:textId="67DA9211" w:rsidR="00C12360" w:rsidRDefault="00C12360" w:rsidP="00FD0F48">
      <w:pPr>
        <w:spacing w:line="480" w:lineRule="auto"/>
        <w:rPr>
          <w:rFonts w:ascii="Arial" w:hAnsi="Arial" w:cs="Arial"/>
        </w:rPr>
      </w:pPr>
      <w:hyperlink r:id="rId12" w:history="1">
        <w:r w:rsidRPr="00A12926">
          <w:rPr>
            <w:rStyle w:val="Hyperlink"/>
            <w:rFonts w:ascii="Arial" w:hAnsi="Arial" w:cs="Arial"/>
          </w:rPr>
          <w:t>https://www.sammobile.com/news/got-your-first-galaxy-watch-these-settings-will-help-you-sleep-better/</w:t>
        </w:r>
      </w:hyperlink>
      <w:r>
        <w:rPr>
          <w:rFonts w:ascii="Arial" w:hAnsi="Arial" w:cs="Arial"/>
        </w:rPr>
        <w:t xml:space="preserve"> </w:t>
      </w:r>
    </w:p>
    <w:p w14:paraId="0FD113E3" w14:textId="5C5D506B" w:rsidR="00C12360" w:rsidRDefault="00C12360" w:rsidP="00FD0F48">
      <w:pPr>
        <w:spacing w:line="480" w:lineRule="auto"/>
        <w:rPr>
          <w:rFonts w:ascii="Arial" w:hAnsi="Arial" w:cs="Arial"/>
        </w:rPr>
      </w:pPr>
      <w:hyperlink r:id="rId13" w:history="1">
        <w:r w:rsidRPr="00A12926">
          <w:rPr>
            <w:rStyle w:val="Hyperlink"/>
            <w:rFonts w:ascii="Arial" w:hAnsi="Arial" w:cs="Arial"/>
          </w:rPr>
          <w:t>https://www.sammobile.com/news/samsung-galaxy-ai-vs-apple-intelligence-writing-assistance-part-1/</w:t>
        </w:r>
      </w:hyperlink>
      <w:r>
        <w:rPr>
          <w:rFonts w:ascii="Arial" w:hAnsi="Arial" w:cs="Arial"/>
        </w:rPr>
        <w:t xml:space="preserve"> </w:t>
      </w:r>
    </w:p>
    <w:p w14:paraId="5727260E" w14:textId="0B571A61" w:rsidR="00C12360" w:rsidRDefault="00C12360" w:rsidP="00FD0F48">
      <w:pPr>
        <w:spacing w:line="480" w:lineRule="auto"/>
        <w:rPr>
          <w:rFonts w:ascii="Arial" w:hAnsi="Arial" w:cs="Arial"/>
        </w:rPr>
      </w:pPr>
      <w:hyperlink r:id="rId14" w:history="1">
        <w:r w:rsidRPr="00A12926">
          <w:rPr>
            <w:rStyle w:val="Hyperlink"/>
            <w:rFonts w:ascii="Arial" w:hAnsi="Arial" w:cs="Arial"/>
          </w:rPr>
          <w:t>https://www.samsungmobilepress.com/tag/Galaxy%20Watch6%20Classic</w:t>
        </w:r>
      </w:hyperlink>
      <w:r>
        <w:rPr>
          <w:rFonts w:ascii="Arial" w:hAnsi="Arial" w:cs="Arial"/>
        </w:rPr>
        <w:t xml:space="preserve"> </w:t>
      </w:r>
    </w:p>
    <w:p w14:paraId="18AA69C1" w14:textId="5C85711B" w:rsidR="00C12360" w:rsidRDefault="00C12360" w:rsidP="00FD0F48">
      <w:pPr>
        <w:spacing w:line="480" w:lineRule="auto"/>
        <w:rPr>
          <w:rFonts w:ascii="Arial" w:hAnsi="Arial" w:cs="Arial"/>
        </w:rPr>
      </w:pPr>
      <w:hyperlink r:id="rId15" w:history="1">
        <w:r w:rsidRPr="00A12926">
          <w:rPr>
            <w:rStyle w:val="Hyperlink"/>
            <w:rFonts w:ascii="Arial" w:hAnsi="Arial" w:cs="Arial"/>
          </w:rPr>
          <w:t>https://www.samsungmobilepress.com/feature-stories/samsung-expands-availability-of-latest-wearable-experiences-to-more-users</w:t>
        </w:r>
      </w:hyperlink>
      <w:r>
        <w:rPr>
          <w:rFonts w:ascii="Arial" w:hAnsi="Arial" w:cs="Arial"/>
        </w:rPr>
        <w:t xml:space="preserve"> </w:t>
      </w:r>
    </w:p>
    <w:p w14:paraId="2B1AA457" w14:textId="77777777" w:rsidR="00FD0F48" w:rsidRPr="00187CB1" w:rsidRDefault="00FD0F48" w:rsidP="00187CB1">
      <w:pPr>
        <w:spacing w:line="480" w:lineRule="auto"/>
        <w:rPr>
          <w:rFonts w:ascii="Arial" w:hAnsi="Arial" w:cs="Arial"/>
        </w:rPr>
      </w:pPr>
    </w:p>
    <w:sectPr w:rsidR="00FD0F48" w:rsidRPr="00187CB1" w:rsidSect="00FD0F48">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570E2" w14:textId="77777777" w:rsidR="00243716" w:rsidRDefault="00243716" w:rsidP="00187CB1">
      <w:pPr>
        <w:spacing w:after="0" w:line="240" w:lineRule="auto"/>
      </w:pPr>
      <w:r>
        <w:separator/>
      </w:r>
    </w:p>
  </w:endnote>
  <w:endnote w:type="continuationSeparator" w:id="0">
    <w:p w14:paraId="0DCF170D" w14:textId="77777777" w:rsidR="00243716" w:rsidRDefault="00243716" w:rsidP="00187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977FA" w14:textId="77777777" w:rsidR="00243716" w:rsidRDefault="00243716" w:rsidP="00187CB1">
      <w:pPr>
        <w:spacing w:after="0" w:line="240" w:lineRule="auto"/>
      </w:pPr>
      <w:r>
        <w:separator/>
      </w:r>
    </w:p>
  </w:footnote>
  <w:footnote w:type="continuationSeparator" w:id="0">
    <w:p w14:paraId="1DE880C7" w14:textId="77777777" w:rsidR="00243716" w:rsidRDefault="00243716" w:rsidP="00187C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688062"/>
      <w:docPartObj>
        <w:docPartGallery w:val="Page Numbers (Top of Page)"/>
        <w:docPartUnique/>
      </w:docPartObj>
    </w:sdtPr>
    <w:sdtEndPr>
      <w:rPr>
        <w:noProof/>
      </w:rPr>
    </w:sdtEndPr>
    <w:sdtContent>
      <w:p w14:paraId="13713086" w14:textId="79337A1A" w:rsidR="00187CB1" w:rsidRDefault="00187CB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3021654" w14:textId="77777777" w:rsidR="00187CB1" w:rsidRDefault="00187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AD2D65"/>
    <w:multiLevelType w:val="hybridMultilevel"/>
    <w:tmpl w:val="894A7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474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CB1"/>
    <w:rsid w:val="00187CB1"/>
    <w:rsid w:val="001D1093"/>
    <w:rsid w:val="00243716"/>
    <w:rsid w:val="0047507B"/>
    <w:rsid w:val="00BB6F82"/>
    <w:rsid w:val="00C12360"/>
    <w:rsid w:val="00CB1594"/>
    <w:rsid w:val="00CE244B"/>
    <w:rsid w:val="00D02960"/>
    <w:rsid w:val="00F5227E"/>
    <w:rsid w:val="00FD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B453"/>
  <w15:chartTrackingRefBased/>
  <w15:docId w15:val="{5261DD8E-1E7F-4CA2-89A6-D12FC4FFB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CB1"/>
    <w:rPr>
      <w:rFonts w:eastAsiaTheme="majorEastAsia" w:cstheme="majorBidi"/>
      <w:color w:val="272727" w:themeColor="text1" w:themeTint="D8"/>
    </w:rPr>
  </w:style>
  <w:style w:type="paragraph" w:styleId="Title">
    <w:name w:val="Title"/>
    <w:basedOn w:val="Normal"/>
    <w:next w:val="Normal"/>
    <w:link w:val="TitleChar"/>
    <w:uiPriority w:val="10"/>
    <w:qFormat/>
    <w:rsid w:val="00187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CB1"/>
    <w:pPr>
      <w:spacing w:before="160"/>
      <w:jc w:val="center"/>
    </w:pPr>
    <w:rPr>
      <w:i/>
      <w:iCs/>
      <w:color w:val="404040" w:themeColor="text1" w:themeTint="BF"/>
    </w:rPr>
  </w:style>
  <w:style w:type="character" w:customStyle="1" w:styleId="QuoteChar">
    <w:name w:val="Quote Char"/>
    <w:basedOn w:val="DefaultParagraphFont"/>
    <w:link w:val="Quote"/>
    <w:uiPriority w:val="29"/>
    <w:rsid w:val="00187CB1"/>
    <w:rPr>
      <w:i/>
      <w:iCs/>
      <w:color w:val="404040" w:themeColor="text1" w:themeTint="BF"/>
    </w:rPr>
  </w:style>
  <w:style w:type="paragraph" w:styleId="ListParagraph">
    <w:name w:val="List Paragraph"/>
    <w:basedOn w:val="Normal"/>
    <w:uiPriority w:val="34"/>
    <w:qFormat/>
    <w:rsid w:val="00187CB1"/>
    <w:pPr>
      <w:ind w:left="720"/>
      <w:contextualSpacing/>
    </w:pPr>
  </w:style>
  <w:style w:type="character" w:styleId="IntenseEmphasis">
    <w:name w:val="Intense Emphasis"/>
    <w:basedOn w:val="DefaultParagraphFont"/>
    <w:uiPriority w:val="21"/>
    <w:qFormat/>
    <w:rsid w:val="00187CB1"/>
    <w:rPr>
      <w:i/>
      <w:iCs/>
      <w:color w:val="0F4761" w:themeColor="accent1" w:themeShade="BF"/>
    </w:rPr>
  </w:style>
  <w:style w:type="paragraph" w:styleId="IntenseQuote">
    <w:name w:val="Intense Quote"/>
    <w:basedOn w:val="Normal"/>
    <w:next w:val="Normal"/>
    <w:link w:val="IntenseQuoteChar"/>
    <w:uiPriority w:val="30"/>
    <w:qFormat/>
    <w:rsid w:val="00187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CB1"/>
    <w:rPr>
      <w:i/>
      <w:iCs/>
      <w:color w:val="0F4761" w:themeColor="accent1" w:themeShade="BF"/>
    </w:rPr>
  </w:style>
  <w:style w:type="character" w:styleId="IntenseReference">
    <w:name w:val="Intense Reference"/>
    <w:basedOn w:val="DefaultParagraphFont"/>
    <w:uiPriority w:val="32"/>
    <w:qFormat/>
    <w:rsid w:val="00187CB1"/>
    <w:rPr>
      <w:b/>
      <w:bCs/>
      <w:smallCaps/>
      <w:color w:val="0F4761" w:themeColor="accent1" w:themeShade="BF"/>
      <w:spacing w:val="5"/>
    </w:rPr>
  </w:style>
  <w:style w:type="paragraph" w:styleId="Header">
    <w:name w:val="header"/>
    <w:basedOn w:val="Normal"/>
    <w:link w:val="HeaderChar"/>
    <w:uiPriority w:val="99"/>
    <w:unhideWhenUsed/>
    <w:rsid w:val="00187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CB1"/>
  </w:style>
  <w:style w:type="paragraph" w:styleId="Footer">
    <w:name w:val="footer"/>
    <w:basedOn w:val="Normal"/>
    <w:link w:val="FooterChar"/>
    <w:uiPriority w:val="99"/>
    <w:unhideWhenUsed/>
    <w:rsid w:val="00187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B1"/>
  </w:style>
  <w:style w:type="paragraph" w:styleId="NoSpacing">
    <w:name w:val="No Spacing"/>
    <w:link w:val="NoSpacingChar"/>
    <w:uiPriority w:val="1"/>
    <w:qFormat/>
    <w:rsid w:val="00FD0F4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D0F48"/>
    <w:rPr>
      <w:rFonts w:eastAsiaTheme="minorEastAsia"/>
      <w:kern w:val="0"/>
      <w:sz w:val="22"/>
      <w:szCs w:val="22"/>
      <w:lang w:val="en-US"/>
      <w14:ligatures w14:val="none"/>
    </w:rPr>
  </w:style>
  <w:style w:type="character" w:styleId="Hyperlink">
    <w:name w:val="Hyperlink"/>
    <w:basedOn w:val="DefaultParagraphFont"/>
    <w:uiPriority w:val="99"/>
    <w:unhideWhenUsed/>
    <w:rsid w:val="00C12360"/>
    <w:rPr>
      <w:color w:val="467886" w:themeColor="hyperlink"/>
      <w:u w:val="single"/>
    </w:rPr>
  </w:style>
  <w:style w:type="character" w:styleId="UnresolvedMention">
    <w:name w:val="Unresolved Mention"/>
    <w:basedOn w:val="DefaultParagraphFont"/>
    <w:uiPriority w:val="99"/>
    <w:semiHidden/>
    <w:unhideWhenUsed/>
    <w:rsid w:val="00C123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usres.2021.09.003" TargetMode="External"/><Relationship Id="rId13" Type="http://schemas.openxmlformats.org/officeDocument/2006/relationships/hyperlink" Target="https://www.sammobile.com/news/samsung-galaxy-ai-vs-apple-intelligence-writing-assistance-part-1/"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doi.org/10.1177/00222437221082715" TargetMode="External"/><Relationship Id="rId12" Type="http://schemas.openxmlformats.org/officeDocument/2006/relationships/hyperlink" Target="https://www.sammobile.com/news/got-your-first-galaxy-watch-these-settings-will-help-you-sleep-bett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msung.com/uk/watches/galaxy-watch/galaxy-watch6-classic-47mm-black-bt-sm-r960nzkaeua/" TargetMode="External"/><Relationship Id="rId5" Type="http://schemas.openxmlformats.org/officeDocument/2006/relationships/footnotes" Target="footnotes.xml"/><Relationship Id="rId15" Type="http://schemas.openxmlformats.org/officeDocument/2006/relationships/hyperlink" Target="https://www.samsungmobilepress.com/feature-stories/samsung-expands-availability-of-latest-wearable-experiences-to-more-users" TargetMode="External"/><Relationship Id="rId10" Type="http://schemas.openxmlformats.org/officeDocument/2006/relationships/hyperlink" Target="https://www.samsung.com/uk/watches/galaxy-watch6/bu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ybridtp.ie/crm-what-are-the-benefits-to-your-overall-business/" TargetMode="External"/><Relationship Id="rId14" Type="http://schemas.openxmlformats.org/officeDocument/2006/relationships/hyperlink" Target="https://www.samsungmobilepress.com/tag/Galaxy%20Watch6%20Classi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767D111B444E399D92262A5B7D6377"/>
        <w:category>
          <w:name w:val="General"/>
          <w:gallery w:val="placeholder"/>
        </w:category>
        <w:types>
          <w:type w:val="bbPlcHdr"/>
        </w:types>
        <w:behaviors>
          <w:behavior w:val="content"/>
        </w:behaviors>
        <w:guid w:val="{8CE82A80-2F4D-4FF7-9CCC-FDDDDCAF62C3}"/>
      </w:docPartPr>
      <w:docPartBody>
        <w:p w:rsidR="00000000" w:rsidRDefault="008064C7" w:rsidP="008064C7">
          <w:pPr>
            <w:pStyle w:val="E8767D111B444E399D92262A5B7D637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4C7"/>
    <w:rsid w:val="000F6189"/>
    <w:rsid w:val="008064C7"/>
    <w:rsid w:val="00D02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767D111B444E399D92262A5B7D6377">
    <w:name w:val="E8767D111B444E399D92262A5B7D6377"/>
    <w:rsid w:val="008064C7"/>
  </w:style>
  <w:style w:type="paragraph" w:customStyle="1" w:styleId="847D06C67A53489F97988A4F3529ECD0">
    <w:name w:val="847D06C67A53489F97988A4F3529ECD0"/>
    <w:rsid w:val="008064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269</TotalTime>
  <Pages>14</Pages>
  <Words>3060</Words>
  <Characters>17443</Characters>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Report</dc:title>
  <dc:subject/>
  <cp:keywords/>
  <dc:description/>
  <dcterms:created xsi:type="dcterms:W3CDTF">2026-01-03T18:43:00Z</dcterms:created>
  <dcterms:modified xsi:type="dcterms:W3CDTF">2026-01-03T23:12:00Z</dcterms:modified>
</cp:coreProperties>
</file>