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-567601</wp:posOffset>
            </wp:positionH>
            <wp:positionV relativeFrom="line">
              <wp:posOffset>-25313</wp:posOffset>
            </wp:positionV>
            <wp:extent cx="2026742" cy="670387"/>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026742" cy="670387"/>
                    </a:xfrm>
                    <a:prstGeom prst="rect">
                      <a:avLst/>
                    </a:prstGeom>
                    <a:ln w="12700" cap="flat">
                      <a:noFill/>
                      <a:miter lim="400000"/>
                    </a:ln>
                    <a:effectLst/>
                  </pic:spPr>
                </pic:pic>
              </a:graphicData>
            </a:graphic>
          </wp:anchor>
        </w:drawing>
      </w: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r>
        <w:rPr>
          <w:rFonts w:ascii="Times New Roman" w:hAnsi="Times New Roman"/>
          <w:b w:val="1"/>
          <w:bCs w:val="1"/>
          <w:outline w:val="0"/>
          <w:color w:val="333333"/>
          <w:sz w:val="24"/>
          <w:szCs w:val="24"/>
          <w:u w:color="333333"/>
          <w:shd w:val="clear" w:color="auto" w:fill="ffffff"/>
          <w:rtl w:val="0"/>
          <w:lang w:val="en-US"/>
          <w14:textFill>
            <w14:solidFill>
              <w14:srgbClr w14:val="333333"/>
            </w14:solidFill>
          </w14:textFill>
        </w:rPr>
        <w:t>BA (HONS) LEADERSHIP AND MANAGEMENT SKILLS FOR THE WORKPLACE</w:t>
      </w: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r>
        <w:rPr>
          <w:rFonts w:ascii="Times New Roman" w:hAnsi="Times New Roman"/>
          <w:b w:val="1"/>
          <w:bCs w:val="1"/>
          <w:outline w:val="0"/>
          <w:color w:val="333333"/>
          <w:sz w:val="24"/>
          <w:szCs w:val="24"/>
          <w:u w:color="333333"/>
          <w:shd w:val="clear" w:color="auto" w:fill="ffffff"/>
          <w:rtl w:val="0"/>
          <w:lang w:val="en-US"/>
          <w14:textFill>
            <w14:solidFill>
              <w14:srgbClr w14:val="333333"/>
            </w14:solidFill>
          </w14:textFill>
        </w:rPr>
        <w:t>Developing workplace critical thinking</w:t>
      </w: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r>
        <w:rPr>
          <w:rFonts w:ascii="Times New Roman" w:hAnsi="Times New Roman"/>
          <w:b w:val="1"/>
          <w:bCs w:val="1"/>
          <w:outline w:val="0"/>
          <w:color w:val="333333"/>
          <w:sz w:val="24"/>
          <w:szCs w:val="24"/>
          <w:u w:color="333333"/>
          <w:shd w:val="clear" w:color="auto" w:fill="ffffff"/>
          <w:rtl w:val="0"/>
          <w:lang w:val="pt-PT"/>
          <w14:textFill>
            <w14:solidFill>
              <w14:srgbClr w14:val="333333"/>
            </w14:solidFill>
          </w14:textFill>
        </w:rPr>
        <w:t>Diageo plc</w:t>
      </w:r>
      <w: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br w:type="textWrapping"/>
      </w:r>
      <w:r>
        <w:rPr>
          <w:rFonts w:ascii="Times New Roman" w:hAnsi="Times New Roman"/>
          <w:b w:val="1"/>
          <w:bCs w:val="1"/>
          <w:outline w:val="0"/>
          <w:color w:val="333333"/>
          <w:sz w:val="24"/>
          <w:szCs w:val="24"/>
          <w:u w:color="333333"/>
          <w:shd w:val="clear" w:color="auto" w:fill="ffffff"/>
          <w:rtl w:val="0"/>
          <w:lang w:val="en-US"/>
          <w14:textFill>
            <w14:solidFill>
              <w14:srgbClr w14:val="333333"/>
            </w14:solidFill>
          </w14:textFill>
        </w:rPr>
        <w:t>Lecturer Names: Tanja Nathan</w:t>
      </w: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p>
    <w:p>
      <w:pPr>
        <w:pStyle w:val="Body"/>
        <w:spacing w:line="480" w:lineRule="auto"/>
        <w:jc w:val="center"/>
        <w:rPr>
          <w:rFonts w:ascii="Times New Roman" w:cs="Times New Roman" w:hAnsi="Times New Roman" w:eastAsia="Times New Roman"/>
          <w:b w:val="1"/>
          <w:bCs w:val="1"/>
          <w:outline w:val="0"/>
          <w:color w:val="333333"/>
          <w:sz w:val="24"/>
          <w:szCs w:val="24"/>
          <w:u w:color="333333"/>
          <w:shd w:val="clear" w:color="auto" w:fill="ffffff"/>
          <w14:textFill>
            <w14:solidFill>
              <w14:srgbClr w14:val="333333"/>
            </w14:solidFill>
          </w14:textFill>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By</w:t>
      </w:r>
      <w:r>
        <w:rPr>
          <w:rFonts w:ascii="Times New Roman" w:hAnsi="Times New Roman"/>
          <w:sz w:val="24"/>
          <w:szCs w:val="24"/>
          <w:rtl w:val="0"/>
          <w:lang w:val="en-US"/>
        </w:rPr>
        <w:t xml:space="preserve"> Kristian Todorov Todorov </w:t>
      </w:r>
      <w:r>
        <w:rPr>
          <w:rFonts w:ascii="Times New Roman" w:cs="Times New Roman" w:hAnsi="Times New Roman" w:eastAsia="Times New Roman"/>
          <w:sz w:val="24"/>
          <w:szCs w:val="24"/>
        </w:rPr>
        <w:br w:type="textWrapping"/>
      </w:r>
      <w:r>
        <w:rPr>
          <w:rFonts w:ascii="Times New Roman" w:hAnsi="Times New Roman"/>
          <w:sz w:val="24"/>
          <w:szCs w:val="24"/>
          <w:rtl w:val="0"/>
          <w:lang w:val="en-US"/>
        </w:rPr>
        <w:t xml:space="preserve">Student ID: 2018313 </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de-DE"/>
        </w:rPr>
        <w:t>Date</w:t>
      </w:r>
      <w:r>
        <w:rPr>
          <w:rFonts w:ascii="Times New Roman" w:hAnsi="Times New Roman"/>
          <w:sz w:val="24"/>
          <w:szCs w:val="24"/>
          <w:rtl w:val="0"/>
          <w:lang w:val="en-US"/>
        </w:rPr>
        <w:t>: 08.05.2023</w:t>
      </w:r>
    </w:p>
    <w:p>
      <w:pPr>
        <w:pStyle w:val="Body"/>
        <w:spacing w:line="480" w:lineRule="auto"/>
      </w:pPr>
      <w:r>
        <w:rPr>
          <w:rFonts w:ascii="Arial Unicode MS" w:cs="Arial Unicode MS" w:hAnsi="Arial Unicode MS" w:eastAsia="Arial Unicode MS"/>
          <w:b w:val="0"/>
          <w:bCs w:val="0"/>
          <w:i w:val="0"/>
          <w:iCs w:val="0"/>
        </w:rPr>
        <w:br w:type="page"/>
      </w:r>
    </w:p>
    <w:p>
      <w:pPr>
        <w:pStyle w:val="Heading"/>
        <w:jc w:val="center"/>
        <w:rPr>
          <w:rFonts w:ascii="Times New Roman" w:cs="Times New Roman" w:hAnsi="Times New Roman" w:eastAsia="Times New Roman"/>
          <w:b w:val="1"/>
          <w:bCs w:val="1"/>
        </w:rPr>
      </w:pPr>
      <w:bookmarkStart w:name="_Toc" w:id="0"/>
      <w:bookmarkStart w:name="_wvc2dovhj" w:id="1"/>
      <w:bookmarkEnd w:id="1"/>
      <w:r>
        <w:rPr>
          <w:rFonts w:ascii="Times New Roman" w:hAnsi="Times New Roman"/>
          <w:b w:val="1"/>
          <w:bCs w:val="1"/>
          <w:rtl w:val="0"/>
        </w:rPr>
        <w:t>E</w:t>
      </w:r>
      <w:r>
        <w:rPr>
          <w:rFonts w:ascii="Times New Roman" w:hAnsi="Times New Roman"/>
          <w:b w:val="1"/>
          <w:bCs w:val="1"/>
          <w:rtl w:val="0"/>
          <w:lang w:val="en-US"/>
        </w:rPr>
        <w:t>xecutive Summary</w:t>
      </w:r>
      <w:bookmarkEnd w:id="0"/>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This report is divided into two sections. The first section is an individual business report that aims to examine how organisational culture (beliefs, attitudes, and value systems) affects the workplace behaviour of Diageo plc. Besides, the report will also investigate how Diageo's workplace changes for the post-Covid business environment tackle the new business challenges and create more resilient businesses in the future. The second section is a reflective journal that focuses on understanding the researcher's learning styles, leadership styles, conflict styles, and emotional intelligence, among others. In the first part, the researcher utilised Diego Plc and established that beliefs, values, and attitudes are crucial in motivating people for improved performance and productivity. While using the behavioural approach proposed by Mary Parker Follet, the author indicated that organisations could provide employees with autonomy to choose their workplace following the post-Covid strategies to ensure organisational productivity. In the reflective journal section, the researcher scored 70% on the emotional intelligence test, indicating that he can identify his emotions. Based on this EQ test, the researcher effectively and inextricably connected his body and emotions. Therefore, he can locate his exact feelings in most cases since he pays attention to and easily recognises his body</w:t>
      </w:r>
      <w:r>
        <w:rPr>
          <w:rFonts w:ascii="Times New Roman" w:hAnsi="Times New Roman" w:hint="default"/>
          <w:sz w:val="24"/>
          <w:szCs w:val="24"/>
          <w:rtl w:val="0"/>
          <w:lang w:val="en-US"/>
        </w:rPr>
        <w:t>’</w:t>
      </w:r>
      <w:r>
        <w:rPr>
          <w:rFonts w:ascii="Times New Roman" w:hAnsi="Times New Roman"/>
          <w:sz w:val="24"/>
          <w:szCs w:val="24"/>
          <w:rtl w:val="0"/>
          <w:lang w:val="en-US"/>
        </w:rPr>
        <w:t>s physiological response to particular emotions.</w:t>
      </w:r>
    </w:p>
    <w:p>
      <w:pPr>
        <w:pStyle w:val="Body"/>
        <w:spacing w:line="480" w:lineRule="auto"/>
        <w:rPr>
          <w:rFonts w:ascii="Times New Roman" w:cs="Times New Roman" w:hAnsi="Times New Roman" w:eastAsia="Times New Roman"/>
          <w:sz w:val="24"/>
          <w:szCs w:val="24"/>
        </w:rPr>
      </w:pPr>
    </w:p>
    <w:p>
      <w:pPr>
        <w:pStyle w:val="Body"/>
        <w:spacing w:line="480" w:lineRule="auto"/>
      </w:pPr>
      <w:r>
        <w:rPr>
          <w:rFonts w:ascii="Arial Unicode MS" w:cs="Arial Unicode MS" w:hAnsi="Arial Unicode MS" w:eastAsia="Arial Unicode MS"/>
          <w:b w:val="0"/>
          <w:bCs w:val="0"/>
          <w:i w:val="0"/>
          <w:iCs w:val="0"/>
        </w:rPr>
        <w:br w:type="page"/>
      </w:r>
    </w:p>
    <w:p>
      <w:pPr>
        <w:pStyle w:val="Body"/>
        <w:keepNext w:val="1"/>
        <w:keepLines w:val="1"/>
        <w:spacing w:before="240" w:after="0"/>
        <w:jc w:val="center"/>
        <w:rPr>
          <w:rFonts w:ascii="Times New Roman" w:cs="Times New Roman" w:hAnsi="Times New Roman" w:eastAsia="Times New Roman"/>
          <w:b w:val="1"/>
          <w:bCs w:val="1"/>
          <w:caps w:val="0"/>
          <w:smallCaps w:val="0"/>
          <w:strike w:val="0"/>
          <w:dstrike w:val="0"/>
          <w:outline w:val="0"/>
          <w:color w:val="2f5496"/>
          <w:sz w:val="32"/>
          <w:szCs w:val="32"/>
          <w:u w:val="none" w:color="2f5496"/>
          <w:shd w:val="nil" w:color="auto" w:fill="auto"/>
          <w:vertAlign w:val="baseline"/>
          <w14:textFill>
            <w14:solidFill>
              <w14:srgbClr w14:val="2F5496"/>
            </w14:solidFill>
          </w14:textFill>
        </w:rPr>
      </w:pPr>
      <w:r>
        <w:rPr>
          <w:rFonts w:ascii="Times New Roman" w:hAnsi="Times New Roman"/>
          <w:b w:val="1"/>
          <w:bCs w:val="1"/>
          <w:caps w:val="0"/>
          <w:smallCaps w:val="0"/>
          <w:strike w:val="0"/>
          <w:dstrike w:val="0"/>
          <w:outline w:val="0"/>
          <w:color w:val="2f5496"/>
          <w:sz w:val="32"/>
          <w:szCs w:val="32"/>
          <w:u w:val="none" w:color="2f5496"/>
          <w:shd w:val="nil" w:color="auto" w:fill="auto"/>
          <w:vertAlign w:val="baseline"/>
          <w:rtl w:val="0"/>
          <w:lang w:val="en-US"/>
          <w14:textFill>
            <w14:solidFill>
              <w14:srgbClr w14:val="2F5496"/>
            </w14:solidFill>
          </w14:textFill>
        </w:rPr>
        <w:t>Table of Contents</w:t>
      </w:r>
    </w:p>
    <w:p>
      <w:pPr>
        <w:pStyle w:val="Body"/>
        <w:widowControl w:val="0"/>
        <w:tabs>
          <w:tab w:val="right" w:pos="9340" w:leader="dot"/>
        </w:tabs>
        <w:spacing w:before="60" w:after="0" w:line="240" w:lineRule="auto"/>
        <w:ind w:left="360" w:firstLine="0"/>
      </w:pPr>
      <w:r>
        <w:rPr>
          <w:rFonts w:ascii="Times New Roman" w:cs="Times New Roman" w:hAnsi="Times New Roman" w:eastAsia="Times New Roman"/>
          <w:b w:val="1"/>
          <w:bCs w:val="1"/>
          <w:caps w:val="0"/>
          <w:smallCaps w:val="0"/>
          <w:strike w:val="0"/>
          <w:dstrike w:val="0"/>
          <w:outline w:val="0"/>
          <w:color w:val="2f5496"/>
          <w:sz w:val="32"/>
          <w:szCs w:val="32"/>
          <w:u w:val="none" w:color="2f5496"/>
          <w:shd w:val="nil" w:color="auto" w:fill="auto"/>
          <w:vertAlign w:val="baseline"/>
          <w14:textFill>
            <w14:solidFill>
              <w14:srgbClr w14:val="2F5496"/>
            </w14:solidFill>
          </w14:textFill>
        </w:rPr>
        <w:fldChar w:fldCharType="begin" w:fldLock="0"/>
      </w:r>
      <w:r>
        <w:rPr>
          <w:rFonts w:ascii="Times New Roman" w:cs="Times New Roman" w:hAnsi="Times New Roman" w:eastAsia="Times New Roman"/>
          <w:b w:val="1"/>
          <w:bCs w:val="1"/>
          <w:caps w:val="0"/>
          <w:smallCaps w:val="0"/>
          <w:strike w:val="0"/>
          <w:dstrike w:val="0"/>
          <w:outline w:val="0"/>
          <w:color w:val="2f5496"/>
          <w:sz w:val="32"/>
          <w:szCs w:val="32"/>
          <w:u w:val="none" w:color="2f5496"/>
          <w:shd w:val="nil" w:color="auto" w:fill="auto"/>
          <w:vertAlign w:val="baseline"/>
          <w14:textFill>
            <w14:solidFill>
              <w14:srgbClr w14:val="2F5496"/>
            </w14:solidFill>
          </w14:textFill>
        </w:rPr>
        <w:instrText xml:space="preserve"> TOC \o 1-2 </w:instrText>
      </w:r>
      <w:r>
        <w:rPr>
          <w:rFonts w:ascii="Times New Roman" w:cs="Times New Roman" w:hAnsi="Times New Roman" w:eastAsia="Times New Roman"/>
          <w:b w:val="1"/>
          <w:bCs w:val="1"/>
          <w:caps w:val="0"/>
          <w:smallCaps w:val="0"/>
          <w:strike w:val="0"/>
          <w:dstrike w:val="0"/>
          <w:outline w:val="0"/>
          <w:color w:val="2f5496"/>
          <w:sz w:val="32"/>
          <w:szCs w:val="32"/>
          <w:u w:val="none" w:color="2f5496"/>
          <w:shd w:val="nil" w:color="auto" w:fill="auto"/>
          <w:vertAlign w:val="baseline"/>
          <w14:textFill>
            <w14:solidFill>
              <w14:srgbClr w14:val="2F5496"/>
            </w14:solidFill>
          </w14:textFill>
        </w:rPr>
        <w:fldChar w:fldCharType="separate" w:fldLock="0"/>
      </w:r>
    </w:p>
    <w:p>
      <w:pPr>
        <w:pStyle w:val="TOC 1"/>
        <w:bidi w:val="0"/>
      </w:pPr>
      <w:r>
        <w:rPr>
          <w:rFonts w:cs="Arial Unicode MS" w:eastAsia="Arial Unicode MS"/>
          <w:rtl w:val="0"/>
          <w:lang w:val="en-US"/>
        </w:rPr>
        <w:t>Executive Summary</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bidi w:val="0"/>
      </w:pPr>
      <w:r>
        <w:rPr>
          <w:rFonts w:cs="Arial Unicode MS" w:eastAsia="Arial Unicode MS"/>
          <w:rtl w:val="0"/>
          <w:lang w:val="fr-FR"/>
        </w:rPr>
        <w:t>Introduction</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bidi w:val="0"/>
      </w:pPr>
      <w:r>
        <w:rPr>
          <w:rFonts w:cs="Arial Unicode MS" w:eastAsia="Arial Unicode MS"/>
          <w:rtl w:val="0"/>
          <w:lang w:val="en-US"/>
        </w:rPr>
        <w:t>Background Information of Diageo Plc</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bidi w:val="0"/>
      </w:pPr>
      <w:r>
        <w:rPr>
          <w:rFonts w:cs="Arial Unicode MS" w:eastAsia="Arial Unicode MS"/>
          <w:rtl w:val="0"/>
          <w:lang w:val="en-US"/>
        </w:rPr>
        <w:t>The Key Management Theory or Theories That Underpin This Report</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1"/>
        <w:bidi w:val="0"/>
      </w:pPr>
      <w:r>
        <w:rPr>
          <w:rFonts w:cs="Arial Unicode MS" w:eastAsia="Arial Unicode MS"/>
          <w:rtl w:val="0"/>
          <w:lang w:val="en-US"/>
        </w:rPr>
        <w:t>Application of Behavioral Management Theory to Diageo Plc</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1"/>
        <w:bidi w:val="0"/>
      </w:pPr>
      <w:r>
        <w:rPr>
          <w:rFonts w:cs="Arial Unicode MS" w:eastAsia="Arial Unicode MS"/>
          <w:rtl w:val="0"/>
          <w:lang w:val="en-US"/>
        </w:rPr>
        <w:t>Critical Evaluation of Behavioral Management Theory to Assess How Someone with Different Beliefs, Attitudes, And Values Might Interpret the Theory Differently</w:t>
        <w:tab/>
      </w:r>
      <w:r>
        <w:rPr/>
        <w:fldChar w:fldCharType="begin" w:fldLock="0"/>
      </w:r>
      <w:r>
        <w:instrText xml:space="preserve"> PAGEREF _Toc5 \h </w:instrText>
      </w:r>
      <w:r>
        <w:rPr/>
        <w:fldChar w:fldCharType="separate" w:fldLock="0"/>
      </w:r>
      <w:r>
        <w:rPr>
          <w:rFonts w:cs="Arial Unicode MS" w:eastAsia="Arial Unicode MS"/>
          <w:rtl w:val="0"/>
        </w:rPr>
        <w:t>9</w:t>
      </w:r>
      <w:r>
        <w:rPr/>
        <w:fldChar w:fldCharType="end" w:fldLock="0"/>
      </w:r>
    </w:p>
    <w:p>
      <w:pPr>
        <w:pStyle w:val="TOC 1"/>
        <w:bidi w:val="0"/>
      </w:pPr>
      <w:r>
        <w:rPr>
          <w:rFonts w:cs="Arial Unicode MS" w:eastAsia="Arial Unicode MS"/>
          <w:rtl w:val="0"/>
          <w:lang w:val="en-US"/>
        </w:rPr>
        <w:t>Recommendations with Valid Justifications</w:t>
        <w:tab/>
      </w:r>
      <w:r>
        <w:rPr/>
        <w:fldChar w:fldCharType="begin" w:fldLock="0"/>
      </w:r>
      <w:r>
        <w:instrText xml:space="preserve"> PAGEREF _Toc6 \h </w:instrText>
      </w:r>
      <w:r>
        <w:rPr/>
        <w:fldChar w:fldCharType="separate" w:fldLock="0"/>
      </w:r>
      <w:r>
        <w:rPr>
          <w:rFonts w:cs="Arial Unicode MS" w:eastAsia="Arial Unicode MS"/>
          <w:rtl w:val="0"/>
        </w:rPr>
        <w:t>11</w:t>
      </w:r>
      <w:r>
        <w:rPr/>
        <w:fldChar w:fldCharType="end" w:fldLock="0"/>
      </w:r>
    </w:p>
    <w:p>
      <w:pPr>
        <w:pStyle w:val="TOC 1"/>
        <w:bidi w:val="0"/>
      </w:pPr>
      <w:r>
        <w:rPr>
          <w:rFonts w:cs="Arial Unicode MS" w:eastAsia="Arial Unicode MS"/>
          <w:rtl w:val="0"/>
          <w:lang w:val="it-IT"/>
        </w:rPr>
        <w:t>Conclusion</w:t>
        <w:tab/>
      </w:r>
      <w:r>
        <w:rPr/>
        <w:fldChar w:fldCharType="begin" w:fldLock="0"/>
      </w:r>
      <w:r>
        <w:instrText xml:space="preserve"> PAGEREF _Toc7 \h </w:instrText>
      </w:r>
      <w:r>
        <w:rPr/>
        <w:fldChar w:fldCharType="separate" w:fldLock="0"/>
      </w:r>
      <w:r>
        <w:rPr>
          <w:rFonts w:cs="Arial Unicode MS" w:eastAsia="Arial Unicode MS"/>
          <w:rtl w:val="0"/>
        </w:rPr>
        <w:t>12</w:t>
      </w:r>
      <w:r>
        <w:rPr/>
        <w:fldChar w:fldCharType="end" w:fldLock="0"/>
      </w:r>
    </w:p>
    <w:p>
      <w:pPr>
        <w:pStyle w:val="TOC 1"/>
        <w:bidi w:val="0"/>
      </w:pPr>
      <w:r>
        <w:rPr>
          <w:rFonts w:cs="Arial Unicode MS" w:eastAsia="Arial Unicode MS"/>
          <w:rtl w:val="0"/>
          <w:lang w:val="en-US"/>
        </w:rPr>
        <w:t>Reflective Journal</w:t>
        <w:tab/>
      </w:r>
      <w:r>
        <w:rPr/>
        <w:fldChar w:fldCharType="begin" w:fldLock="0"/>
      </w:r>
      <w:r>
        <w:instrText xml:space="preserve"> PAGEREF _Toc8 \h </w:instrText>
      </w:r>
      <w:r>
        <w:rPr/>
        <w:fldChar w:fldCharType="separate" w:fldLock="0"/>
      </w:r>
      <w:r>
        <w:rPr>
          <w:rFonts w:cs="Arial Unicode MS" w:eastAsia="Arial Unicode MS"/>
          <w:rtl w:val="0"/>
        </w:rPr>
        <w:t>13</w:t>
      </w:r>
      <w:r>
        <w:rPr/>
        <w:fldChar w:fldCharType="end" w:fldLock="0"/>
      </w:r>
    </w:p>
    <w:p>
      <w:pPr>
        <w:pStyle w:val="TOC 1"/>
        <w:bidi w:val="0"/>
      </w:pPr>
      <w:r>
        <w:rPr>
          <w:rFonts w:cs="Arial Unicode MS" w:eastAsia="Arial Unicode MS"/>
          <w:rtl w:val="0"/>
          <w:lang w:val="fr-FR"/>
        </w:rPr>
        <w:t>References</w:t>
        <w:tab/>
      </w:r>
      <w:r>
        <w:rPr/>
        <w:fldChar w:fldCharType="begin" w:fldLock="0"/>
      </w:r>
      <w:r>
        <w:instrText xml:space="preserve"> PAGEREF _Toc9 \h </w:instrText>
      </w:r>
      <w:r>
        <w:rPr/>
        <w:fldChar w:fldCharType="separate" w:fldLock="0"/>
      </w:r>
      <w:r>
        <w:rPr>
          <w:rFonts w:cs="Arial Unicode MS" w:eastAsia="Arial Unicode MS"/>
          <w:rtl w:val="0"/>
        </w:rPr>
        <w:t>22</w:t>
      </w:r>
      <w:r>
        <w:rPr/>
        <w:fldChar w:fldCharType="end" w:fldLock="0"/>
      </w:r>
    </w:p>
    <w:p>
      <w:pPr>
        <w:pStyle w:val="TOC 1"/>
        <w:bidi w:val="0"/>
      </w:pPr>
      <w:r>
        <w:rPr>
          <w:rFonts w:cs="Arial Unicode MS" w:eastAsia="Arial Unicode MS"/>
          <w:rtl w:val="0"/>
          <w:lang w:val="it-IT"/>
        </w:rPr>
        <w:t>Appendices</w:t>
        <w:tab/>
      </w:r>
      <w:r>
        <w:rPr/>
        <w:fldChar w:fldCharType="begin" w:fldLock="0"/>
      </w:r>
      <w:r>
        <w:instrText xml:space="preserve"> PAGEREF _Toc10 \h </w:instrText>
      </w:r>
      <w:r>
        <w:rPr/>
        <w:fldChar w:fldCharType="separate" w:fldLock="0"/>
      </w:r>
      <w:r>
        <w:rPr>
          <w:rFonts w:cs="Arial Unicode MS" w:eastAsia="Arial Unicode MS"/>
          <w:rtl w:val="0"/>
        </w:rPr>
        <w:t>25</w:t>
      </w:r>
      <w:r>
        <w:rPr/>
        <w:fldChar w:fldCharType="end" w:fldLock="0"/>
      </w:r>
    </w:p>
    <w:p>
      <w:pPr>
        <w:pStyle w:val="TOC 2"/>
        <w:bidi w:val="0"/>
      </w:pPr>
      <w:r>
        <w:rPr>
          <w:rFonts w:cs="Arial Unicode MS" w:eastAsia="Arial Unicode MS"/>
          <w:rtl w:val="0"/>
          <w:lang w:val="da-DK"/>
        </w:rPr>
        <w:t>Appendix 1: Learning Style Results</w:t>
        <w:tab/>
      </w:r>
      <w:r>
        <w:rPr/>
        <w:fldChar w:fldCharType="begin" w:fldLock="0"/>
      </w:r>
      <w:r>
        <w:instrText xml:space="preserve"> PAGEREF _Toc11 \h </w:instrText>
      </w:r>
      <w:r>
        <w:rPr/>
        <w:fldChar w:fldCharType="separate" w:fldLock="0"/>
      </w:r>
      <w:r>
        <w:rPr>
          <w:rFonts w:cs="Arial Unicode MS" w:eastAsia="Arial Unicode MS"/>
          <w:rtl w:val="0"/>
        </w:rPr>
        <w:t>25</w:t>
      </w:r>
      <w:r>
        <w:rPr/>
        <w:fldChar w:fldCharType="end" w:fldLock="0"/>
      </w:r>
    </w:p>
    <w:p>
      <w:pPr>
        <w:pStyle w:val="TOC 2"/>
        <w:bidi w:val="0"/>
      </w:pPr>
      <w:r>
        <w:rPr>
          <w:rFonts w:cs="Arial Unicode MS" w:eastAsia="Arial Unicode MS"/>
          <w:rtl w:val="0"/>
          <w:lang w:val="da-DK"/>
        </w:rPr>
        <w:t>Appendix 2: emotional intelligence results</w:t>
        <w:tab/>
      </w:r>
      <w:r>
        <w:rPr/>
        <w:fldChar w:fldCharType="begin" w:fldLock="0"/>
      </w:r>
      <w:r>
        <w:instrText xml:space="preserve"> PAGEREF _Toc12 \h </w:instrText>
      </w:r>
      <w:r>
        <w:rPr/>
        <w:fldChar w:fldCharType="separate" w:fldLock="0"/>
      </w:r>
      <w:r>
        <w:rPr>
          <w:rFonts w:cs="Arial Unicode MS" w:eastAsia="Arial Unicode MS"/>
          <w:rtl w:val="0"/>
        </w:rPr>
        <w:t>26</w:t>
      </w:r>
      <w:r>
        <w:rPr/>
        <w:fldChar w:fldCharType="end" w:fldLock="0"/>
      </w:r>
    </w:p>
    <w:p>
      <w:pPr>
        <w:widowControl w:val="0"/>
        <w:tabs>
          <w:tab w:val="right" w:pos="9340" w:leader="dot"/>
        </w:tabs>
        <w:spacing w:before="60" w:after="0" w:line="240" w:lineRule="auto"/>
        <w:ind w:left="360" w:firstLine="0"/>
        <w:rPr>
          <w:rFonts w:ascii="Times New Roman" w:cs="Times New Roman" w:hAnsi="Times New Roman" w:eastAsia="Times New Roman"/>
          <w:caps w:val="0"/>
          <w:smallCaps w:val="0"/>
          <w:strike w:val="0"/>
          <w:dstrike w:val="0"/>
          <w:outline w:val="0"/>
          <w:color w:val="000000"/>
          <w:u w:val="none" w:color="000000"/>
          <w:shd w:val="nil" w:color="auto" w:fill="auto"/>
          <w:vertAlign w:val="baseline"/>
          <w14:textFill>
            <w14:solidFill>
              <w14:srgbClr w14:val="000000"/>
            </w14:solidFill>
          </w14:textFill>
        </w:rPr>
      </w:pPr>
      <w:r>
        <w:rPr>
          <w:rFonts w:ascii="Times New Roman" w:cs="Times New Roman" w:hAnsi="Times New Roman" w:eastAsia="Times New Roman"/>
          <w:b w:val="1"/>
          <w:bCs w:val="1"/>
          <w:caps w:val="0"/>
          <w:smallCaps w:val="0"/>
          <w:strike w:val="0"/>
          <w:dstrike w:val="0"/>
          <w:outline w:val="0"/>
          <w:color w:val="2f5496"/>
          <w:sz w:val="32"/>
          <w:szCs w:val="32"/>
          <w:u w:val="none" w:color="2f5496"/>
          <w:shd w:val="nil" w:color="auto" w:fill="auto"/>
          <w:vertAlign w:val="baseline"/>
          <w14:textFill>
            <w14:solidFill>
              <w14:srgbClr w14:val="2F5496"/>
            </w14:solidFill>
          </w14:textFill>
        </w:rPr>
        <w:fldChar w:fldCharType="end" w:fldLock="0"/>
      </w:r>
    </w:p>
    <w:p>
      <w:pPr>
        <w:pStyle w:val="Body"/>
      </w:pPr>
      <w:bookmarkStart w:name="_gjdgxs" w:id="2"/>
      <w:bookmarkEnd w:id="2"/>
      <w:r>
        <w:rPr>
          <w:rFonts w:ascii="Arial Unicode MS" w:cs="Arial Unicode MS" w:hAnsi="Arial Unicode MS" w:eastAsia="Arial Unicode MS"/>
          <w:b w:val="0"/>
          <w:bCs w:val="0"/>
          <w:i w:val="0"/>
          <w:iCs w:val="0"/>
        </w:rPr>
        <w:br w:type="page"/>
      </w:r>
    </w:p>
    <w:p>
      <w:pPr>
        <w:pStyle w:val="Heading"/>
        <w:spacing w:line="480" w:lineRule="auto"/>
        <w:jc w:val="center"/>
        <w:rPr>
          <w:rFonts w:ascii="Times New Roman" w:cs="Times New Roman" w:hAnsi="Times New Roman" w:eastAsia="Times New Roman"/>
          <w:b w:val="1"/>
          <w:bCs w:val="1"/>
        </w:rPr>
      </w:pPr>
      <w:bookmarkStart w:name="_Toc1" w:id="3"/>
      <w:bookmarkStart w:name="_j0zll" w:id="4"/>
      <w:bookmarkEnd w:id="4"/>
      <w:r>
        <w:rPr>
          <w:rFonts w:ascii="Times New Roman" w:hAnsi="Times New Roman"/>
          <w:b w:val="1"/>
          <w:bCs w:val="1"/>
          <w:rtl w:val="0"/>
        </w:rPr>
        <w:t>I</w:t>
      </w:r>
      <w:r>
        <w:rPr>
          <w:rFonts w:ascii="Times New Roman" w:hAnsi="Times New Roman"/>
          <w:b w:val="1"/>
          <w:bCs w:val="1"/>
          <w:rtl w:val="0"/>
          <w:lang w:val="fr-FR"/>
        </w:rPr>
        <w:t>ntroduction</w:t>
      </w:r>
      <w:bookmarkEnd w:id="3"/>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Robbins and Coulter (2005) describe organisational culture as the beliefs, shared values, and perceptions held by workers within an organisational unit. In most circumstances, organisational culture idealises the beliefs, values, or behavioural norms employees use to offer to mean to different situations they face. As a result, organisational culture can significantly impact the behaviour and attitudes of employees in a big way (</w:t>
      </w: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Soelton et al., 2020)</w:t>
      </w:r>
      <w:r>
        <w:rPr>
          <w:rFonts w:ascii="Times New Roman" w:hAnsi="Times New Roman"/>
          <w:sz w:val="24"/>
          <w:szCs w:val="24"/>
          <w:rtl w:val="0"/>
          <w:lang w:val="en-US"/>
        </w:rPr>
        <w:t>. Therefore, it is essential to understand the impact of organisational attitudes, beliefs, and values systems on employee behaviours to enable management to address a potential internal organisational conflict (</w:t>
      </w:r>
      <w:r>
        <w:rPr>
          <w:rFonts w:ascii="Times New Roman" w:hAnsi="Times New Roman"/>
          <w:outline w:val="0"/>
          <w:color w:val="222222"/>
          <w:sz w:val="24"/>
          <w:szCs w:val="24"/>
          <w:u w:color="222222"/>
          <w:shd w:val="clear" w:color="auto" w:fill="ffffff"/>
          <w:rtl w:val="0"/>
          <w14:textFill>
            <w14:solidFill>
              <w14:srgbClr w14:val="222222"/>
            </w14:solidFill>
          </w14:textFill>
        </w:rPr>
        <w:t>Shammot, 2011)</w:t>
      </w:r>
      <w:r>
        <w:rPr>
          <w:rFonts w:ascii="Times New Roman" w:hAnsi="Times New Roman"/>
          <w:sz w:val="24"/>
          <w:szCs w:val="24"/>
          <w:rtl w:val="0"/>
          <w:lang w:val="en-US"/>
        </w:rPr>
        <w:t>. Existing empirical studies on organisational culture have integrated a functionalist view, giving reliable evidence on the significance of organisational culture in promoting and enhancing employee performance (</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Awuni and Tanko, 2019)</w:t>
      </w:r>
      <w:r>
        <w:rPr>
          <w:rFonts w:ascii="Times New Roman" w:hAnsi="Times New Roman"/>
          <w:sz w:val="24"/>
          <w:szCs w:val="24"/>
          <w:rtl w:val="0"/>
          <w:lang w:val="en-US"/>
        </w:rPr>
        <w:t>. However, organisational culture is pervasive and requires the management to appreciate its effect on the work-related variables and its underpinning dimensions. More research must be conducted on the relationship between work beliefs, values systems, and attitudes toward employee behaviour (</w:t>
      </w:r>
      <w:r>
        <w:rPr>
          <w:rFonts w:ascii="Times New Roman" w:hAnsi="Times New Roman"/>
          <w:outline w:val="0"/>
          <w:color w:val="222222"/>
          <w:sz w:val="24"/>
          <w:szCs w:val="24"/>
          <w:u w:color="222222"/>
          <w:shd w:val="clear" w:color="auto" w:fill="ffffff"/>
          <w:rtl w:val="0"/>
          <w14:textFill>
            <w14:solidFill>
              <w14:srgbClr w14:val="222222"/>
            </w14:solidFill>
          </w14:textFill>
        </w:rPr>
        <w:t>Sharman et al., 2020)</w:t>
      </w:r>
      <w:r>
        <w:rPr>
          <w:rFonts w:ascii="Times New Roman" w:hAnsi="Times New Roman"/>
          <w:sz w:val="24"/>
          <w:szCs w:val="24"/>
          <w:rtl w:val="0"/>
          <w:lang w:val="en-US"/>
        </w:rPr>
        <w:t>. A typical business organisation comprises employees whose behaviours often affect its outcome.</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On the other hand, culture is a crucial element that influences workers' relationships, attitudes, work processes, and even job satisfaction (</w:t>
      </w:r>
      <w:r>
        <w:rPr>
          <w:rFonts w:ascii="Times New Roman" w:hAnsi="Times New Roman"/>
          <w:outline w:val="0"/>
          <w:color w:val="222222"/>
          <w:sz w:val="24"/>
          <w:szCs w:val="24"/>
          <w:u w:color="222222"/>
          <w:shd w:val="clear" w:color="auto" w:fill="ffffff"/>
          <w:rtl w:val="0"/>
          <w14:textFill>
            <w14:solidFill>
              <w14:srgbClr w14:val="222222"/>
            </w14:solidFill>
          </w14:textFill>
        </w:rPr>
        <w:t>Jamali, D., 2005)</w:t>
      </w:r>
      <w:r>
        <w:rPr>
          <w:rFonts w:ascii="Times New Roman" w:hAnsi="Times New Roman"/>
          <w:sz w:val="24"/>
          <w:szCs w:val="24"/>
          <w:rtl w:val="0"/>
          <w:lang w:val="en-US"/>
        </w:rPr>
        <w:t xml:space="preserve">. Organisational culture is intangible but only manifests in the workplace through physical means. Through culture, companies develop systems that often control or regulate employee behaviour to strike a balance in the organisation. The purpose of this report is to examine how organisational culture (beliefs, attitudes, and value systems) affects the workplace behaviour of Diageo plc. Besides, the report will also investigate how Diageo's workplace changes for the post-Covid business environment tackle the new business challenges and create more resilient businesses in the future. </w:t>
      </w:r>
    </w:p>
    <w:p>
      <w:pPr>
        <w:pStyle w:val="Body"/>
        <w:spacing w:line="480" w:lineRule="auto"/>
        <w:ind w:firstLine="720"/>
        <w:rPr>
          <w:rFonts w:ascii="Times New Roman" w:cs="Times New Roman" w:hAnsi="Times New Roman" w:eastAsia="Times New Roman"/>
          <w:sz w:val="24"/>
          <w:szCs w:val="24"/>
        </w:rPr>
      </w:pPr>
    </w:p>
    <w:p>
      <w:pPr>
        <w:pStyle w:val="Heading"/>
        <w:spacing w:line="480" w:lineRule="auto"/>
        <w:jc w:val="center"/>
        <w:rPr>
          <w:rFonts w:ascii="Times New Roman" w:cs="Times New Roman" w:hAnsi="Times New Roman" w:eastAsia="Times New Roman"/>
          <w:b w:val="1"/>
          <w:bCs w:val="1"/>
        </w:rPr>
      </w:pPr>
      <w:bookmarkStart w:name="_Toc2" w:id="5"/>
      <w:bookmarkStart w:name="_fob9te" w:id="6"/>
      <w:bookmarkEnd w:id="6"/>
      <w:r>
        <w:rPr>
          <w:rFonts w:ascii="Times New Roman" w:hAnsi="Times New Roman"/>
          <w:b w:val="1"/>
          <w:bCs w:val="1"/>
          <w:rtl w:val="0"/>
        </w:rPr>
        <w:t>B</w:t>
      </w:r>
      <w:r>
        <w:rPr>
          <w:rFonts w:ascii="Times New Roman" w:hAnsi="Times New Roman"/>
          <w:b w:val="1"/>
          <w:bCs w:val="1"/>
          <w:rtl w:val="0"/>
          <w:lang w:val="en-US"/>
        </w:rPr>
        <w:t>ackground Information of Diageo Plc</w:t>
      </w:r>
      <w:bookmarkEnd w:id="5"/>
    </w:p>
    <w:p>
      <w:pPr>
        <w:pStyle w:val="Body"/>
        <w:spacing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Diageo plc, commonly known as Diageo, is a global company popularly known for producing, distributing, and marketing spirits and beer products. The company was founded in 1997</w:t>
      </w:r>
      <w:r>
        <w:rPr>
          <w:rFonts w:ascii="Times New Roman" w:hAnsi="Times New Roman" w:hint="default"/>
          <w:outline w:val="0"/>
          <w:color w:val="333333"/>
          <w:sz w:val="24"/>
          <w:szCs w:val="24"/>
          <w:u w:color="333333"/>
          <w:shd w:val="clear" w:color="auto" w:fill="ffffff"/>
          <w:rtl w:val="0"/>
          <w:lang w:val="en-US"/>
          <w14:textFill>
            <w14:solidFill>
              <w14:srgbClr w14:val="333333"/>
            </w14:solidFill>
          </w14:textFill>
        </w:rPr>
        <w:t>—</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however, some of its products date as early as the 17</w:t>
      </w:r>
      <w:r>
        <w:rPr>
          <w:rFonts w:ascii="Times New Roman" w:hAnsi="Times New Roman"/>
          <w:outline w:val="0"/>
          <w:color w:val="333333"/>
          <w:sz w:val="24"/>
          <w:szCs w:val="24"/>
          <w:u w:color="333333"/>
          <w:shd w:val="clear" w:color="auto" w:fill="ffffff"/>
          <w:vertAlign w:val="superscript"/>
          <w:rtl w:val="0"/>
          <w:lang w:val="en-US"/>
          <w14:textFill>
            <w14:solidFill>
              <w14:srgbClr w14:val="333333"/>
            </w14:solidFill>
          </w14:textFill>
        </w:rPr>
        <w:t>th</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century. The standard products under Diageo's product portfolio include scotch, brandy, beer, Indian-made foreign liquor, vodka, whiskey, and many other alcoholic drinks. Diageo plc is currently marketing various alcoholic brands such as Bailey's, Johnny Walker, Tanqueray, Captain Morgan, McDowell's No.1, Guinness, and CIROC, among other brand names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Baldwin, 2020)</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The company produces its goods via leased and owned manufacturing plants, branding, blending, distilling, and bottling facilities (</w:t>
      </w:r>
      <w:r>
        <w:rPr>
          <w:rFonts w:ascii="Times New Roman" w:hAnsi="Times New Roman"/>
          <w:outline w:val="0"/>
          <w:color w:val="222222"/>
          <w:sz w:val="24"/>
          <w:szCs w:val="24"/>
          <w:u w:color="222222"/>
          <w:shd w:val="clear" w:color="auto" w:fill="ffffff"/>
          <w:rtl w:val="0"/>
          <w:lang w:val="pt-PT"/>
          <w14:textFill>
            <w14:solidFill>
              <w14:srgbClr w14:val="222222"/>
            </w14:solidFill>
          </w14:textFill>
        </w:rPr>
        <w:t>Duarte, 2019)</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Furthermore, Diageo</w:t>
      </w:r>
      <w:r>
        <w:rPr>
          <w:rFonts w:ascii="Times New Roman" w:hAnsi="Times New Roman" w:hint="default"/>
          <w:outline w:val="0"/>
          <w:color w:val="333333"/>
          <w:sz w:val="24"/>
          <w:szCs w:val="24"/>
          <w:u w:color="333333"/>
          <w:shd w:val="clear" w:color="auto" w:fill="ffffff"/>
          <w:rtl w:val="0"/>
          <w:lang w:val="en-US"/>
          <w14:textFill>
            <w14:solidFill>
              <w14:srgbClr w14:val="333333"/>
            </w14:solidFill>
          </w14:textFill>
        </w:rPr>
        <w:t>’</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s products are distributed to the market through appointed independent distributors, retailers, brokers, and wholesalers (</w:t>
      </w:r>
      <w:r>
        <w:rPr>
          <w:rFonts w:ascii="Times New Roman" w:hAnsi="Times New Roman"/>
          <w:outline w:val="0"/>
          <w:color w:val="222222"/>
          <w:sz w:val="24"/>
          <w:szCs w:val="24"/>
          <w:u w:color="222222"/>
          <w:shd w:val="clear" w:color="auto" w:fill="ffffff"/>
          <w:rtl w:val="0"/>
          <w14:textFill>
            <w14:solidFill>
              <w14:srgbClr w14:val="222222"/>
            </w14:solidFill>
          </w14:textFill>
        </w:rPr>
        <w:t>MADESSA, 2020)</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Also, some exclusive products are distributed by company subsidiaries, third parties, and joint venture partners. Also, some products are sold through retail groups, brewers, and regional independent on-trade and off-trade operations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Buffenoir, 2020)</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The company is currently based in London with branches in different countries. </w:t>
      </w:r>
    </w:p>
    <w:p>
      <w:pPr>
        <w:pStyle w:val="Body"/>
        <w:spacing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For years, Diageo plc company has been celebrated as the best-performing company prioritising diversity and inclusion. The company and its management believe it is essential to create and sustain a culture fostering diversity and inclusion (</w:t>
      </w:r>
      <w:r>
        <w:rPr>
          <w:rFonts w:ascii="Times New Roman" w:hAnsi="Times New Roman"/>
          <w:outline w:val="0"/>
          <w:color w:val="222222"/>
          <w:sz w:val="24"/>
          <w:szCs w:val="24"/>
          <w:u w:color="222222"/>
          <w:shd w:val="clear" w:color="auto" w:fill="ffffff"/>
          <w:rtl w:val="0"/>
          <w14:textFill>
            <w14:solidFill>
              <w14:srgbClr w14:val="222222"/>
            </w14:solidFill>
          </w14:textFill>
        </w:rPr>
        <w:t>Seifu, 2022)</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The company's commitment to inclusion and diversity begins with its people. It is designed to ensure that all its people, including staff and customers around the globe, are thriving by shaping market-leading practices and policies. Diageo plc is a large-scale organisation with many workers (</w:t>
      </w:r>
      <w:r>
        <w:rPr>
          <w:rFonts w:ascii="Times New Roman" w:hAnsi="Times New Roman"/>
          <w:outline w:val="0"/>
          <w:color w:val="222222"/>
          <w:sz w:val="24"/>
          <w:szCs w:val="24"/>
          <w:u w:color="222222"/>
          <w:shd w:val="clear" w:color="auto" w:fill="ffffff"/>
          <w:rtl w:val="0"/>
          <w14:textFill>
            <w14:solidFill>
              <w14:srgbClr w14:val="222222"/>
            </w14:solidFill>
          </w14:textFill>
        </w:rPr>
        <w:t>Chavan, n.d)</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The company treats all its staff as valuable assets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Jernigan and Ross, 2020)</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Diageo's organisational culture aims to develop a favourable work culture, and the company is focused on constantly improving to achieve this goal.  </w:t>
      </w:r>
    </w:p>
    <w:p>
      <w:pPr>
        <w:pStyle w:val="Body"/>
        <w:spacing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p>
    <w:p>
      <w:pPr>
        <w:pStyle w:val="Heading"/>
        <w:spacing w:line="480" w:lineRule="auto"/>
        <w:jc w:val="center"/>
        <w:rPr>
          <w:rFonts w:ascii="Times New Roman" w:cs="Times New Roman" w:hAnsi="Times New Roman" w:eastAsia="Times New Roman"/>
          <w:b w:val="1"/>
          <w:bCs w:val="1"/>
        </w:rPr>
      </w:pPr>
      <w:bookmarkStart w:name="_Toc3" w:id="7"/>
      <w:bookmarkStart w:name="_znysh7" w:id="8"/>
      <w:bookmarkEnd w:id="8"/>
      <w:r>
        <w:rPr>
          <w:rFonts w:ascii="Times New Roman" w:hAnsi="Times New Roman"/>
          <w:b w:val="1"/>
          <w:bCs w:val="1"/>
          <w:rtl w:val="0"/>
        </w:rPr>
        <w:t>T</w:t>
      </w:r>
      <w:r>
        <w:rPr>
          <w:rFonts w:ascii="Times New Roman" w:hAnsi="Times New Roman"/>
          <w:b w:val="1"/>
          <w:bCs w:val="1"/>
          <w:rtl w:val="0"/>
          <w:lang w:val="en-US"/>
        </w:rPr>
        <w:t>he Key Management Theory or Theories That Underpin This Report</w:t>
      </w:r>
      <w:bookmarkEnd w:id="7"/>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 two-dimensional leadership framework has been initially used to focus on the people's concerns in organisational research. As early as the late 1970s, studies focusing on leadership began to delve into employee behaviours within organisational change and development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Rouf and Siddique, 2023)</w:t>
      </w:r>
      <w:r>
        <w:rPr>
          <w:rFonts w:ascii="Times New Roman" w:hAnsi="Times New Roman"/>
          <w:sz w:val="24"/>
          <w:szCs w:val="24"/>
          <w:rtl w:val="0"/>
          <w:lang w:val="en-US"/>
        </w:rPr>
        <w:t>. Thus, leadership was widely perceived as an authority instead of the power to manipulate people. Besides, leadership is based on several objective factors, including the managerial capacity to lead and other critical subjective features, such as the personal attributes of the leader (</w:t>
      </w:r>
      <w:r>
        <w:rPr>
          <w:rFonts w:ascii="Times New Roman" w:hAnsi="Times New Roman"/>
          <w:outline w:val="0"/>
          <w:color w:val="222222"/>
          <w:sz w:val="24"/>
          <w:szCs w:val="24"/>
          <w:u w:color="222222"/>
          <w:shd w:val="clear" w:color="auto" w:fill="ffffff"/>
          <w:rtl w:val="0"/>
          <w14:textFill>
            <w14:solidFill>
              <w14:srgbClr w14:val="222222"/>
            </w14:solidFill>
          </w14:textFill>
        </w:rPr>
        <w:t>Pyszczynski et al., 2021)</w:t>
      </w:r>
      <w:r>
        <w:rPr>
          <w:rFonts w:ascii="Times New Roman" w:hAnsi="Times New Roman"/>
          <w:sz w:val="24"/>
          <w:szCs w:val="24"/>
          <w:rtl w:val="0"/>
          <w:lang w:val="en-US"/>
        </w:rPr>
        <w:t xml:space="preserve">. Given the current emerging culture in contemporary organisations, several theories and models can be used to explain the effects of organisational beliefs, value systems, and attitudes on workplace behaviour.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For this report, the behavioural management theory will be employed. The behavioural management theory emerged in the 20</w:t>
      </w:r>
      <w:r>
        <w:rPr>
          <w:rFonts w:ascii="Times New Roman" w:hAnsi="Times New Roman"/>
          <w:sz w:val="24"/>
          <w:szCs w:val="24"/>
          <w:vertAlign w:val="superscript"/>
          <w:rtl w:val="0"/>
          <w:lang w:val="en-US"/>
        </w:rPr>
        <w:t>th</w:t>
      </w:r>
      <w:r>
        <w:rPr>
          <w:rFonts w:ascii="Times New Roman" w:hAnsi="Times New Roman"/>
          <w:sz w:val="24"/>
          <w:szCs w:val="24"/>
          <w:rtl w:val="0"/>
          <w:lang w:val="en-US"/>
        </w:rPr>
        <w:t xml:space="preserve"> century after a sustained debate about the motivations and interactions of people within the organisation (</w:t>
      </w:r>
      <w:r>
        <w:rPr>
          <w:rFonts w:ascii="Times New Roman" w:hAnsi="Times New Roman"/>
          <w:outline w:val="0"/>
          <w:color w:val="222222"/>
          <w:sz w:val="24"/>
          <w:szCs w:val="24"/>
          <w:u w:color="222222"/>
          <w:shd w:val="clear" w:color="auto" w:fill="ffffff"/>
          <w:rtl w:val="0"/>
          <w14:textFill>
            <w14:solidFill>
              <w14:srgbClr w14:val="222222"/>
            </w14:solidFill>
          </w14:textFill>
        </w:rPr>
        <w:t>Akba</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ş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and Taner, 2022)</w:t>
      </w:r>
      <w:r>
        <w:rPr>
          <w:rFonts w:ascii="Times New Roman" w:hAnsi="Times New Roman"/>
          <w:sz w:val="24"/>
          <w:szCs w:val="24"/>
          <w:rtl w:val="0"/>
          <w:lang w:val="en-US"/>
        </w:rPr>
        <w:t>. It was later realised that management principles developed during the classical period could not address the management situations of the 20</w:t>
      </w:r>
      <w:r>
        <w:rPr>
          <w:rFonts w:ascii="Times New Roman" w:hAnsi="Times New Roman"/>
          <w:sz w:val="24"/>
          <w:szCs w:val="24"/>
          <w:vertAlign w:val="superscript"/>
          <w:rtl w:val="0"/>
          <w:lang w:val="en-US"/>
        </w:rPr>
        <w:t>th</w:t>
      </w:r>
      <w:r>
        <w:rPr>
          <w:rFonts w:ascii="Times New Roman" w:hAnsi="Times New Roman"/>
          <w:sz w:val="24"/>
          <w:szCs w:val="24"/>
          <w:rtl w:val="0"/>
          <w:lang w:val="en-US"/>
        </w:rPr>
        <w:t xml:space="preserve"> century and could hardly describe the employee's behaviours in the organisation. In other words, the previous theories focused less on the role of employee motivation and behaviour. Eventually, the behavioural school grew out of the revolution to create the behavioural management model, sometimes called the human relations movement. The theory primarily addressed the human aspect of work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Rouf and Siddique, 2023)</w:t>
      </w:r>
      <w:r>
        <w:rPr>
          <w:rFonts w:ascii="Times New Roman" w:hAnsi="Times New Roman"/>
          <w:sz w:val="24"/>
          <w:szCs w:val="24"/>
          <w:rtl w:val="0"/>
          <w:lang w:val="en-US"/>
        </w:rPr>
        <w:t xml:space="preserve">. According to behavioural theorists, it is crucial to understand human behaviour in the workplace, such as conflict, motivation, expectations, and group dynamics, as it is fundamental for improving productivity and performance. Therefore, the behavioural management theory examines how changing employees' attitudes, values, and beliefs can lead to enhanced organisational productivity and emphasises the role of motivation as the critical aspect of change. </w:t>
      </w:r>
    </w:p>
    <w:p>
      <w:pPr>
        <w:pStyle w:val="Body"/>
        <w:spacing w:line="480" w:lineRule="auto"/>
        <w:ind w:firstLine="720"/>
        <w:rPr>
          <w:rFonts w:ascii="Times New Roman" w:cs="Times New Roman" w:hAnsi="Times New Roman" w:eastAsia="Times New Roman"/>
          <w:sz w:val="24"/>
          <w:szCs w:val="24"/>
        </w:rPr>
      </w:pPr>
    </w:p>
    <w:p>
      <w:pPr>
        <w:pStyle w:val="Heading"/>
        <w:jc w:val="center"/>
        <w:rPr>
          <w:rFonts w:ascii="Times New Roman" w:cs="Times New Roman" w:hAnsi="Times New Roman" w:eastAsia="Times New Roman"/>
          <w:b w:val="1"/>
          <w:bCs w:val="1"/>
        </w:rPr>
      </w:pPr>
      <w:bookmarkStart w:name="_Toc4" w:id="9"/>
      <w:bookmarkStart w:name="_et92p0" w:id="10"/>
      <w:bookmarkEnd w:id="10"/>
      <w:r>
        <w:rPr>
          <w:rFonts w:ascii="Times New Roman" w:hAnsi="Times New Roman"/>
          <w:b w:val="1"/>
          <w:bCs w:val="1"/>
          <w:rtl w:val="0"/>
        </w:rPr>
        <w:t>A</w:t>
      </w:r>
      <w:r>
        <w:rPr>
          <w:rFonts w:ascii="Times New Roman" w:hAnsi="Times New Roman"/>
          <w:b w:val="1"/>
          <w:bCs w:val="1"/>
          <w:rtl w:val="0"/>
          <w:lang w:val="en-US"/>
        </w:rPr>
        <w:t>pplication of Behavioral Management Theory to Diageo Plc</w:t>
      </w:r>
      <w:bookmarkEnd w:id="9"/>
    </w:p>
    <w:p>
      <w:pPr>
        <w:pStyle w:val="Body"/>
        <w:spacing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Based on the above discussion, it is clear that Diageo plc is a global company that has earned its international reputation for its inclusion and diversity policy. However, just like any other business organisation, the company has an organisational culture- a system of values, beliefs, and attitudes that guide workplace behaviour for optimal performance. Behavioural management theory, specifically Mary Parker Follet's, can effectively be applied in Diageo plc to enhance workplace behaviours. Diageo plc is hinged on employee satisfaction, developing reciprocal leader-employee relationships that foster collaboration and boost morale, and creating an environment that allows employees to expect and resolve conflicts (</w:t>
      </w:r>
      <w:r>
        <w:rPr>
          <w:rFonts w:ascii="Times New Roman" w:hAnsi="Times New Roman"/>
          <w:outline w:val="0"/>
          <w:color w:val="222222"/>
          <w:sz w:val="24"/>
          <w:szCs w:val="24"/>
          <w:u w:color="222222"/>
          <w:shd w:val="clear" w:color="auto" w:fill="ffffff"/>
          <w:rtl w:val="0"/>
          <w14:textFill>
            <w14:solidFill>
              <w14:srgbClr w14:val="222222"/>
            </w14:solidFill>
          </w14:textFill>
        </w:rPr>
        <w:t>Mele et al., 2021)</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Furthermore, in the event of a dispute, Diageo plc has preconceived transparent communication channels that facilitate and promote honest conversations regarding the needs and the desires while promoting a win-win situation for the parties embroiled in a dispute. </w:t>
      </w:r>
    </w:p>
    <w:p>
      <w:pPr>
        <w:pStyle w:val="Body"/>
        <w:spacing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r>
        <w:rPr>
          <w:rFonts w:ascii="Times New Roman" w:hAnsi="Times New Roman"/>
          <w:outline w:val="0"/>
          <w:color w:val="2d2d2d"/>
          <w:sz w:val="24"/>
          <w:szCs w:val="24"/>
          <w:u w:color="2d2d2d"/>
          <w:shd w:val="clear" w:color="auto" w:fill="ffffff"/>
          <w:rtl w:val="0"/>
          <w:lang w:val="en-US"/>
          <w14:textFill>
            <w14:solidFill>
              <w14:srgbClr w14:val="2D2D2D"/>
            </w14:solidFill>
          </w14:textFill>
        </w:rPr>
        <w:t xml:space="preserve">Follett's behavioural management theory can help </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Diageo plc develop a successful employee engagement program within the company's overall business strategy or goals. </w:t>
      </w:r>
      <w:r>
        <w:rPr>
          <w:rFonts w:ascii="Times New Roman" w:hAnsi="Times New Roman"/>
          <w:outline w:val="0"/>
          <w:color w:val="2d2d2d"/>
          <w:sz w:val="24"/>
          <w:szCs w:val="24"/>
          <w:u w:color="2d2d2d"/>
          <w:shd w:val="clear" w:color="auto" w:fill="ffffff"/>
          <w:rtl w:val="0"/>
          <w:lang w:val="en-US"/>
          <w14:textFill>
            <w14:solidFill>
              <w14:srgbClr w14:val="2D2D2D"/>
            </w14:solidFill>
          </w14:textFill>
        </w:rPr>
        <w:t xml:space="preserve">Follett's group power principles empower employees to take ownership of the organisation at every level, regardless of the business hierarchy, to enhance and promote collaboration, responsibility, and communication </w:t>
      </w:r>
      <w:r>
        <w:rPr>
          <w:rFonts w:ascii="Times New Roman" w:hAnsi="Times New Roman"/>
          <w:sz w:val="24"/>
          <w:szCs w:val="24"/>
          <w:rtl w:val="0"/>
        </w:rPr>
        <w:t>(</w:t>
      </w:r>
      <w:r>
        <w:rPr>
          <w:rFonts w:ascii="Times New Roman" w:hAnsi="Times New Roman"/>
          <w:outline w:val="0"/>
          <w:color w:val="222222"/>
          <w:sz w:val="24"/>
          <w:szCs w:val="24"/>
          <w:u w:color="222222"/>
          <w:shd w:val="clear" w:color="auto" w:fill="ffffff"/>
          <w:rtl w:val="0"/>
          <w14:textFill>
            <w14:solidFill>
              <w14:srgbClr w14:val="222222"/>
            </w14:solidFill>
          </w14:textFill>
        </w:rPr>
        <w:t>Akba</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ş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and Taner, 2022)</w:t>
      </w:r>
      <w:r>
        <w:rPr>
          <w:rFonts w:ascii="Times New Roman" w:hAnsi="Times New Roman"/>
          <w:outline w:val="0"/>
          <w:color w:val="2d2d2d"/>
          <w:sz w:val="24"/>
          <w:szCs w:val="24"/>
          <w:u w:color="2d2d2d"/>
          <w:shd w:val="clear" w:color="auto" w:fill="ffffff"/>
          <w:rtl w:val="0"/>
          <w:lang w:val="en-US"/>
          <w14:textFill>
            <w14:solidFill>
              <w14:srgbClr w14:val="2D2D2D"/>
            </w14:solidFill>
          </w14:textFill>
        </w:rPr>
        <w:t xml:space="preserve">. Therefore, by employing these models in its organisational framework, </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Diageo plc can establish a workplace behaviour that fosters communication, collaboration, and responsibility among the employees, improving the company's productivity (</w:t>
      </w:r>
      <w:r>
        <w:rPr>
          <w:rFonts w:ascii="Times New Roman" w:hAnsi="Times New Roman"/>
          <w:outline w:val="0"/>
          <w:color w:val="222222"/>
          <w:sz w:val="24"/>
          <w:szCs w:val="24"/>
          <w:u w:color="222222"/>
          <w:shd w:val="clear" w:color="auto" w:fill="ffffff"/>
          <w:rtl w:val="0"/>
          <w14:textFill>
            <w14:solidFill>
              <w14:srgbClr w14:val="222222"/>
            </w14:solidFill>
          </w14:textFill>
        </w:rPr>
        <w:t>Elkhwesky et al., 2022)</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Diageo plc can apply three fundamental principles in Follet's behavioural management model to its benefit. Using this principle will promote interpersonal relationships between the employees and the leaders and empower the employees. </w:t>
      </w:r>
    </w:p>
    <w:p>
      <w:pPr>
        <w:pStyle w:val="Body"/>
        <w:spacing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According to Follet, integration is a vital component of any business organisation. Thus, employees across the organisational levels should integrate to create an enabling environment that fosters the achievement of various business goals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Wright, 2019)</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In addition, when conflict occurs, there is a need for a conscious effort from all the stakeholders, including the senior management, to pull together instead of push and eventually work together as a team to correct the problem </w:t>
      </w:r>
      <w:r>
        <w:rPr>
          <w:rFonts w:ascii="Times New Roman" w:hAnsi="Times New Roman"/>
          <w:sz w:val="24"/>
          <w:szCs w:val="24"/>
          <w:rtl w:val="0"/>
          <w:lang w:val="it-IT"/>
        </w:rPr>
        <w:t>(Cerruti and Godoski, 2020)</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Therefore, Diageo plc can adopt Follet's approach to organisational conflict resolution via integration to attain beneficial outcomes for all the parties. Her concept of push and pull illustrates Diageo plc's need to meet the needs of each side instead of spoken desires </w:t>
      </w:r>
      <w:r>
        <w:rPr>
          <w:rFonts w:ascii="Times New Roman" w:hAnsi="Times New Roman"/>
          <w:sz w:val="24"/>
          <w:szCs w:val="24"/>
          <w:rtl w:val="0"/>
        </w:rPr>
        <w:t>(</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Eddy-Spicer, 2023)</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Therefore, whenever a conflict happens in the organisation, Diageo plc should be first in line to identify each group's or individual's needs and create a win-win outcome for both parties. However, Diageo plc should acknowledge that attaining integration in the organisation takes work. It requires the involvement of employees and executives in the organisation's interests, differences, needs, desires, and conflicts to situate an agreeable solution (</w:t>
      </w:r>
      <w:r>
        <w:rPr>
          <w:rFonts w:ascii="Times New Roman" w:hAnsi="Times New Roman"/>
          <w:outline w:val="0"/>
          <w:color w:val="222222"/>
          <w:sz w:val="24"/>
          <w:szCs w:val="24"/>
          <w:u w:color="222222"/>
          <w:shd w:val="clear" w:color="auto" w:fill="ffffff"/>
          <w:rtl w:val="0"/>
          <w14:textFill>
            <w14:solidFill>
              <w14:srgbClr w14:val="222222"/>
            </w14:solidFill>
          </w14:textFill>
        </w:rPr>
        <w:t>Mele et al., 2021)</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 The integration principle for Diageo plc will only work if the company can find actionable solutions to both the internal and external conflicts while at the same time being able to ignore the unnecessary personal or individual drama. </w:t>
      </w:r>
    </w:p>
    <w:p>
      <w:pPr>
        <w:pStyle w:val="Body"/>
        <w:spacing w:line="480" w:lineRule="auto"/>
        <w:ind w:firstLine="720"/>
        <w:rPr>
          <w:rFonts w:ascii="Times New Roman" w:cs="Times New Roman" w:hAnsi="Times New Roman" w:eastAsia="Times New Roman"/>
          <w:outline w:val="0"/>
          <w:color w:val="333333"/>
          <w:sz w:val="24"/>
          <w:szCs w:val="24"/>
          <w:u w:color="333333"/>
          <w:shd w:val="clear" w:color="auto" w:fill="ffffff"/>
          <w14:textFill>
            <w14:solidFill>
              <w14:srgbClr w14:val="333333"/>
            </w14:solidFill>
          </w14:textFill>
        </w:rPr>
      </w:pPr>
    </w:p>
    <w:p>
      <w:pPr>
        <w:pStyle w:val="Heading"/>
        <w:spacing w:line="480" w:lineRule="auto"/>
        <w:jc w:val="center"/>
        <w:rPr>
          <w:rFonts w:ascii="Times New Roman" w:cs="Times New Roman" w:hAnsi="Times New Roman" w:eastAsia="Times New Roman"/>
          <w:b w:val="1"/>
          <w:bCs w:val="1"/>
        </w:rPr>
      </w:pPr>
      <w:bookmarkStart w:name="_Toc5" w:id="11"/>
      <w:bookmarkStart w:name="_tyjcwt" w:id="12"/>
      <w:bookmarkEnd w:id="12"/>
      <w:r>
        <w:rPr>
          <w:rFonts w:ascii="Times New Roman" w:hAnsi="Times New Roman"/>
          <w:b w:val="1"/>
          <w:bCs w:val="1"/>
          <w:rtl w:val="0"/>
        </w:rPr>
        <w:t>C</w:t>
      </w:r>
      <w:r>
        <w:rPr>
          <w:rFonts w:ascii="Times New Roman" w:hAnsi="Times New Roman"/>
          <w:b w:val="1"/>
          <w:bCs w:val="1"/>
          <w:rtl w:val="0"/>
          <w:lang w:val="en-US"/>
        </w:rPr>
        <w:t>ritical Evaluation of Behavioral Management Theory to Assess How Someone with Different Beliefs, Attitudes, And Values Might Interpret the Theory Differently</w:t>
      </w:r>
      <w:bookmarkEnd w:id="11"/>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Proponents of the behavioural management approaches have identified the significance of the human aspect in the organisation and attributed greater importance to the role of beliefs, values, and attitudes in shaping workplace behaviours </w:t>
      </w:r>
      <w:r>
        <w:rPr>
          <w:rFonts w:ascii="Times New Roman" w:hAnsi="Times New Roman"/>
          <w:outline w:val="0"/>
          <w:color w:val="333333"/>
          <w:sz w:val="24"/>
          <w:szCs w:val="24"/>
          <w:u w:color="333333"/>
          <w:shd w:val="clear" w:color="auto" w:fill="ffffff"/>
          <w:rtl w:val="0"/>
          <w14:textFill>
            <w14:solidFill>
              <w14:srgbClr w14:val="333333"/>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Wright, 2019)</w:t>
      </w:r>
      <w:r>
        <w:rPr>
          <w:rFonts w:ascii="Times New Roman" w:hAnsi="Times New Roman"/>
          <w:sz w:val="24"/>
          <w:szCs w:val="24"/>
          <w:rtl w:val="0"/>
          <w:lang w:val="en-US"/>
        </w:rPr>
        <w:t xml:space="preserve">. According to Follet, the critical part of the manager is to capitalise on the employee attitudes, character, and values to bring about constructive changes in the organisation. Despite the overwhelming contributions of this theory to workplace behaviour and management, a person with different values, attitudes, and beliefs can perceive the behavioural model differently.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For instance, the behavioural approach of management emphasises the relationship between employee satisfaction and productivity. Studies have pointed out that employee satisfaction is crucial in improving employee performance. Therefore, organisations that align their values to promote a workplace culture that fosters employee satisfaction will likely achieve greater productivity (</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Eddy-Spicer, 2023)</w:t>
      </w:r>
      <w:r>
        <w:rPr>
          <w:rFonts w:ascii="Times New Roman" w:hAnsi="Times New Roman"/>
          <w:sz w:val="24"/>
          <w:szCs w:val="24"/>
          <w:rtl w:val="0"/>
          <w:lang w:val="en-US"/>
        </w:rPr>
        <w:t xml:space="preserve">. Whereas this may be true to some extent, those who do not believe in the behavioural management model may question the credibility of this theory, arguing that such outcomes are founded on simplistic assertions, yet in reality, organisational performance is a complex affair that goes beyond mere behavioural phenomena.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Additionally, employees seek to put themselves in a dependent state by aligning their beliefs, values, and attitudes with organisational behaviour. According to people who hold alternative views to the behavioural model, the dependent condition within which employees are kept allows them to remain immature permanently, even if it prevents them from going against the odds to achieve personal and organisational potential (</w:t>
      </w:r>
      <w:r>
        <w:rPr>
          <w:rFonts w:ascii="Times New Roman" w:hAnsi="Times New Roman"/>
          <w:outline w:val="0"/>
          <w:color w:val="222222"/>
          <w:sz w:val="24"/>
          <w:szCs w:val="24"/>
          <w:u w:color="222222"/>
          <w:shd w:val="clear" w:color="auto" w:fill="ffffff"/>
          <w:rtl w:val="0"/>
          <w14:textFill>
            <w14:solidFill>
              <w14:srgbClr w14:val="222222"/>
            </w14:solidFill>
          </w14:textFill>
        </w:rPr>
        <w:t>Mele et al., 2021)</w:t>
      </w:r>
      <w:r>
        <w:rPr>
          <w:rFonts w:ascii="Times New Roman" w:hAnsi="Times New Roman"/>
          <w:sz w:val="24"/>
          <w:szCs w:val="24"/>
          <w:rtl w:val="0"/>
          <w:lang w:val="en-US"/>
        </w:rPr>
        <w:t xml:space="preserve">. In addition, the behavioural model tends to institutionalise a rigid structure in the organisation where certain norms and behaviours must be followed by everyone regardless of your reservations. This, therefore, compels employees to behave in an immature manner (Cerruti and Godoski, 2020). As a result, there is an incongruence between the organisational and personal goals, which organisation growth and development, instead causes poor workplace behaviour, which leads to failure, conflict, and frustration among the employees. </w:t>
      </w:r>
    </w:p>
    <w:p>
      <w:pPr>
        <w:pStyle w:val="Body"/>
        <w:spacing w:line="480" w:lineRule="auto"/>
        <w:ind w:firstLine="720"/>
        <w:rPr>
          <w:rFonts w:ascii="Times New Roman" w:cs="Times New Roman" w:hAnsi="Times New Roman" w:eastAsia="Times New Roman"/>
          <w:sz w:val="24"/>
          <w:szCs w:val="24"/>
        </w:rPr>
      </w:pPr>
    </w:p>
    <w:p>
      <w:pPr>
        <w:pStyle w:val="Heading"/>
        <w:spacing w:line="480" w:lineRule="auto"/>
        <w:jc w:val="center"/>
        <w:rPr>
          <w:rFonts w:ascii="Times New Roman" w:cs="Times New Roman" w:hAnsi="Times New Roman" w:eastAsia="Times New Roman"/>
          <w:b w:val="1"/>
          <w:bCs w:val="1"/>
        </w:rPr>
      </w:pPr>
      <w:bookmarkStart w:name="_Toc6" w:id="13"/>
      <w:bookmarkStart w:name="_dy6vkm" w:id="14"/>
      <w:bookmarkEnd w:id="14"/>
      <w:r>
        <w:rPr>
          <w:rFonts w:ascii="Times New Roman" w:hAnsi="Times New Roman"/>
          <w:b w:val="1"/>
          <w:bCs w:val="1"/>
          <w:rtl w:val="0"/>
        </w:rPr>
        <w:t>R</w:t>
      </w:r>
      <w:r>
        <w:rPr>
          <w:rFonts w:ascii="Times New Roman" w:hAnsi="Times New Roman"/>
          <w:b w:val="1"/>
          <w:bCs w:val="1"/>
          <w:rtl w:val="0"/>
          <w:lang w:val="en-US"/>
        </w:rPr>
        <w:t>ecommendations with Valid Justifications</w:t>
      </w:r>
      <w:bookmarkEnd w:id="13"/>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covid-19 pandemic has significantly changed the ideal workplace environment. The crisis has overturned most working practices, and most global organisations, such as Diego, are increasingly adopting a model that allows employees to work from remote areas. As a result, there is an increase in the number of people working (Cerruti and Godoski, 2020). After realising the benefits of remote working, companies are moving fast to develop working-from-home policies geared towards helping employees have a global mindset. In addition, the above discussion has highlighted the importance of the behavioural approach to organisational management, which entails giving employees power or autonomy in their respective workplaces (</w:t>
      </w:r>
      <w:r>
        <w:rPr>
          <w:rFonts w:ascii="Times New Roman" w:hAnsi="Times New Roman"/>
          <w:outline w:val="0"/>
          <w:color w:val="222222"/>
          <w:sz w:val="24"/>
          <w:szCs w:val="24"/>
          <w:u w:color="222222"/>
          <w:shd w:val="clear" w:color="auto" w:fill="ffffff"/>
          <w:rtl w:val="0"/>
          <w14:textFill>
            <w14:solidFill>
              <w14:srgbClr w14:val="222222"/>
            </w14:solidFill>
          </w14:textFill>
        </w:rPr>
        <w:t>Pyszczynski et al., 2021)</w:t>
      </w:r>
      <w:r>
        <w:rPr>
          <w:rFonts w:ascii="Times New Roman" w:hAnsi="Times New Roman"/>
          <w:sz w:val="24"/>
          <w:szCs w:val="24"/>
          <w:rtl w:val="0"/>
          <w:lang w:val="en-US"/>
        </w:rPr>
        <w:t xml:space="preserve">. However, there are significant changes that organisations can undertake regarding beliefs, attitudes, and value systems to address the changes of Covid-19 and create a more resilient work environment in the future.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Most importantly, business organisations should embrace a hybrid model instead of exclusively relying on the conventional one. The pandemic has taught many organisations the benefit of having a more flexible work environment (</w:t>
      </w:r>
      <w:r>
        <w:rPr>
          <w:rFonts w:ascii="Times New Roman" w:hAnsi="Times New Roman"/>
          <w:outline w:val="0"/>
          <w:color w:val="222222"/>
          <w:sz w:val="24"/>
          <w:szCs w:val="24"/>
          <w:u w:color="222222"/>
          <w:shd w:val="clear" w:color="auto" w:fill="ffffff"/>
          <w:rtl w:val="0"/>
          <w14:textFill>
            <w14:solidFill>
              <w14:srgbClr w14:val="222222"/>
            </w14:solidFill>
          </w14:textFill>
        </w:rPr>
        <w:t>Kar et al., 2023)</w:t>
      </w:r>
      <w:r>
        <w:rPr>
          <w:rFonts w:ascii="Times New Roman" w:hAnsi="Times New Roman"/>
          <w:sz w:val="24"/>
          <w:szCs w:val="24"/>
          <w:rtl w:val="0"/>
          <w:lang w:val="en-US"/>
        </w:rPr>
        <w:t>. Thus, the post-pandemic outcome is relatively straightforward for organisations: adopt a hybrid work model where a section of the employees is allowed to work outside the conventional office part-time. Of course, employees may crave clarity regarding what would be next regarding the work environment and new organisational culture with this model (</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Eddy-Spicer, 2023)</w:t>
      </w:r>
      <w:r>
        <w:rPr>
          <w:rFonts w:ascii="Times New Roman" w:hAnsi="Times New Roman"/>
          <w:sz w:val="24"/>
          <w:szCs w:val="24"/>
          <w:rtl w:val="0"/>
          <w:lang w:val="en-US"/>
        </w:rPr>
        <w:t xml:space="preserve">. This responsibility falls squarely on the shoulders of organisational leaders to develop a new set of value systems and beliefs and shape employees' attitudes towards embracing the new work structure. Research indicates that frequent and transparent communication, with managers playing a pivotal role, is essential to ensure that the organisational staff moves in this direction in unison.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Another recommendation is that organisations should attempt to reimagine physical space and workplace behaviour. Post covid pandemic has all signs to indicate that future offices require business organisations to consider an altered layout and footprint which emanates from the hybrid framework (</w:t>
      </w:r>
      <w:r>
        <w:rPr>
          <w:rFonts w:ascii="Times New Roman" w:hAnsi="Times New Roman"/>
          <w:outline w:val="0"/>
          <w:color w:val="222222"/>
          <w:sz w:val="24"/>
          <w:szCs w:val="24"/>
          <w:u w:color="222222"/>
          <w:shd w:val="clear" w:color="auto" w:fill="ffffff"/>
          <w:rtl w:val="0"/>
          <w14:textFill>
            <w14:solidFill>
              <w14:srgbClr w14:val="222222"/>
            </w14:solidFill>
          </w14:textFill>
        </w:rPr>
        <w:t>Kar et al., 2023)</w:t>
      </w:r>
      <w:r>
        <w:rPr>
          <w:rFonts w:ascii="Times New Roman" w:hAnsi="Times New Roman"/>
          <w:sz w:val="24"/>
          <w:szCs w:val="24"/>
          <w:rtl w:val="0"/>
          <w:lang w:val="en-US"/>
        </w:rPr>
        <w:t>. As personal work increasingly becomes more different, business organisations should ensure that the physical space and workplace behaviours are tuned to align with the objectives of the employees within the organisation (</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Huang and Farboudi Jahromi, 2021)</w:t>
      </w:r>
      <w:r>
        <w:rPr>
          <w:rFonts w:ascii="Times New Roman" w:hAnsi="Times New Roman"/>
          <w:sz w:val="24"/>
          <w:szCs w:val="24"/>
          <w:rtl w:val="0"/>
          <w:lang w:val="en-US"/>
        </w:rPr>
        <w:t xml:space="preserve">. Ideally, the pre-covid organisational model is a thing of the past, and new avenues for innovation, collaboration, and community building have set in. </w:t>
      </w:r>
    </w:p>
    <w:p>
      <w:pPr>
        <w:pStyle w:val="Body"/>
        <w:spacing w:line="480" w:lineRule="auto"/>
        <w:ind w:firstLine="720"/>
        <w:rPr>
          <w:rFonts w:ascii="Times New Roman" w:cs="Times New Roman" w:hAnsi="Times New Roman" w:eastAsia="Times New Roman"/>
          <w:sz w:val="24"/>
          <w:szCs w:val="24"/>
        </w:rPr>
      </w:pPr>
    </w:p>
    <w:p>
      <w:pPr>
        <w:pStyle w:val="Heading"/>
        <w:spacing w:line="480" w:lineRule="auto"/>
        <w:jc w:val="center"/>
        <w:rPr>
          <w:rFonts w:ascii="Times New Roman" w:cs="Times New Roman" w:hAnsi="Times New Roman" w:eastAsia="Times New Roman"/>
          <w:b w:val="1"/>
          <w:bCs w:val="1"/>
        </w:rPr>
      </w:pPr>
      <w:bookmarkStart w:name="_Toc7" w:id="15"/>
      <w:bookmarkStart w:name="_t3h5sf" w:id="16"/>
      <w:bookmarkEnd w:id="16"/>
      <w:r>
        <w:rPr>
          <w:rFonts w:ascii="Times New Roman" w:hAnsi="Times New Roman"/>
          <w:b w:val="1"/>
          <w:bCs w:val="1"/>
          <w:rtl w:val="0"/>
        </w:rPr>
        <w:t>C</w:t>
      </w:r>
      <w:r>
        <w:rPr>
          <w:rFonts w:ascii="Times New Roman" w:hAnsi="Times New Roman"/>
          <w:b w:val="1"/>
          <w:bCs w:val="1"/>
          <w:rtl w:val="0"/>
          <w:lang w:val="it-IT"/>
        </w:rPr>
        <w:t>onclusion</w:t>
      </w:r>
      <w:bookmarkEnd w:id="15"/>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report aimed to examine how organisational beliefs, attitudes, and values systems impact workplace culture. Indeed, the researcher has established that these factors constitute what is commonly known as organisational culture, a set of norms and virtues that guide the day-to-day running of the organisation. In simple terms, the report affirmed that positive attitudes, values, or beliefs often promote productivity and employee engagement and ensure overall improvement of employee experience. On the contrary, a hostile culture will negatively affect productivity levels in the organisation, increase employee turnover rate, and lead to low motivation and employees feeling more disconnected from their workplace and work. This report adopted the behavioural management theory, which emphasises the human relations aspect of employee management. Furthermore, the report shows that the behavioural approach emphasises the need for the employer to accord more autonomy to the employees as this can positively influence their attitude towards embracing the desired organisational behaviour. </w:t>
      </w:r>
    </w:p>
    <w:p>
      <w:pPr>
        <w:pStyle w:val="Body"/>
        <w:spacing w:line="480" w:lineRule="auto"/>
        <w:ind w:firstLine="720"/>
        <w:rPr>
          <w:rFonts w:ascii="Times New Roman" w:cs="Times New Roman" w:hAnsi="Times New Roman" w:eastAsia="Times New Roman"/>
          <w:sz w:val="24"/>
          <w:szCs w:val="24"/>
        </w:rPr>
      </w:pPr>
    </w:p>
    <w:p>
      <w:pPr>
        <w:pStyle w:val="Heading"/>
        <w:jc w:val="center"/>
        <w:rPr>
          <w:rFonts w:ascii="Times New Roman" w:cs="Times New Roman" w:hAnsi="Times New Roman" w:eastAsia="Times New Roman"/>
          <w:b w:val="1"/>
          <w:bCs w:val="1"/>
        </w:rPr>
      </w:pPr>
      <w:bookmarkStart w:name="_Toc8" w:id="17"/>
      <w:bookmarkStart w:name="_icc5y75up4s" w:id="18"/>
      <w:bookmarkEnd w:id="18"/>
      <w:r>
        <w:rPr>
          <w:rFonts w:ascii="Times New Roman" w:hAnsi="Times New Roman"/>
          <w:b w:val="1"/>
          <w:bCs w:val="1"/>
          <w:rtl w:val="0"/>
        </w:rPr>
        <w:t>R</w:t>
      </w:r>
      <w:r>
        <w:rPr>
          <w:rFonts w:ascii="Times New Roman" w:hAnsi="Times New Roman"/>
          <w:b w:val="1"/>
          <w:bCs w:val="1"/>
          <w:rtl w:val="0"/>
          <w:lang w:val="en-US"/>
        </w:rPr>
        <w:t>eflective Journal</w:t>
      </w:r>
      <w:bookmarkEnd w:id="17"/>
    </w:p>
    <w:p>
      <w:pPr>
        <w:pStyle w:val="Body"/>
        <w:rPr>
          <w:rFonts w:ascii="Times New Roman" w:cs="Times New Roman" w:hAnsi="Times New Roman" w:eastAsia="Times New Roman"/>
          <w:sz w:val="24"/>
          <w:szCs w:val="24"/>
        </w:rPr>
      </w:pP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40"/>
        <w:gridCol w:w="467"/>
        <w:gridCol w:w="2711"/>
        <w:gridCol w:w="5632"/>
      </w:tblGrid>
      <w:tr>
        <w:tblPrEx>
          <w:shd w:val="clear" w:color="auto" w:fill="ced7e7"/>
        </w:tblPrEx>
        <w:trPr>
          <w:trHeight w:val="3249" w:hRule="atLeast"/>
        </w:trPr>
        <w:tc>
          <w:tcPr>
            <w:tcW w:type="dxa" w:w="5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17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Fonts w:ascii="Times New Roman" w:cs="Times New Roman" w:hAnsi="Times New Roman" w:eastAsia="Times New Roman"/>
                <w:b w:val="1"/>
                <w:bCs w:val="1"/>
                <w:sz w:val="24"/>
                <w:szCs w:val="24"/>
                <w:shd w:val="nil" w:color="auto" w:fill="auto"/>
              </w:rPr>
            </w:pPr>
            <w:r>
              <w:rPr>
                <w:rFonts w:ascii="Times New Roman" w:hAnsi="Times New Roman"/>
                <w:b w:val="1"/>
                <w:bCs w:val="1"/>
                <w:sz w:val="24"/>
                <w:szCs w:val="24"/>
                <w:shd w:val="nil" w:color="auto" w:fill="auto"/>
                <w:rtl w:val="0"/>
                <w:lang w:val="en-US"/>
              </w:rPr>
              <w:t>REFLECTIVE PROFILE</w:t>
            </w:r>
          </w:p>
          <w:p>
            <w:pPr>
              <w:pStyle w:val="Body"/>
              <w:spacing w:after="0" w:line="480" w:lineRule="auto"/>
              <w:rPr>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Fonts w:ascii="Times New Roman" w:cs="Times New Roman" w:hAnsi="Times New Roman" w:eastAsia="Times New Roman"/>
                <w:b w:val="1"/>
                <w:bCs w:val="1"/>
                <w:sz w:val="24"/>
                <w:szCs w:val="24"/>
                <w:shd w:val="nil" w:color="auto" w:fill="auto"/>
                <w:rtl w:val="0"/>
              </w:rPr>
            </w:pPr>
            <w:r>
              <w:rPr>
                <w:rFonts w:ascii="Times New Roman" w:hAnsi="Times New Roman"/>
                <w:b w:val="0"/>
                <w:bCs w:val="0"/>
                <w:sz w:val="24"/>
                <w:szCs w:val="24"/>
                <w:shd w:val="nil" w:color="auto" w:fill="auto"/>
                <w:rtl w:val="0"/>
                <w:lang w:val="en-US"/>
              </w:rPr>
              <w:t xml:space="preserve"> </w:t>
            </w:r>
            <w:r>
              <w:rPr>
                <w:rFonts w:ascii="Times New Roman" w:hAnsi="Times New Roman"/>
                <w:b w:val="1"/>
                <w:bCs w:val="1"/>
                <w:sz w:val="24"/>
                <w:szCs w:val="24"/>
                <w:shd w:val="nil" w:color="auto" w:fill="auto"/>
                <w:rtl w:val="0"/>
                <w:lang w:val="en-US"/>
              </w:rPr>
              <w:t>Name:</w:t>
            </w:r>
          </w:p>
          <w:p>
            <w:pPr>
              <w:pStyle w:val="Body"/>
              <w:spacing w:after="0" w:line="480" w:lineRule="auto"/>
              <w:rPr>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tl w:val="0"/>
              </w:rPr>
            </w:pPr>
            <w:r>
              <w:rPr>
                <w:rFonts w:ascii="Times New Roman" w:hAnsi="Times New Roman"/>
                <w:b w:val="1"/>
                <w:bCs w:val="1"/>
                <w:sz w:val="24"/>
                <w:szCs w:val="24"/>
                <w:shd w:val="nil" w:color="auto" w:fill="auto"/>
                <w:rtl w:val="0"/>
                <w:lang w:val="en-US"/>
              </w:rPr>
              <w:t xml:space="preserve">LinkedIn: </w:t>
            </w:r>
            <w:r>
              <w:rPr>
                <w:rFonts w:ascii="Times New Roman" w:cs="Times New Roman" w:hAnsi="Times New Roman" w:eastAsia="Times New Roman"/>
                <w:b w:val="1"/>
                <w:bCs w:val="1"/>
                <w:sz w:val="24"/>
                <w:szCs w:val="24"/>
                <w:shd w:val="nil" w:color="auto" w:fill="auto"/>
              </w:rPr>
            </w:r>
          </w:p>
        </w:tc>
      </w:tr>
      <w:tr>
        <w:tblPrEx>
          <w:shd w:val="clear" w:color="auto" w:fill="ced7e7"/>
        </w:tblPrEx>
        <w:trPr>
          <w:trHeight w:val="12800"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 xml:space="preserve">My learning style is the social (interpersonal) learning style. I have a solid social style because I communicate well with others regardless of their age and social background. I can effectively communicate verbally and non-verbally. Every day, I find myself in a space speaking to people, and they listen because I am always sensitive to their emotions, motivations, mood changes, and feelings. Because I interject to talk, I prefer listening keenly to others to understand their point of view before I can offer my opinion. In addition to that, I value learning in classes and groups. When I want to learn something faster and more effectively, I spend much time with my instructor while bouncing my thoughts off other individuals while listening to their responses. Working through problems, issues, and ideas with others not only makes me enjoy the discussions but also enables me to understand the root of the discussion clearly. </w:t>
            </w:r>
          </w:p>
          <w:p>
            <w:pPr>
              <w:pStyle w:val="Body"/>
              <w:spacing w:after="0" w:line="480" w:lineRule="auto"/>
              <w:rPr>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Fonts w:ascii="Times New Roman" w:cs="Times New Roman" w:hAnsi="Times New Roman" w:eastAsia="Times New Roman"/>
                <w:sz w:val="24"/>
                <w:szCs w:val="24"/>
                <w:shd w:val="nil" w:color="auto" w:fill="auto"/>
                <w:rtl w:val="0"/>
              </w:rPr>
            </w:pPr>
            <w:r>
              <w:rPr>
                <w:rFonts w:ascii="Times New Roman" w:hAnsi="Times New Roman"/>
                <w:sz w:val="24"/>
                <w:szCs w:val="24"/>
                <w:shd w:val="nil" w:color="auto" w:fill="auto"/>
                <w:rtl w:val="0"/>
                <w:lang w:val="en-US"/>
              </w:rPr>
              <w:t xml:space="preserve">As a social learner, I should focus on working with others as much as possible because learning by observing and listening to other people is incredibly self-fulfilling. I draw my motivation from Bandura's social learning theory which emphasises modelling, observing, and imitating other people's attitudes, behaviours, and emotional reactions. In this regard, I should embrace studying in class or groups because this enriches my learning. In addition, I also need to work on various visualisations and associations with others. When learning in a social setting, it is crucial to ensure that each group member in the class or anywhere completely understands the principles of the discussion to get quality responses on the discussion topic. Everybody is unique and hence bears different perspectives and creative styles. Therefore, the group can propose more varied as well as imaginative associations different from what I may have created as a person, and there is always a need to find synergy and be accommodative. </w:t>
            </w:r>
          </w:p>
          <w:p>
            <w:pPr>
              <w:pStyle w:val="Body"/>
              <w:spacing w:after="0" w:line="480" w:lineRule="auto"/>
              <w:rPr>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"https://www.learning-styles-online.com/"</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https://www.learning-styles-online.com/</w:t>
            </w:r>
            <w:r>
              <w:rPr>
                <w:rFonts w:ascii="Times New Roman" w:cs="Times New Roman" w:hAnsi="Times New Roman" w:eastAsia="Times New Roman"/>
                <w:sz w:val="24"/>
                <w:szCs w:val="24"/>
              </w:rPr>
              <w:fldChar w:fldCharType="end" w:fldLock="0"/>
            </w:r>
          </w:p>
        </w:tc>
      </w:tr>
      <w:tr>
        <w:tblPrEx>
          <w:shd w:val="clear" w:color="auto" w:fill="ced7e7"/>
        </w:tblPrEx>
        <w:trPr>
          <w:trHeight w:val="10916"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Style w:val="None"/>
                <w:rFonts w:ascii="Times New Roman" w:cs="Times New Roman" w:hAnsi="Times New Roman" w:eastAsia="Times New Roman"/>
                <w:sz w:val="24"/>
                <w:szCs w:val="24"/>
                <w:shd w:val="nil" w:color="auto" w:fill="auto"/>
              </w:rPr>
            </w:pPr>
            <w:r>
              <w:rPr>
                <w:rStyle w:val="None"/>
                <w:rFonts w:ascii="Times New Roman" w:hAnsi="Times New Roman"/>
                <w:sz w:val="24"/>
                <w:szCs w:val="24"/>
                <w:shd w:val="nil" w:color="auto" w:fill="auto"/>
                <w:rtl w:val="0"/>
                <w:lang w:val="en-US"/>
              </w:rPr>
              <w:t>My Belbin team roles are explorer executive and chairperson. Based on the suitability test that I conducted, I scored higher in the above roles, and it is clear that these outcomes reflect what I am and the role I play in a different group setting. This means that as an explorer, I am naturally an extrovert. Thus, I am cheerful and gregarious at the same time. Besides, I am very investigative, curious, and interested in understanding the nature of some things. Since I communicate and improvise with others, I barely have problems presenting my ideas or views to my team or developing new contacts. As a chairperson, I have a strong coordinating role, even as I tend to emphasise strict adherence to the rules and procedures.</w:t>
            </w:r>
          </w:p>
          <w:p>
            <w:pPr>
              <w:pStyle w:val="Body"/>
              <w:bidi w:val="0"/>
              <w:spacing w:after="0" w:line="480" w:lineRule="auto"/>
              <w:ind w:left="0" w:right="0" w:firstLine="0"/>
              <w:jc w:val="left"/>
              <w:rPr>
                <w:rStyle w:val="None"/>
                <w:rFonts w:ascii="Times New Roman" w:cs="Times New Roman" w:hAnsi="Times New Roman" w:eastAsia="Times New Roman"/>
                <w:sz w:val="24"/>
                <w:szCs w:val="24"/>
                <w:shd w:val="nil" w:color="auto" w:fill="auto"/>
                <w:rtl w:val="0"/>
              </w:rPr>
            </w:pPr>
            <w:r>
              <w:rPr>
                <w:rStyle w:val="None"/>
                <w:rFonts w:ascii="Times New Roman" w:hAnsi="Times New Roman"/>
                <w:sz w:val="24"/>
                <w:szCs w:val="24"/>
                <w:shd w:val="nil" w:color="auto" w:fill="auto"/>
                <w:rtl w:val="0"/>
                <w:lang w:val="en-US"/>
              </w:rPr>
              <w:t xml:space="preserve">In most cases, I try to bring and keep my team together, even as I always strive to share and communicate ideas with my team in an open-minded and respectful way. I also take on the organiser role as an executive. I am always eager and disciplined to ensure the job is done effectively to my satisfaction and that of others. Therefore, I am systematic, efficient, and practical in my work. In my workplace, I am always organised and diligent, even as I strive to embrace my team's ideas and turn them into practical plans and concrete actions that help the team and the company address the underlying challenges. </w:t>
            </w:r>
          </w:p>
          <w:p>
            <w:pPr>
              <w:pStyle w:val="Body"/>
              <w:spacing w:after="0" w:line="480" w:lineRule="auto"/>
              <w:rPr>
                <w:rStyle w:val="None"/>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"https://www.123test.com/team-roles-test/"</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https://www.123test.com/team-roles-test/</w:t>
            </w:r>
            <w:r>
              <w:rPr>
                <w:rFonts w:ascii="Times New Roman" w:cs="Times New Roman" w:hAnsi="Times New Roman" w:eastAsia="Times New Roman"/>
                <w:sz w:val="24"/>
                <w:szCs w:val="24"/>
              </w:rPr>
              <w:fldChar w:fldCharType="end" w:fldLock="0"/>
            </w:r>
          </w:p>
        </w:tc>
      </w:tr>
      <w:tr>
        <w:tblPrEx>
          <w:shd w:val="clear" w:color="auto" w:fill="ced7e7"/>
        </w:tblPrEx>
        <w:trPr>
          <w:trHeight w:val="9737"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Style w:val="None"/>
                <w:rFonts w:ascii="Times New Roman" w:cs="Times New Roman" w:hAnsi="Times New Roman" w:eastAsia="Times New Roman"/>
                <w:sz w:val="24"/>
                <w:szCs w:val="24"/>
                <w:shd w:val="nil" w:color="auto" w:fill="auto"/>
              </w:rPr>
            </w:pPr>
            <w:r>
              <w:rPr>
                <w:rStyle w:val="None"/>
                <w:rFonts w:ascii="Times New Roman" w:hAnsi="Times New Roman"/>
                <w:sz w:val="24"/>
                <w:szCs w:val="24"/>
                <w:shd w:val="nil" w:color="auto" w:fill="auto"/>
                <w:rtl w:val="0"/>
                <w:lang w:val="en-US"/>
              </w:rPr>
              <w:t xml:space="preserve">My conflict style is Owl. That means I always want to provide the best long-term outcomes out of a conflict. In many cases, it is argued that this is the most challenging and time-consuming conflict style. However, I value the needs and desires of every party in the conflict, and I strongly advocate for a win-win solution so that every party leaves when satisfied with the resolutions reached. When addressing a particular conflict, especially within my leadership responsibilities, I allow the worrying parties to sit down together, talk through the issue, and negotiate the best possible solution for each party. I strongly desire to see the worrying parties preserve their relationships, and I always want the solution to impact the parties significantly. This implies that I have to explore solutions that not only meet the desires and needs of each party but also ensure that the solution is practical and achievable within the required time frame. Rather than attempting to strike a middle-ground solution, I focus on solutions that completely satisfy all the parties and end up being a win-win solution. </w:t>
            </w:r>
          </w:p>
          <w:p>
            <w:pPr>
              <w:pStyle w:val="Body"/>
              <w:spacing w:after="0" w:line="480" w:lineRule="auto"/>
              <w:rPr>
                <w:rStyle w:val="None"/>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"http://highered.mheducation.com/sites/007040187x/student_view0/chapter11/self-assessment_11_4.html"</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http://highered.mheducation.com/sites/007040187x/student_view0/chapter11/self-assessment_11_4.html</w:t>
            </w:r>
            <w:r>
              <w:rPr>
                <w:rFonts w:ascii="Times New Roman" w:cs="Times New Roman" w:hAnsi="Times New Roman" w:eastAsia="Times New Roman"/>
                <w:sz w:val="24"/>
                <w:szCs w:val="24"/>
              </w:rPr>
              <w:fldChar w:fldCharType="end" w:fldLock="0"/>
            </w:r>
          </w:p>
        </w:tc>
      </w:tr>
      <w:tr>
        <w:tblPrEx>
          <w:shd w:val="clear" w:color="auto" w:fill="ced7e7"/>
        </w:tblPrEx>
        <w:trPr>
          <w:trHeight w:val="11506"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Style w:val="None"/>
                <w:rFonts w:ascii="Times New Roman" w:cs="Times New Roman" w:hAnsi="Times New Roman" w:eastAsia="Times New Roman"/>
                <w:sz w:val="24"/>
                <w:szCs w:val="24"/>
                <w:shd w:val="nil" w:color="auto" w:fill="auto"/>
              </w:rPr>
            </w:pPr>
            <w:r>
              <w:rPr>
                <w:rStyle w:val="None"/>
                <w:rFonts w:ascii="Times New Roman" w:hAnsi="Times New Roman"/>
                <w:sz w:val="24"/>
                <w:szCs w:val="24"/>
                <w:shd w:val="nil" w:color="auto" w:fill="auto"/>
                <w:rtl w:val="0"/>
                <w:lang w:val="en-US"/>
              </w:rPr>
              <w:t xml:space="preserve">My leadership style is participative or democratic leadership. Based on this test, it is clear that I set parameters for my team at work and make the final decision after involving each of my team members. However, I actively and vigorously engage my team members in all the organisational processes. As a result, this leadership style has enabled me to establish positive relations and trust with my people, as they feel good and valued to be engaged in all of the organisation's decision-making processes. This means that I constantly set goals, guide my team members into discussions, and reserve the right to make the final decisions. Also, this implies that I constantly acknowledge that my team can possess valuable insights into the underlying process or problem. Thus, I actively consulted the team members. Hence I gained reliable and creative input that could have been lost if I had worked alone. Besides, my goal as a leader is to create a healthy debate and build a culture where people debate respectfully. This is key in managing differing opinions among the team members. However, this leadership style makes me feel overwhelmed in high-pressure situations that need a fast turnaround. Democratic leadership style is often slow and time-consuming when making decisions and unsuitable when there is a need to make urgent decisions. More so, it is always difficult to make better decisions, especially when engaging people who dislike conflict or disagreements. </w:t>
            </w:r>
          </w:p>
          <w:p>
            <w:pPr>
              <w:pStyle w:val="Body"/>
              <w:spacing w:after="0" w:line="480" w:lineRule="auto"/>
              <w:rPr>
                <w:rStyle w:val="None"/>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"https://www.mindtools.com/pages/article/leadership-style-quiz.htm"</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https://www.mindtools.com/pages/article/leadership-style-quiz.htm</w:t>
            </w:r>
            <w:r>
              <w:rPr>
                <w:rFonts w:ascii="Times New Roman" w:cs="Times New Roman" w:hAnsi="Times New Roman" w:eastAsia="Times New Roman"/>
                <w:sz w:val="24"/>
                <w:szCs w:val="24"/>
              </w:rPr>
              <w:fldChar w:fldCharType="end" w:fldLock="0"/>
            </w:r>
          </w:p>
        </w:tc>
      </w:tr>
      <w:tr>
        <w:tblPrEx>
          <w:shd w:val="clear" w:color="auto" w:fill="ced7e7"/>
        </w:tblPrEx>
        <w:trPr>
          <w:trHeight w:val="10916"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Style w:val="None"/>
                <w:rFonts w:ascii="Times New Roman" w:cs="Times New Roman" w:hAnsi="Times New Roman" w:eastAsia="Times New Roman"/>
                <w:sz w:val="24"/>
                <w:szCs w:val="24"/>
                <w:shd w:val="nil" w:color="auto" w:fill="auto"/>
              </w:rPr>
            </w:pPr>
            <w:r>
              <w:rPr>
                <w:rStyle w:val="None"/>
                <w:rFonts w:ascii="Times New Roman" w:hAnsi="Times New Roman"/>
                <w:sz w:val="24"/>
                <w:szCs w:val="24"/>
                <w:shd w:val="nil" w:color="auto" w:fill="auto"/>
                <w:rtl w:val="0"/>
                <w:lang w:val="en-US"/>
              </w:rPr>
              <w:t>My DISC management style is clear thinking. This means that I have an intrinsic desire to be analytical and objective. Being objective and analytical is vital because it enables one to see a problem through a definite course of action, thereby assessing the capacity to address it before embarking on solving it. Besides, I love responding to logic rather than emotions. I clearly understand that sometimes we are carried away by emotions, which may be disastrous. Thus, I never let emotions dictate the kind of decisions I am making. Instead, I lean more toward logic or reason. Ultimately when entangled in a challenging situation, I apply logic together with empirical evidence, which is why I consider myself good at handling challenging technical assignments.</w:t>
            </w:r>
          </w:p>
          <w:p>
            <w:pPr>
              <w:pStyle w:val="Body"/>
              <w:spacing w:after="0" w:line="480" w:lineRule="auto"/>
              <w:rPr>
                <w:rStyle w:val="None"/>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Style w:val="None"/>
                <w:rFonts w:ascii="Times New Roman" w:cs="Times New Roman" w:hAnsi="Times New Roman" w:eastAsia="Times New Roman"/>
                <w:sz w:val="24"/>
                <w:szCs w:val="24"/>
                <w:shd w:val="nil" w:color="auto" w:fill="auto"/>
                <w:rtl w:val="0"/>
              </w:rPr>
            </w:pPr>
            <w:r>
              <w:rPr>
                <w:rStyle w:val="None"/>
                <w:rFonts w:ascii="Times New Roman" w:hAnsi="Times New Roman"/>
                <w:sz w:val="24"/>
                <w:szCs w:val="24"/>
                <w:shd w:val="nil" w:color="auto" w:fill="auto"/>
                <w:rtl w:val="0"/>
                <w:lang w:val="en-US"/>
              </w:rPr>
              <w:t xml:space="preserve">Lastly, I have a high affinity and inner drive to attain personal goals. In other words, I am self-motivated by putting all my goals on the calendar. Internal motivation should be supported by external motivation. Thus, one of the ways I achieve this is through setting target dates for achieving my personal goals. What it is I want to accomplish, I put it in a calendar. This allows me to focus all my energies on achieving that particular goal within the set targets. </w:t>
            </w:r>
          </w:p>
          <w:p>
            <w:pPr>
              <w:pStyle w:val="Body"/>
              <w:spacing w:after="0" w:line="480" w:lineRule="auto"/>
              <w:rPr>
                <w:rStyle w:val="None"/>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"https://www.123test.com/disc-personality-test/"</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https://www.123test.com/disc-personality-test/</w:t>
            </w:r>
            <w:r>
              <w:rPr>
                <w:rFonts w:ascii="Times New Roman" w:cs="Times New Roman" w:hAnsi="Times New Roman" w:eastAsia="Times New Roman"/>
                <w:sz w:val="24"/>
                <w:szCs w:val="24"/>
              </w:rPr>
              <w:fldChar w:fldCharType="end" w:fldLock="0"/>
            </w:r>
          </w:p>
        </w:tc>
      </w:tr>
      <w:tr>
        <w:tblPrEx>
          <w:shd w:val="clear" w:color="auto" w:fill="ced7e7"/>
        </w:tblPrEx>
        <w:trPr>
          <w:trHeight w:val="6198"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Style w:val="None"/>
                <w:rFonts w:ascii="Times New Roman" w:cs="Times New Roman" w:hAnsi="Times New Roman" w:eastAsia="Times New Roman"/>
                <w:sz w:val="24"/>
                <w:szCs w:val="24"/>
                <w:shd w:val="nil" w:color="auto" w:fill="auto"/>
              </w:rPr>
            </w:pPr>
            <w:r>
              <w:rPr>
                <w:rStyle w:val="None"/>
                <w:rFonts w:ascii="Times New Roman" w:hAnsi="Times New Roman"/>
                <w:sz w:val="24"/>
                <w:szCs w:val="24"/>
                <w:shd w:val="nil" w:color="auto" w:fill="auto"/>
                <w:rtl w:val="0"/>
                <w:lang w:val="en-US"/>
              </w:rPr>
              <w:t xml:space="preserve">My Myers Briggs style is thinking (T). This means that I am logical, objective, and rational in my thinking. In most instances, my actions and decisions are directed by my mind instead of my heart. Although many people often perceive me as lacking emotions, it is invalid. I like being more thoughtful and engaging my mind before making decisions since I don't like making mistakes. I still have emotions and am sensitive to my feelings and those of others, and only I do not prioritise feelings over my mind. Therefore, when I have to make the right decisions or partake in serious action, I hide my emotions or prevent them from surfacing to affect my ability to do what is right. I prefer using facts to decide rather than emotions. </w:t>
            </w:r>
          </w:p>
          <w:p>
            <w:pPr>
              <w:pStyle w:val="Body"/>
              <w:spacing w:after="0" w:line="480" w:lineRule="auto"/>
              <w:rPr>
                <w:rStyle w:val="None"/>
                <w:rFonts w:ascii="Times New Roman" w:cs="Times New Roman" w:hAnsi="Times New Roman" w:eastAsia="Times New Roman"/>
                <w:sz w:val="24"/>
                <w:szCs w:val="24"/>
                <w:shd w:val="nil" w:color="auto" w:fill="auto"/>
                <w:lang w:val="en-US"/>
              </w:rPr>
            </w:pP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"https://www.personalityperfect.com/16-personalities-test/"</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https://www.personalityperfect.com/16-personalities-test/</w:t>
            </w:r>
            <w:r>
              <w:rPr>
                <w:rFonts w:ascii="Times New Roman" w:cs="Times New Roman" w:hAnsi="Times New Roman" w:eastAsia="Times New Roman"/>
                <w:sz w:val="24"/>
                <w:szCs w:val="24"/>
              </w:rPr>
              <w:fldChar w:fldCharType="end" w:fldLock="0"/>
            </w:r>
          </w:p>
        </w:tc>
      </w:tr>
      <w:tr>
        <w:tblPrEx>
          <w:shd w:val="clear" w:color="auto" w:fill="ced7e7"/>
        </w:tblPrEx>
        <w:trPr>
          <w:trHeight w:val="8557"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Style w:val="None"/>
                <w:rFonts w:ascii="Times New Roman" w:cs="Times New Roman" w:hAnsi="Times New Roman" w:eastAsia="Times New Roman"/>
                <w:sz w:val="24"/>
                <w:szCs w:val="24"/>
                <w:shd w:val="nil" w:color="auto" w:fill="auto"/>
              </w:rPr>
            </w:pPr>
            <w:r>
              <w:rPr>
                <w:rStyle w:val="None"/>
                <w:rFonts w:ascii="Times New Roman" w:hAnsi="Times New Roman"/>
                <w:sz w:val="24"/>
                <w:szCs w:val="24"/>
                <w:shd w:val="nil" w:color="auto" w:fill="auto"/>
                <w:rtl w:val="0"/>
                <w:lang w:val="en-US"/>
              </w:rPr>
              <w:t xml:space="preserve">My enneagram style is Enneagram Type 2 - The Helper. That means I am worthy in so far as I am helpful to others. When people get stuck, and I help, I feel some satisfaction. As a result, love for others is the best thing I possess. I also believe in selflessness and take pride in helping those who need my support. I am always involved in charitable activities, and I feel great when I am noticed and appreciated by people for what I am doing in society. For instance, I attend the birthday parties of everyone closest to me. When I am with others, I feel warm and emotional to some extent. I have learned to develop and care much about my relationships. As a result, I am always motivated and devoted to supporting and seeing my friends, family, and relatives achieve the best they can. In addition, I am always practical in every sense, and I thrive in assisting others at their lowest. For example, when I heard about the earthquake in Turkey recently, I was so disturbed, and I just wanted to get to the place to join other people in providing humanitarian support to the victims. I always feel bad when people suffer just because I cannot help. </w:t>
            </w: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"https://www.eclecticenergies.com/enneagram/test"</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https://www.eclecticenergies.com/enneagram/test</w:t>
            </w:r>
            <w:r>
              <w:rPr>
                <w:rFonts w:ascii="Times New Roman" w:cs="Times New Roman" w:hAnsi="Times New Roman" w:eastAsia="Times New Roman"/>
                <w:sz w:val="24"/>
                <w:szCs w:val="24"/>
              </w:rPr>
              <w:fldChar w:fldCharType="end" w:fldLock="0"/>
            </w:r>
          </w:p>
        </w:tc>
      </w:tr>
      <w:tr>
        <w:tblPrEx>
          <w:shd w:val="clear" w:color="auto" w:fill="ced7e7"/>
        </w:tblPrEx>
        <w:trPr>
          <w:trHeight w:val="8557" w:hRule="atLeast"/>
        </w:trPr>
        <w:tc>
          <w:tcPr>
            <w:tcW w:type="dxa" w:w="1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3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480" w:lineRule="auto"/>
              <w:rPr>
                <w:rStyle w:val="None"/>
                <w:rFonts w:ascii="Times New Roman" w:cs="Times New Roman" w:hAnsi="Times New Roman" w:eastAsia="Times New Roman"/>
                <w:sz w:val="24"/>
                <w:szCs w:val="24"/>
                <w:shd w:val="nil" w:color="auto" w:fill="auto"/>
              </w:rPr>
            </w:pPr>
            <w:r>
              <w:rPr>
                <w:rStyle w:val="None"/>
                <w:rFonts w:ascii="Times New Roman" w:hAnsi="Times New Roman"/>
                <w:sz w:val="24"/>
                <w:szCs w:val="24"/>
                <w:shd w:val="nil" w:color="auto" w:fill="auto"/>
                <w:rtl w:val="0"/>
                <w:lang w:val="en-US"/>
              </w:rPr>
              <w:t xml:space="preserve">My EQ is 70. That means that I can identify my emotions. Based on this EQ test, I have effectively and inextricably connected my body and emotions. Therefore, I can locate my exact feelings in most cases since I pay attention to and easily recognise my body's physiological response to particular emotions. In addition, I can quickly identify, understand and utilise my feelings constructively to mitigate anxiety and stress, effectively communicate, and empathise with others who may be facing challenging situations. I also have strong self-management skills. This means I can effectively control or regulate impulsive behaviours and feelings, positively manage my emotions, follow through with particular comments, take responsibility and initiative, and quickly adapt to changing situations to thrive. Another area I thrive most is social awareness. At the moment, I am very good at recognising my emotions and how they can affect my thoughts and behaviours. In other words, I clearly understand my strengths and weaknesses and possess self-confidence, allowing me to make the right decision. </w:t>
            </w:r>
          </w:p>
          <w:p>
            <w:pPr>
              <w:pStyle w:val="Body"/>
              <w:bidi w:val="0"/>
              <w:spacing w:after="0" w:line="480" w:lineRule="auto"/>
              <w:ind w:left="0" w:right="0" w:firstLine="0"/>
              <w:jc w:val="left"/>
              <w:rPr>
                <w:rtl w:val="0"/>
              </w:rPr>
            </w:pP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"https://testyourself.psychtests.com/testid/3979"</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https://testyourself.psychtests.com/testid/3979</w:t>
            </w:r>
            <w:r>
              <w:rPr>
                <w:rFonts w:ascii="Times New Roman" w:cs="Times New Roman" w:hAnsi="Times New Roman" w:eastAsia="Times New Roman"/>
                <w:sz w:val="24"/>
                <w:szCs w:val="24"/>
              </w:rPr>
              <w:fldChar w:fldCharType="end" w:fldLock="0"/>
            </w:r>
          </w:p>
        </w:tc>
      </w:tr>
    </w:tbl>
    <w:p>
      <w:pPr>
        <w:pStyle w:val="Body"/>
        <w:widowControl w:val="0"/>
        <w:spacing w:line="24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Body"/>
      </w:pPr>
      <w:r>
        <w:rPr>
          <w:rStyle w:val="None"/>
          <w:rFonts w:ascii="Arial Unicode MS" w:cs="Arial Unicode MS" w:hAnsi="Arial Unicode MS" w:eastAsia="Arial Unicode MS"/>
          <w:b w:val="0"/>
          <w:bCs w:val="0"/>
          <w:i w:val="0"/>
          <w:iCs w:val="0"/>
        </w:rPr>
        <w:br w:type="page"/>
      </w:r>
    </w:p>
    <w:p>
      <w:pPr>
        <w:pStyle w:val="Heading"/>
        <w:jc w:val="center"/>
        <w:rPr>
          <w:rStyle w:val="None"/>
          <w:rFonts w:ascii="Times New Roman" w:cs="Times New Roman" w:hAnsi="Times New Roman" w:eastAsia="Times New Roman"/>
          <w:b w:val="1"/>
          <w:bCs w:val="1"/>
        </w:rPr>
      </w:pPr>
      <w:bookmarkStart w:name="_Toc9" w:id="19"/>
      <w:bookmarkStart w:name="_d34og8" w:id="20"/>
      <w:bookmarkEnd w:id="20"/>
      <w:r>
        <w:rPr>
          <w:rStyle w:val="None"/>
          <w:rFonts w:ascii="Times New Roman" w:hAnsi="Times New Roman"/>
          <w:b w:val="1"/>
          <w:bCs w:val="1"/>
          <w:rtl w:val="0"/>
        </w:rPr>
        <w:t>R</w:t>
      </w:r>
      <w:r>
        <w:rPr>
          <w:rStyle w:val="None"/>
          <w:rFonts w:ascii="Times New Roman" w:hAnsi="Times New Roman"/>
          <w:b w:val="1"/>
          <w:bCs w:val="1"/>
          <w:rtl w:val="0"/>
          <w:lang w:val="fr-FR"/>
        </w:rPr>
        <w:t>eferences</w:t>
      </w:r>
      <w:bookmarkEnd w:id="19"/>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Akba</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ş</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N. and Taner, B., 2022. Mary Parker Follett's Footprints in the Management Principles of Today and the Future.</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Istanbul Management Journal</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(93), pp.89-123.</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Awuni, M. and Tanko, M.Z., 2019. Organisational Citizenship Behavior and Religiosity at the workplace.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Journal of Contemporary Research and Review</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10</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(5), pp.21501-21514.</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Baldwin, C., 2020. Relative valuation of Diageo public limited company.</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Buffenoir, C., 2020. Strategies behind the Mo</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ë</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t Hennessy Diageo portfolio worldwide: how are MHD France and MHD China responding to local consumers with tailored portfolio strategies?</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Chavan, V.V., Strategies To Increase Cultural Diversity In The Workplace: A Study Of Several Approaches And Their Offered Benefits.</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sz w:val="24"/>
          <w:szCs w:val="24"/>
          <w:rtl w:val="0"/>
          <w:lang w:val="en-US"/>
        </w:rPr>
        <w:t>Cerruti, K and Godoski, L 2020 "Five Post-COVID Behaviors(sic) and Attitudes that will Reshape the Workplace" in Work design Magazine [Online] Available: https://www.workdesign.com/2020/06/five-post-covid-behaviors-and-attitudes-that-will-reshapethe-workplace/ (copy the link into your browser)</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pt-PT"/>
          <w14:textFill>
            <w14:solidFill>
              <w14:srgbClr w14:val="222222"/>
            </w14:solidFill>
          </w14:textFill>
        </w:rPr>
        <w:t>Duarte, A.M.B., 2019.</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Equity Research: Diageo Plc</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outline w:val="0"/>
          <w:color w:val="222222"/>
          <w:sz w:val="24"/>
          <w:szCs w:val="24"/>
          <w:u w:color="222222"/>
          <w:shd w:val="clear" w:color="auto" w:fill="ffffff"/>
          <w:rtl w:val="0"/>
          <w:lang w:val="pt-PT"/>
          <w14:textFill>
            <w14:solidFill>
              <w14:srgbClr w14:val="222222"/>
            </w14:solidFill>
          </w14:textFill>
        </w:rPr>
        <w:t>(Doctoral dissertation, Universidade de Lisboa (Portugal)).</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Eddy-Spicer, D.H., 2023. Interweaving resilience: leadership of continuous improvement partnerships and Mary Parker Follett's theory of relational process.</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Educational Administration</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61</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(3), pp.222-238.</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Elkhwesky, Z., Salem, I.E., Varmus, M. and Ramkissoon, H., 2022. Sustainable practices in hospitality pre and amid COVID</w:t>
      </w:r>
      <w:r>
        <w:rPr>
          <w:rStyle w:val="None"/>
          <w:rFonts w:ascii="Arial Unicode MS" w:cs="Arial Unicode MS" w:hAnsi="Arial Unicode MS" w:eastAsia="Arial Unicode MS" w:hint="default"/>
          <w:b w:val="0"/>
          <w:bCs w:val="0"/>
          <w:i w:val="0"/>
          <w:iCs w:val="0"/>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19 pandemic: Looking back for moving forward post</w:t>
      </w:r>
      <w:r>
        <w:rPr>
          <w:rStyle w:val="None"/>
          <w:rFonts w:ascii="Arial Unicode MS" w:cs="Arial Unicode MS" w:hAnsi="Arial Unicode MS" w:eastAsia="Arial Unicode MS" w:hint="default"/>
          <w:b w:val="0"/>
          <w:bCs w:val="0"/>
          <w:i w:val="0"/>
          <w:iCs w:val="0"/>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COVID</w:t>
      </w:r>
      <w:r>
        <w:rPr>
          <w:rStyle w:val="None"/>
          <w:rFonts w:ascii="Arial Unicode MS" w:cs="Arial Unicode MS" w:hAnsi="Arial Unicode MS" w:eastAsia="Arial Unicode MS" w:hint="default"/>
          <w:b w:val="0"/>
          <w:bCs w:val="0"/>
          <w:i w:val="0"/>
          <w:iCs w:val="0"/>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19.</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Sustainable development</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30</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(5), pp.1426-1448.</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Huang, A. and Farboudi Jahromi, M., 2021. Resilience building in service firms during and post COVID-19.</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Service Industries Journal</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41</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(1-2), pp.138-167.</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Jamali, D., 2005. Changing management paradigms: implications for educational institutions.</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Management Development</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24</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(2), pp.104-115.</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Jernigan, D. and Ross, C.S., 2020. The alcohol marketing landscape: Alcohol industry size, structure, strategies, and public health responses.</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Studies on Alcohol and Drugs, Supplement</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(s19), pp.13-25.</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Kar, S., Yadav, M. and Panda, T.K., 2023. Inclusive organisational behaviour</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the dynamic rules of building new workplaces.</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VINE Journal of Information and Knowledge Management Systems</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MADESSA, Y., 2020.</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DETERMINANTS OF ISO9000 ON COMPANIES</w:t>
      </w:r>
      <w:r>
        <w:rPr>
          <w:rStyle w:val="None"/>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QUALITY PERFORMANCE IN THE CASE OF META ABO BREWERY SC (DIAGEO)</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outline w:val="0"/>
          <w:color w:val="222222"/>
          <w:sz w:val="24"/>
          <w:szCs w:val="24"/>
          <w:u w:color="222222"/>
          <w:shd w:val="clear" w:color="auto" w:fill="ffffff"/>
          <w:rtl w:val="0"/>
          <w:lang w:val="fr-FR"/>
          <w14:textFill>
            <w14:solidFill>
              <w14:srgbClr w14:val="222222"/>
            </w14:solidFill>
          </w14:textFill>
        </w:rPr>
        <w:t>(Doctoral dissertation, ST. MARY</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lang w:val="de-DE"/>
          <w14:textFill>
            <w14:solidFill>
              <w14:srgbClr w14:val="222222"/>
            </w14:solidFill>
          </w14:textFill>
        </w:rPr>
        <w:t>S UNIVERSITY).</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Mele, C., Russo-Spena, T. and Kaartemo, V., 2021. The impact of coronavirus on business: developing service research agenda for a post-coronavirus world.</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Service Theory and Practice</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31</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(2), pp.184-202.</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Pyszczynski, T., Lockett, M., Greenberg, J. and Solomon, S., 2021. Terror management theory and the COVID-19 pandemic.</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Humanistic Psychology</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61</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(2), pp.173-189.</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Rouf, M.A. and Siddique, M.N.E.A., 2023. Theories applied in corporate voluntary disclosure: a literature review.</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Entrepreneurship and Public Policy</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12</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(1), pp.49-68.</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Seifu, M., 2022.</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Effect of Promotional Tools on Brand Image: The case of Diageo, Meta Abo Breweries SC</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outline w:val="0"/>
          <w:color w:val="222222"/>
          <w:sz w:val="24"/>
          <w:szCs w:val="24"/>
          <w:u w:color="222222"/>
          <w:shd w:val="clear" w:color="auto" w:fill="ffffff"/>
          <w:rtl w:val="0"/>
          <w:lang w:val="fr-FR"/>
          <w14:textFill>
            <w14:solidFill>
              <w14:srgbClr w14:val="222222"/>
            </w14:solidFill>
          </w14:textFill>
        </w:rPr>
        <w:t>(Doctoral dissertation, St. Mary</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s University).</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Shammot, M.M., 2011. Quality management practices and their impact on organisational performance and customer behaviour.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European Journal of Economics, Finance and Administrative Sciences</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ru-RU"/>
          <w14:textFill>
            <w14:solidFill>
              <w14:srgbClr w14:val="222222"/>
            </w14:solidFill>
          </w14:textFill>
        </w:rPr>
        <w:t>34</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(2), pp.21-33.</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Sharman, N., Wallace, C.A. and Jespersen, L., 2020. Terminology and the understanding of culture, climate, and behavioural change</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Impact of organisational and human factors on food safety management.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Trends in Food Science &amp; Technology</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96</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 pp.13-20.</w:t>
      </w:r>
    </w:p>
    <w:p>
      <w:pPr>
        <w:pStyle w:val="Body"/>
        <w:spacing w:before="280" w:after="280" w:line="480" w:lineRule="auto"/>
        <w:ind w:left="720" w:hanging="720"/>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Soelton, M., Visano, N.A., Noermijati, N., Ramli, Y., Syah, T.Y.R. and Sari, Y.J., 2020. The implication of job satisfaction influences workers to practice organisational citizenship behaviour (OCB) in the workplace.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Archives of Business Review</w:t>
      </w:r>
      <w:r>
        <w:rPr>
          <w:rStyle w:val="None"/>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i w:val="1"/>
          <w:iCs w:val="1"/>
          <w:outline w:val="0"/>
          <w:color w:val="222222"/>
          <w:sz w:val="24"/>
          <w:szCs w:val="24"/>
          <w:u w:color="222222"/>
          <w:shd w:val="clear" w:color="auto" w:fill="ffffff"/>
          <w:rtl w:val="0"/>
          <w:lang w:val="nl-NL"/>
          <w14:textFill>
            <w14:solidFill>
              <w14:srgbClr w14:val="222222"/>
            </w14:solidFill>
          </w14:textFill>
        </w:rPr>
        <w:t>Vol</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8</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(5).</w:t>
      </w:r>
    </w:p>
    <w:p>
      <w:pPr>
        <w:pStyle w:val="Body"/>
        <w:spacing w:before="280" w:after="280" w:line="480" w:lineRule="auto"/>
        <w:ind w:left="720" w:hanging="720"/>
        <w:rPr>
          <w:rStyle w:val="None"/>
          <w:rFonts w:ascii="Times New Roman" w:cs="Times New Roman" w:hAnsi="Times New Roman" w:eastAsia="Times New Roman"/>
          <w:sz w:val="24"/>
          <w:szCs w:val="24"/>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Wright, G., 2019. Integrative democracy: Mary Parker Follett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s integration and deliberative democracy.</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Deliberative Democracy</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15</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(1).</w:t>
      </w:r>
    </w:p>
    <w:p>
      <w:pPr>
        <w:pStyle w:val="Heading"/>
        <w:spacing w:line="480" w:lineRule="auto"/>
        <w:jc w:val="center"/>
        <w:rPr>
          <w:rStyle w:val="None"/>
          <w:rFonts w:ascii="Times New Roman" w:cs="Times New Roman" w:hAnsi="Times New Roman" w:eastAsia="Times New Roman"/>
          <w:b w:val="1"/>
          <w:bCs w:val="1"/>
        </w:rPr>
      </w:pPr>
      <w:bookmarkStart w:name="_Toc10" w:id="21"/>
      <w:bookmarkStart w:name="_cgnyormo61wn" w:id="22"/>
      <w:bookmarkEnd w:id="22"/>
      <w:r>
        <w:rPr>
          <w:rStyle w:val="None"/>
          <w:rFonts w:ascii="Times New Roman" w:hAnsi="Times New Roman"/>
          <w:b w:val="1"/>
          <w:bCs w:val="1"/>
          <w:rtl w:val="0"/>
        </w:rPr>
        <w:t>A</w:t>
      </w:r>
      <w:r>
        <w:rPr>
          <w:rStyle w:val="None"/>
          <w:rFonts w:ascii="Times New Roman" w:hAnsi="Times New Roman"/>
          <w:b w:val="1"/>
          <w:bCs w:val="1"/>
          <w:rtl w:val="0"/>
          <w:lang w:val="it-IT"/>
        </w:rPr>
        <w:t>ppendices</w:t>
      </w:r>
      <w:bookmarkEnd w:id="21"/>
    </w:p>
    <w:p>
      <w:pPr>
        <w:pStyle w:val="Heading 2"/>
        <w:rPr>
          <w:rStyle w:val="None"/>
          <w:rFonts w:ascii="Times New Roman" w:cs="Times New Roman" w:hAnsi="Times New Roman" w:eastAsia="Times New Roman"/>
          <w:b w:val="1"/>
          <w:bCs w:val="1"/>
        </w:rPr>
      </w:pPr>
      <w:bookmarkStart w:name="_Toc11" w:id="23"/>
      <w:bookmarkStart w:name="_s8eyo1" w:id="24"/>
      <w:bookmarkEnd w:id="24"/>
      <w:r>
        <w:rPr>
          <w:rStyle w:val="None"/>
          <w:rFonts w:ascii="Times New Roman" w:hAnsi="Times New Roman"/>
          <w:b w:val="1"/>
          <w:bCs w:val="1"/>
          <w:rtl w:val="0"/>
        </w:rPr>
        <w:t>A</w:t>
      </w:r>
      <w:r>
        <w:rPr>
          <w:rStyle w:val="None"/>
          <w:rFonts w:ascii="Times New Roman" w:hAnsi="Times New Roman"/>
          <w:b w:val="1"/>
          <w:bCs w:val="1"/>
          <w:rtl w:val="0"/>
          <w:lang w:val="da-DK"/>
        </w:rPr>
        <w:t>ppendix 1: Learning Style Results</w:t>
      </w:r>
      <w:bookmarkEnd w:id="23"/>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Pr>
        <w:drawing xmlns:a="http://schemas.openxmlformats.org/drawingml/2006/main">
          <wp:inline distT="0" distB="0" distL="0" distR="0">
            <wp:extent cx="4552950" cy="3438525"/>
            <wp:effectExtent l="0" t="0" r="0" b="0"/>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5">
                      <a:extLst/>
                    </a:blip>
                    <a:stretch>
                      <a:fillRect/>
                    </a:stretch>
                  </pic:blipFill>
                  <pic:spPr>
                    <a:xfrm>
                      <a:off x="0" y="0"/>
                      <a:ext cx="4552950" cy="3438525"/>
                    </a:xfrm>
                    <a:prstGeom prst="rect">
                      <a:avLst/>
                    </a:prstGeom>
                    <a:ln w="12700" cap="flat">
                      <a:noFill/>
                      <a:miter lim="400000"/>
                    </a:ln>
                    <a:effectLst/>
                  </pic:spPr>
                </pic:pic>
              </a:graphicData>
            </a:graphic>
          </wp:inline>
        </w:drawing>
      </w:r>
    </w:p>
    <w:p>
      <w:pPr>
        <w:pStyle w:val="Body"/>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sz w:val="24"/>
          <w:szCs w:val="24"/>
        </w:rPr>
      </w:pPr>
    </w:p>
    <w:p>
      <w:pPr>
        <w:pStyle w:val="Heading 2"/>
        <w:rPr>
          <w:rStyle w:val="None"/>
          <w:rFonts w:ascii="Times New Roman" w:cs="Times New Roman" w:hAnsi="Times New Roman" w:eastAsia="Times New Roman"/>
          <w:b w:val="1"/>
          <w:bCs w:val="1"/>
        </w:rPr>
      </w:pPr>
      <w:bookmarkStart w:name="_Toc12" w:id="25"/>
      <w:bookmarkStart w:name="_dp8vu" w:id="26"/>
      <w:bookmarkEnd w:id="26"/>
      <w:r>
        <w:rPr>
          <w:rStyle w:val="None"/>
          <w:rFonts w:ascii="Times New Roman" w:hAnsi="Times New Roman"/>
          <w:b w:val="1"/>
          <w:bCs w:val="1"/>
          <w:rtl w:val="0"/>
        </w:rPr>
        <w:t>A</w:t>
      </w:r>
      <w:r>
        <w:rPr>
          <w:rStyle w:val="None"/>
          <w:rFonts w:ascii="Times New Roman" w:hAnsi="Times New Roman"/>
          <w:b w:val="1"/>
          <w:bCs w:val="1"/>
          <w:rtl w:val="0"/>
          <w:lang w:val="da-DK"/>
        </w:rPr>
        <w:t>ppendix 2: emotional intelligence results</w:t>
      </w:r>
      <w:bookmarkEnd w:id="25"/>
    </w:p>
    <w:p>
      <w:pPr>
        <w:pStyle w:val="Body"/>
        <w:spacing w:line="480" w:lineRule="auto"/>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Pr>
        <w:drawing xmlns:a="http://schemas.openxmlformats.org/drawingml/2006/main">
          <wp:inline distT="0" distB="0" distL="0" distR="0">
            <wp:extent cx="5731510" cy="6616700"/>
            <wp:effectExtent l="0" t="0" r="0" b="0"/>
            <wp:docPr id="1073741827" name="officeArt object" descr="image1.png"/>
            <wp:cNvGraphicFramePr/>
            <a:graphic xmlns:a="http://schemas.openxmlformats.org/drawingml/2006/main">
              <a:graphicData uri="http://schemas.openxmlformats.org/drawingml/2006/picture">
                <pic:pic xmlns:pic="http://schemas.openxmlformats.org/drawingml/2006/picture">
                  <pic:nvPicPr>
                    <pic:cNvPr id="1073741827" name="image1.png" descr="image1.png"/>
                    <pic:cNvPicPr>
                      <a:picLocks noChangeAspect="1"/>
                    </pic:cNvPicPr>
                  </pic:nvPicPr>
                  <pic:blipFill>
                    <a:blip r:embed="rId6">
                      <a:extLst/>
                    </a:blip>
                    <a:stretch>
                      <a:fillRect/>
                    </a:stretch>
                  </pic:blipFill>
                  <pic:spPr>
                    <a:xfrm>
                      <a:off x="0" y="0"/>
                      <a:ext cx="5731510" cy="6616700"/>
                    </a:xfrm>
                    <a:prstGeom prst="rect">
                      <a:avLst/>
                    </a:prstGeom>
                    <a:ln w="12700" cap="flat">
                      <a:noFill/>
                      <a:miter lim="400000"/>
                    </a:ln>
                    <a:effectLst/>
                  </pic:spPr>
                </pic:pic>
              </a:graphicData>
            </a:graphic>
          </wp:inline>
        </w:drawing>
      </w:r>
    </w:p>
    <w:p>
      <w:pPr>
        <w:pStyle w:val="Body"/>
        <w:spacing w:line="480" w:lineRule="auto"/>
      </w:pPr>
      <w:r>
        <w:rPr>
          <w:rStyle w:val="None"/>
          <w:rFonts w:ascii="Times New Roman" w:cs="Times New Roman" w:hAnsi="Times New Roman" w:eastAsia="Times New Roman"/>
          <w:sz w:val="24"/>
          <w:szCs w:val="24"/>
        </w:rPr>
      </w:r>
    </w:p>
    <w:sectPr>
      <w:headerReference w:type="default" r:id="rId7"/>
      <w:footerReference w:type="default" r:id="rId8"/>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340"/>
      </w:tabs>
      <w:spacing w:after="0" w:line="240" w:lineRule="auto"/>
      <w:jc w:val="right"/>
    </w:pPr>
    <w:r>
      <w:rPr>
        <w:rFonts w:ascii="Times New Roman" w:hAnsi="Times New Roman" w:hint="default"/>
        <w:b w:val="1"/>
        <w:bCs w:val="1"/>
        <w:caps w:val="0"/>
        <w:smallCaps w:val="0"/>
        <w:strike w:val="0"/>
        <w:dstrike w:val="0"/>
        <w:outline w:val="0"/>
        <w:color w:val="000000"/>
        <w:sz w:val="24"/>
        <w:szCs w:val="24"/>
        <w:u w:val="none" w:color="000000"/>
        <w:shd w:val="clear" w:color="auto" w:fill="ffffff"/>
        <w:vertAlign w:val="baseline"/>
        <w:rtl w:val="0"/>
        <w:lang w:val="en-US"/>
        <w14:textFill>
          <w14:solidFill>
            <w14:srgbClr w14:val="000000"/>
          </w14:solidFill>
        </w14:textFill>
      </w:rPr>
      <w:t> </w:t>
    </w:r>
    <w:r>
      <w:rPr>
        <w:rFonts w:ascii="Times New Roman" w:hAnsi="Times New Roman" w:hint="default"/>
        <w:caps w:val="0"/>
        <w:smallCaps w:val="0"/>
        <w:strike w:val="0"/>
        <w:dstrike w:val="0"/>
        <w:outline w:val="0"/>
        <w:color w:val="000000"/>
        <w:sz w:val="24"/>
        <w:szCs w:val="24"/>
        <w:u w:val="none" w:color="000000"/>
        <w:shd w:val="clear" w:color="auto" w:fill="ffffff"/>
        <w:vertAlign w:val="baseline"/>
        <w:rtl w:val="0"/>
        <w:lang w:val="en-US"/>
        <w14:textFill>
          <w14:solidFill>
            <w14:srgbClr w14:val="000000"/>
          </w14:solidFill>
        </w14:textFill>
      </w:rPr>
      <w:t>  </w: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begin"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instrText xml:space="preserve"> PAGE </w:instrTex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separate"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end"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w:cs="Calibri" w:hAnsi="Calibri" w:eastAsia="Calibri"/>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14:textOutline>
        <w14:noFill/>
      </w14:textOutline>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638"/>
      </w:tabs>
      <w:suppressAutoHyphens w:val="0"/>
      <w:bidi w:val="0"/>
      <w:spacing w:before="160" w:after="0" w:line="240" w:lineRule="auto"/>
      <w:ind w:left="0" w:right="0" w:firstLine="24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w:cs="Calibri" w:hAnsi="Calibri" w:eastAsia="Calibri"/>
      <w:b w:val="0"/>
      <w:bCs w:val="0"/>
      <w:i w:val="0"/>
      <w:iCs w:val="0"/>
      <w:caps w:val="0"/>
      <w:smallCaps w:val="0"/>
      <w:strike w:val="0"/>
      <w:dstrike w:val="0"/>
      <w:outline w:val="0"/>
      <w:color w:val="2f5496"/>
      <w:spacing w:val="0"/>
      <w:kern w:val="0"/>
      <w:position w:val="0"/>
      <w:sz w:val="26"/>
      <w:szCs w:val="26"/>
      <w:u w:val="none" w:color="2f5496"/>
      <w:shd w:val="nil" w:color="auto" w:fill="auto"/>
      <w:vertAlign w:val="baseline"/>
      <w14:textOutline>
        <w14:noFill/>
      </w14:textOutline>
      <w14:textFill>
        <w14:solidFill>
          <w14:srgbClr w14:val="2F5496"/>
        </w14:solidFill>
      </w14:textFill>
    </w:rPr>
  </w:style>
  <w:style w:type="character" w:styleId="None">
    <w:name w:val="None"/>
  </w:style>
  <w:style w:type="character" w:styleId="Hyperlink.0">
    <w:name w:val="Hyperlink.0"/>
    <w:basedOn w:val="None"/>
    <w:next w:val="Hyperlink.0"/>
    <w:rPr>
      <w:outline w:val="0"/>
      <w:color w:val="0000ff"/>
      <w:u w:val="single" w:color="0000ff"/>
      <w:shd w:val="nil" w:color="auto" w:fill="auto"/>
      <w:lang w:val="en-US"/>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