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5E5B77" w:rsidR="00BA747E" w:rsidP="00942382" w:rsidRDefault="00BA747E" w14:paraId="454754EC" w14:textId="77777777">
      <w:pPr>
        <w:rPr>
          <w:rFonts w:cs="Arial"/>
          <w:color w:val="000000" w:themeColor="text1"/>
          <w:sz w:val="28"/>
          <w:szCs w:val="28"/>
        </w:rPr>
      </w:pPr>
    </w:p>
    <w:p w:rsidRPr="005E5B77" w:rsidR="00BA747E" w:rsidP="00942382" w:rsidRDefault="00BA747E" w14:paraId="5C91C550" w14:textId="77777777">
      <w:pPr>
        <w:rPr>
          <w:rFonts w:cs="Arial"/>
          <w:color w:val="000000" w:themeColor="text1"/>
          <w:sz w:val="28"/>
          <w:szCs w:val="28"/>
        </w:rPr>
      </w:pPr>
    </w:p>
    <w:p w:rsidRPr="005E5B77" w:rsidR="00BA747E" w:rsidP="00942382" w:rsidRDefault="00000000" w14:paraId="5F4B7743" w14:textId="77777777">
      <w:pPr>
        <w:jc w:val="center"/>
        <w:rPr>
          <w:rFonts w:cs="Arial"/>
          <w:color w:val="000000" w:themeColor="text1"/>
          <w:sz w:val="28"/>
          <w:szCs w:val="28"/>
        </w:rPr>
      </w:pPr>
      <w:r w:rsidRPr="005E5B77">
        <w:rPr>
          <w:rFonts w:cs="Arial"/>
          <w:b/>
          <w:color w:val="000000" w:themeColor="text1"/>
          <w:sz w:val="28"/>
          <w:szCs w:val="28"/>
        </w:rPr>
        <w:t>LCHS7000</w:t>
      </w:r>
    </w:p>
    <w:p w:rsidRPr="005E5B77" w:rsidR="00BA747E" w:rsidP="00942382" w:rsidRDefault="00000000" w14:paraId="6D2B2013" w14:textId="77777777">
      <w:pPr>
        <w:jc w:val="center"/>
        <w:rPr>
          <w:rFonts w:cs="Arial"/>
          <w:color w:val="000000" w:themeColor="text1"/>
          <w:sz w:val="28"/>
          <w:szCs w:val="28"/>
        </w:rPr>
      </w:pPr>
      <w:r w:rsidRPr="005E5B77">
        <w:rPr>
          <w:rFonts w:cs="Arial"/>
          <w:b/>
          <w:color w:val="000000" w:themeColor="text1"/>
          <w:sz w:val="28"/>
          <w:szCs w:val="28"/>
        </w:rPr>
        <w:t>Social Epidemiology and Public Health Development</w:t>
      </w:r>
    </w:p>
    <w:p w:rsidRPr="005E5B77" w:rsidR="00BA747E" w:rsidP="00942382" w:rsidRDefault="00000000" w14:paraId="2A7A77D5" w14:textId="77777777">
      <w:pPr>
        <w:spacing w:before="480"/>
        <w:jc w:val="center"/>
        <w:rPr>
          <w:rFonts w:cs="Arial"/>
          <w:color w:val="000000" w:themeColor="text1"/>
          <w:sz w:val="28"/>
          <w:szCs w:val="28"/>
        </w:rPr>
      </w:pPr>
      <w:r w:rsidRPr="005E5B77">
        <w:rPr>
          <w:rFonts w:cs="Arial"/>
          <w:b/>
          <w:color w:val="000000" w:themeColor="text1"/>
          <w:sz w:val="28"/>
          <w:szCs w:val="28"/>
        </w:rPr>
        <w:t>COMPONENT 2: ANALYTICAL REPORT</w:t>
      </w:r>
    </w:p>
    <w:p w:rsidRPr="005E5B77" w:rsidR="00BA747E" w:rsidP="00942382" w:rsidRDefault="00000000" w14:paraId="3753F4D4" w14:textId="77777777">
      <w:pPr>
        <w:jc w:val="center"/>
        <w:rPr>
          <w:rFonts w:cs="Arial"/>
          <w:color w:val="000000" w:themeColor="text1"/>
          <w:sz w:val="28"/>
          <w:szCs w:val="28"/>
        </w:rPr>
      </w:pPr>
      <w:r w:rsidRPr="005E5B77">
        <w:rPr>
          <w:rFonts w:cs="Arial"/>
          <w:i/>
          <w:color w:val="000000" w:themeColor="text1"/>
          <w:sz w:val="28"/>
          <w:szCs w:val="28"/>
        </w:rPr>
        <w:t>Ethnicity, Health Inequality and Type 2 Diabetes in Birmingham</w:t>
      </w:r>
    </w:p>
    <w:p w:rsidRPr="00942382" w:rsidR="00BA747E" w:rsidP="00942382" w:rsidRDefault="00BA747E" w14:paraId="2AE449AD" w14:textId="77777777">
      <w:pPr>
        <w:rPr>
          <w:rFonts w:cs="Arial"/>
          <w:color w:val="000000" w:themeColor="text1"/>
        </w:rPr>
      </w:pPr>
    </w:p>
    <w:p w:rsidRPr="00942382" w:rsidR="000103C7" w:rsidP="00942382" w:rsidRDefault="000103C7" w14:paraId="5759CC16" w14:textId="77777777">
      <w:pPr>
        <w:jc w:val="left"/>
        <w:rPr>
          <w:rFonts w:cs="Arial"/>
          <w:color w:val="000000" w:themeColor="text1"/>
        </w:rPr>
      </w:pPr>
    </w:p>
    <w:p w:rsidR="000103C7" w:rsidP="00942382" w:rsidRDefault="000103C7" w14:paraId="6E00D361" w14:textId="7DA8C81C">
      <w:pPr>
        <w:jc w:val="left"/>
      </w:pPr>
      <w:r w:rsidRPr="1CBE3E30" w:rsidR="140E5013">
        <w:rPr>
          <w:rFonts w:cs="Arial"/>
          <w:color w:val="000000" w:themeColor="text1" w:themeTint="FF" w:themeShade="FF"/>
        </w:rPr>
        <w:t xml:space="preserve">Lecturer: </w:t>
      </w:r>
      <w:r w:rsidRPr="1CBE3E30" w:rsidR="030BDEBE">
        <w:rPr>
          <w:rFonts w:cs="Arial"/>
          <w:color w:val="000000" w:themeColor="text1" w:themeTint="FF" w:themeShade="FF"/>
        </w:rPr>
        <w:t>Junaid Shaikh</w:t>
      </w:r>
    </w:p>
    <w:p w:rsidRPr="00942382" w:rsidR="005E5B77" w:rsidP="00942382" w:rsidRDefault="005E5B77" w14:paraId="33A5EFBE" w14:textId="621DB639">
      <w:pPr>
        <w:jc w:val="left"/>
        <w:rPr>
          <w:rFonts w:cs="Arial"/>
          <w:color w:val="000000" w:themeColor="text1"/>
        </w:rPr>
      </w:pPr>
      <w:r w:rsidRPr="1CBE3E30" w:rsidR="3B97D3CC">
        <w:rPr>
          <w:rFonts w:cs="Arial"/>
          <w:color w:val="000000" w:themeColor="text1" w:themeTint="FF" w:themeShade="FF"/>
        </w:rPr>
        <w:t xml:space="preserve">Module: LCHS7000 Component 2 </w:t>
      </w:r>
      <w:r w:rsidRPr="1CBE3E30" w:rsidR="5A05E79C">
        <w:rPr>
          <w:rFonts w:cs="Arial"/>
          <w:color w:val="000000" w:themeColor="text1" w:themeTint="FF" w:themeShade="FF"/>
        </w:rPr>
        <w:t>Analytical</w:t>
      </w:r>
      <w:r w:rsidRPr="1CBE3E30" w:rsidR="5A05E79C">
        <w:rPr>
          <w:rFonts w:cs="Arial"/>
          <w:color w:val="000000" w:themeColor="text1" w:themeTint="FF" w:themeShade="FF"/>
        </w:rPr>
        <w:t xml:space="preserve"> Report</w:t>
      </w:r>
    </w:p>
    <w:p w:rsidRPr="00942382" w:rsidR="00BA747E" w:rsidP="00942382" w:rsidRDefault="000103C7" w14:paraId="739C268F" w14:textId="3B4603EE">
      <w:pPr>
        <w:jc w:val="left"/>
      </w:pPr>
      <w:r w:rsidRPr="1CBE3E30" w:rsidR="2F523A11">
        <w:rPr>
          <w:rFonts w:cs="Arial"/>
          <w:color w:val="000000" w:themeColor="text1" w:themeTint="FF" w:themeShade="FF"/>
        </w:rPr>
        <w:t xml:space="preserve">Student </w:t>
      </w:r>
      <w:r w:rsidRPr="1CBE3E30" w:rsidR="31B15133">
        <w:rPr>
          <w:rFonts w:cs="Arial"/>
          <w:color w:val="000000" w:themeColor="text1" w:themeTint="FF" w:themeShade="FF"/>
        </w:rPr>
        <w:t>Name: Amreen</w:t>
      </w:r>
      <w:r w:rsidRPr="1CBE3E30" w:rsidR="329318AB">
        <w:rPr>
          <w:rFonts w:cs="Arial"/>
          <w:color w:val="000000" w:themeColor="text1" w:themeTint="FF" w:themeShade="FF"/>
        </w:rPr>
        <w:t xml:space="preserve"> Akhtar</w:t>
      </w:r>
      <w:r>
        <w:br/>
      </w:r>
      <w:r w:rsidRPr="1CBE3E30" w:rsidR="2F523A11">
        <w:rPr>
          <w:rFonts w:cs="Arial"/>
          <w:color w:val="000000" w:themeColor="text1" w:themeTint="FF" w:themeShade="FF"/>
        </w:rPr>
        <w:t>ID:</w:t>
      </w:r>
      <w:r w:rsidRPr="1CBE3E30" w:rsidR="6945A0C6">
        <w:rPr>
          <w:rFonts w:cs="Arial"/>
          <w:color w:val="000000" w:themeColor="text1" w:themeTint="FF" w:themeShade="FF"/>
        </w:rPr>
        <w:t>2214675</w:t>
      </w:r>
      <w:r w:rsidRPr="1CBE3E30" w:rsidR="045AF212">
        <w:rPr>
          <w:rFonts w:cs="Arial"/>
          <w:color w:val="000000" w:themeColor="text1" w:themeTint="FF" w:themeShade="FF"/>
        </w:rPr>
        <w:t xml:space="preserve"> </w:t>
      </w:r>
    </w:p>
    <w:p w:rsidRPr="00942382" w:rsidR="00BA747E" w:rsidP="00942382" w:rsidRDefault="000103C7" w14:paraId="14DBDA2C" w14:textId="79AB86C1">
      <w:pPr>
        <w:jc w:val="left"/>
        <w:rPr>
          <w:rFonts w:cs="Arial"/>
          <w:color w:val="000000" w:themeColor="text1"/>
        </w:rPr>
      </w:pPr>
      <w:r w:rsidRPr="1CBE3E30">
        <w:rPr>
          <w:rFonts w:cs="Arial"/>
          <w:color w:val="000000" w:themeColor="text1" w:themeTint="FF" w:themeShade="FF"/>
        </w:rPr>
        <w:br w:type="page"/>
      </w:r>
    </w:p>
    <w:p w:rsidRPr="00942382" w:rsidR="00BA747E" w:rsidP="00942382" w:rsidRDefault="00000000" w14:paraId="514D94D6" w14:textId="77777777">
      <w:pPr>
        <w:pStyle w:val="Heading1"/>
        <w:rPr>
          <w:rFonts w:ascii="Arial" w:hAnsi="Arial" w:cs="Arial"/>
          <w:color w:val="000000" w:themeColor="text1"/>
          <w:sz w:val="22"/>
          <w:szCs w:val="22"/>
        </w:rPr>
      </w:pPr>
      <w:r w:rsidRPr="00942382">
        <w:rPr>
          <w:rFonts w:ascii="Arial" w:hAnsi="Arial" w:cs="Arial"/>
          <w:color w:val="000000" w:themeColor="text1"/>
          <w:sz w:val="22"/>
          <w:szCs w:val="22"/>
        </w:rPr>
        <w:t>Task 1: Social Epidemiological Analysis</w:t>
      </w:r>
    </w:p>
    <w:p w:rsidRPr="00942382" w:rsidR="00452BFB" w:rsidP="00942382" w:rsidRDefault="00452BFB" w14:paraId="63E5223F" w14:textId="0D2C7D6D">
      <w:pPr>
        <w:pStyle w:val="Heading1"/>
        <w:rPr>
          <w:rFonts w:ascii="Arial" w:hAnsi="Arial" w:cs="Arial"/>
          <w:color w:val="000000" w:themeColor="text1"/>
          <w:sz w:val="22"/>
          <w:szCs w:val="22"/>
        </w:rPr>
      </w:pPr>
      <w:r w:rsidRPr="00942382">
        <w:rPr>
          <w:rFonts w:ascii="Arial" w:hAnsi="Arial" w:cs="Arial"/>
          <w:color w:val="000000" w:themeColor="text1"/>
          <w:sz w:val="22"/>
          <w:szCs w:val="22"/>
        </w:rPr>
        <w:t>Ethnicity and Health Inequality in England: Unequal Risks Across Minority Ethnic Communities</w:t>
      </w:r>
    </w:p>
    <w:p w:rsidRPr="00942382" w:rsidR="00BA747E" w:rsidP="00942382" w:rsidRDefault="00000000" w14:paraId="30273A69" w14:textId="77777777">
      <w:pPr>
        <w:pStyle w:val="Heading2"/>
        <w:rPr>
          <w:rFonts w:ascii="Arial" w:hAnsi="Arial" w:cs="Arial"/>
          <w:color w:val="000000" w:themeColor="text1"/>
          <w:sz w:val="22"/>
          <w:szCs w:val="22"/>
        </w:rPr>
      </w:pPr>
      <w:r w:rsidRPr="00942382">
        <w:rPr>
          <w:rFonts w:ascii="Arial" w:hAnsi="Arial" w:cs="Arial"/>
          <w:color w:val="000000" w:themeColor="text1"/>
          <w:sz w:val="22"/>
          <w:szCs w:val="22"/>
        </w:rPr>
        <w:t>Introduction</w:t>
      </w:r>
    </w:p>
    <w:p w:rsidRPr="00942382" w:rsidR="00D87240" w:rsidP="00942382" w:rsidRDefault="00D87240" w14:paraId="00433847" w14:textId="0D92E6B7">
      <w:pPr>
        <w:spacing w:after="140"/>
        <w:ind w:firstLine="432"/>
        <w:rPr>
          <w:rFonts w:cs="Arial"/>
          <w:color w:val="000000" w:themeColor="text1"/>
        </w:rPr>
      </w:pPr>
      <w:r w:rsidRPr="00942382">
        <w:rPr>
          <w:rFonts w:cs="Arial"/>
          <w:color w:val="000000" w:themeColor="text1"/>
        </w:rPr>
        <w:t>Ethnicity is a socially constructed identity that can be associated with a set of cultural practices, language, religion, national background and/or ancestry. The term “minority ethnic communities” is used with caution because it is a term for a very diverse group of communities, not one specific community. Avoidable health inequality is when health differences in exposure, access, experience and outcomes are patterned by ethnicity. These variations are not sufficiently understood on a biological basis. These are the multiple factors of deprivation, racism, insecure jobs, living conditions, migration background, language, unequal treatment in services and so on that intersect (Kapadia et al., 2022). In this section, disease-related and social inequalities are explored.</w:t>
      </w:r>
    </w:p>
    <w:p w:rsidRPr="00942382" w:rsidR="00D87240" w:rsidP="00942382" w:rsidRDefault="00D87240" w14:paraId="2DD2B9FC" w14:textId="77777777">
      <w:pPr>
        <w:pStyle w:val="Heading2"/>
        <w:rPr>
          <w:rFonts w:ascii="Arial" w:hAnsi="Arial" w:cs="Arial"/>
          <w:color w:val="000000" w:themeColor="text1"/>
          <w:sz w:val="22"/>
          <w:szCs w:val="22"/>
        </w:rPr>
      </w:pPr>
      <w:r w:rsidRPr="00942382">
        <w:rPr>
          <w:rFonts w:ascii="Arial" w:hAnsi="Arial" w:cs="Arial"/>
          <w:color w:val="000000" w:themeColor="text1"/>
          <w:sz w:val="22"/>
          <w:szCs w:val="22"/>
        </w:rPr>
        <w:t>Higher maternal mortality</w:t>
      </w:r>
    </w:p>
    <w:p w:rsidRPr="00942382" w:rsidR="00D87240" w:rsidP="00942382" w:rsidRDefault="00D87240" w14:paraId="0835C940" w14:textId="77777777">
      <w:pPr>
        <w:spacing w:after="140"/>
        <w:ind w:firstLine="432"/>
        <w:rPr>
          <w:rFonts w:cs="Arial"/>
          <w:color w:val="000000" w:themeColor="text1"/>
        </w:rPr>
      </w:pPr>
      <w:r w:rsidRPr="00942382">
        <w:rPr>
          <w:rFonts w:cs="Arial"/>
          <w:color w:val="000000" w:themeColor="text1"/>
        </w:rPr>
        <w:t>Maternal mortality is a big ethnic imbalance. The maternal mortality rates in 2022–2024 were almost three times as high for Black women as for White women, and also high for Asian women (National Perinatal Epidemiology Unit, 2026). If there is a lack of recognition of deterioration, a lack of continuity of care, deprivation, communication breakdown and discrimination, these can all act together and interact, leaving a persistent disparity. It should not be presented as a "cultural deficit. This involves continuity of maternity carers, professional interpretation and improved responses to reported symptoms, ethnicity-sensitive risk review and accountability. Ethnic categories should be used in surveillance as broad categories can mask risks.</w:t>
      </w:r>
    </w:p>
    <w:p w:rsidRPr="00942382" w:rsidR="00D87240" w:rsidP="00942382" w:rsidRDefault="00D87240" w14:paraId="12764FCE" w14:textId="77777777">
      <w:pPr>
        <w:pStyle w:val="Heading2"/>
        <w:rPr>
          <w:rFonts w:ascii="Arial" w:hAnsi="Arial" w:cs="Arial"/>
          <w:color w:val="000000" w:themeColor="text1"/>
          <w:sz w:val="22"/>
          <w:szCs w:val="22"/>
        </w:rPr>
      </w:pPr>
      <w:r w:rsidRPr="00942382">
        <w:rPr>
          <w:rFonts w:ascii="Arial" w:hAnsi="Arial" w:cs="Arial"/>
          <w:color w:val="000000" w:themeColor="text1"/>
          <w:sz w:val="22"/>
          <w:szCs w:val="22"/>
        </w:rPr>
        <w:t>Disproportionate type 2 diabetes and cardiovascular disease</w:t>
      </w:r>
    </w:p>
    <w:p w:rsidRPr="00942382" w:rsidR="00D87240" w:rsidP="00942382" w:rsidRDefault="00D87240" w14:paraId="5FE0441C" w14:textId="30BA2B6C">
      <w:pPr>
        <w:spacing w:after="140"/>
        <w:ind w:firstLine="432"/>
        <w:rPr>
          <w:rFonts w:cs="Arial"/>
          <w:color w:val="000000" w:themeColor="text1"/>
        </w:rPr>
      </w:pPr>
      <w:r w:rsidRPr="00942382">
        <w:rPr>
          <w:rFonts w:cs="Arial"/>
          <w:color w:val="000000" w:themeColor="text1"/>
        </w:rPr>
        <w:t>More prevalent and perhaps at an earlier age in South Asian and Black people, type 2 diabetes and cardiovascular disease are. South Asian, Black, Chinese and Arab groups have lower BMI thresholds for equivalent diabetes risk as compared to White groups, meaning traditional BMI classifications underestimate diabetes risk in these groups (</w:t>
      </w:r>
      <w:proofErr w:type="spellStart"/>
      <w:r w:rsidRPr="00942382">
        <w:rPr>
          <w:rFonts w:cs="Arial"/>
          <w:color w:val="000000" w:themeColor="text1"/>
        </w:rPr>
        <w:t>Caleyachetty</w:t>
      </w:r>
      <w:proofErr w:type="spellEnd"/>
      <w:r w:rsidRPr="00942382">
        <w:rPr>
          <w:rFonts w:cs="Arial"/>
          <w:color w:val="000000" w:themeColor="text1"/>
        </w:rPr>
        <w:t xml:space="preserve"> et al., 2021). Food affordability, neighbourhood design, shift work, chronic stress and access to preventive care all play a role in shaping risk, along with biological susceptibility. Assessment, community screening, specific dietary support and reduced BMI thresholds can enhance detection. Interventions should not stereotype diets and focus on conditions that curtail healthy eating.</w:t>
      </w:r>
    </w:p>
    <w:p w:rsidRPr="00942382" w:rsidR="00D87240" w:rsidP="00942382" w:rsidRDefault="00D87240" w14:paraId="39A1E1CE" w14:textId="77777777">
      <w:pPr>
        <w:pStyle w:val="Heading2"/>
        <w:rPr>
          <w:rFonts w:ascii="Arial" w:hAnsi="Arial" w:cs="Arial"/>
          <w:color w:val="000000" w:themeColor="text1"/>
          <w:sz w:val="22"/>
          <w:szCs w:val="22"/>
        </w:rPr>
      </w:pPr>
      <w:r w:rsidRPr="00942382">
        <w:rPr>
          <w:rFonts w:ascii="Arial" w:hAnsi="Arial" w:cs="Arial"/>
          <w:color w:val="000000" w:themeColor="text1"/>
          <w:sz w:val="22"/>
          <w:szCs w:val="22"/>
        </w:rPr>
        <w:t>Mental ill health and compulsory detention</w:t>
      </w:r>
    </w:p>
    <w:p w:rsidRPr="00942382" w:rsidR="00D87240" w:rsidP="00942382" w:rsidRDefault="00D87240" w14:paraId="12606A70" w14:textId="71209963">
      <w:pPr>
        <w:spacing w:after="140"/>
        <w:ind w:firstLine="432"/>
        <w:rPr>
          <w:rFonts w:cs="Arial"/>
          <w:color w:val="000000" w:themeColor="text1"/>
        </w:rPr>
      </w:pPr>
      <w:r w:rsidRPr="00942382">
        <w:rPr>
          <w:rFonts w:cs="Arial"/>
          <w:color w:val="000000" w:themeColor="text1"/>
        </w:rPr>
        <w:t xml:space="preserve">Coercive mental healthcare is an expression of ethnic inequality. Black people were over four times more likely than White British people to be detained under the Mental Health Act in 2024/25 (Mental Health Act detention rate: 262 per 100,000, compared with 66 per 100,000) and more than eight times as likely as White people to be issued a community treatment order (Care Quality Commission, 2026). Factors that are identified as explanations for this include delays in accessing care, mistrust, crisis pathways, clinician bias and lack of culturally responsive care (Bignall et al., 2020). Equitable responses include earlier community support and peer advocacy and implementation of </w:t>
      </w:r>
      <w:r w:rsidRPr="00942382" w:rsidR="000103C7">
        <w:rPr>
          <w:rFonts w:cs="Arial"/>
          <w:color w:val="000000" w:themeColor="text1"/>
        </w:rPr>
        <w:t xml:space="preserve">the </w:t>
      </w:r>
      <w:r w:rsidRPr="00942382">
        <w:rPr>
          <w:rFonts w:cs="Arial"/>
          <w:color w:val="000000" w:themeColor="text1"/>
        </w:rPr>
        <w:t>Patient and Carer Race Equality Framework. Patient experience, length of stay, detention and pathway should be monitored.</w:t>
      </w:r>
    </w:p>
    <w:p w:rsidRPr="00942382" w:rsidR="00D87240" w:rsidP="00942382" w:rsidRDefault="00D87240" w14:paraId="17E012EC" w14:textId="77777777">
      <w:pPr>
        <w:pStyle w:val="Heading2"/>
        <w:rPr>
          <w:rFonts w:ascii="Arial" w:hAnsi="Arial" w:cs="Arial"/>
          <w:color w:val="000000" w:themeColor="text1"/>
          <w:sz w:val="22"/>
          <w:szCs w:val="22"/>
        </w:rPr>
      </w:pPr>
      <w:r w:rsidRPr="00942382">
        <w:rPr>
          <w:rFonts w:ascii="Arial" w:hAnsi="Arial" w:cs="Arial"/>
          <w:color w:val="000000" w:themeColor="text1"/>
          <w:sz w:val="22"/>
          <w:szCs w:val="22"/>
        </w:rPr>
        <w:t>Poverty and persistent low income</w:t>
      </w:r>
    </w:p>
    <w:p w:rsidRPr="00942382" w:rsidR="00D87240" w:rsidP="00942382" w:rsidRDefault="00D87240" w14:paraId="0A429F1C" w14:textId="1BD27860">
      <w:pPr>
        <w:spacing w:after="140"/>
        <w:ind w:firstLine="432"/>
        <w:rPr>
          <w:rFonts w:cs="Arial"/>
          <w:color w:val="000000" w:themeColor="text1"/>
        </w:rPr>
      </w:pPr>
      <w:r w:rsidRPr="00942382">
        <w:rPr>
          <w:rFonts w:cs="Arial"/>
          <w:color w:val="000000" w:themeColor="text1"/>
        </w:rPr>
        <w:t xml:space="preserve">There is unequal exposure to ill health due to income inequality. The proportion with low income after housing costs was higher than in Bangladeshi-headed (53%) and Pakistani-headed (47%) households than in White British households (18%) in the three years to March 2024 (Department for Work and Pensions, 2025a). Households in Bangladesh, Black African and Pakistani </w:t>
      </w:r>
      <w:r w:rsidRPr="00942382" w:rsidR="000103C7">
        <w:rPr>
          <w:rFonts w:cs="Arial"/>
          <w:color w:val="000000" w:themeColor="text1"/>
        </w:rPr>
        <w:t xml:space="preserve">households </w:t>
      </w:r>
      <w:r w:rsidRPr="00942382">
        <w:rPr>
          <w:rFonts w:cs="Arial"/>
          <w:color w:val="000000" w:themeColor="text1"/>
        </w:rPr>
        <w:t xml:space="preserve">are also more likely to be living in deep poverty (Department for Work and Pensions, 2025b). Poverty has a significant impact on nutrition, heating, transport, stress, and being able to make appointments or take unpaid leave. </w:t>
      </w:r>
    </w:p>
    <w:p w:rsidRPr="00942382" w:rsidR="00D87240" w:rsidP="00942382" w:rsidRDefault="00D87240" w14:paraId="38DEB191" w14:textId="77777777">
      <w:pPr>
        <w:pStyle w:val="Heading2"/>
        <w:rPr>
          <w:rFonts w:ascii="Arial" w:hAnsi="Arial" w:cs="Arial"/>
          <w:color w:val="000000" w:themeColor="text1"/>
          <w:sz w:val="22"/>
          <w:szCs w:val="22"/>
        </w:rPr>
      </w:pPr>
      <w:r w:rsidRPr="00942382">
        <w:rPr>
          <w:rFonts w:ascii="Arial" w:hAnsi="Arial" w:cs="Arial"/>
          <w:color w:val="000000" w:themeColor="text1"/>
          <w:sz w:val="22"/>
          <w:szCs w:val="22"/>
        </w:rPr>
        <w:t>Overcrowded and insecure housing</w:t>
      </w:r>
    </w:p>
    <w:p w:rsidRPr="00942382" w:rsidR="00D87240" w:rsidP="00942382" w:rsidRDefault="00D87240" w14:paraId="524ECA96" w14:textId="3C3CE96A">
      <w:pPr>
        <w:spacing w:after="140"/>
        <w:ind w:firstLine="432"/>
        <w:rPr>
          <w:rFonts w:cs="Arial"/>
          <w:color w:val="000000" w:themeColor="text1"/>
        </w:rPr>
      </w:pPr>
      <w:r w:rsidRPr="00942382">
        <w:rPr>
          <w:rFonts w:cs="Arial"/>
          <w:color w:val="000000" w:themeColor="text1"/>
        </w:rPr>
        <w:t>Ethnic neighbo</w:t>
      </w:r>
      <w:r w:rsidRPr="00942382" w:rsidR="000103C7">
        <w:rPr>
          <w:rFonts w:cs="Arial"/>
          <w:color w:val="000000" w:themeColor="text1"/>
        </w:rPr>
        <w:t>u</w:t>
      </w:r>
      <w:r w:rsidRPr="00942382">
        <w:rPr>
          <w:rFonts w:cs="Arial"/>
          <w:color w:val="000000" w:themeColor="text1"/>
        </w:rPr>
        <w:t xml:space="preserve">rhood typology of housing. The proportion of households with overcrowding is higher for households from ethnic minority backgrounds than for White British households, with 25% of Arab households being overcrowded, 18% of Bangladeshi households being overcrowded, and 16% of households in the Black African ethnic group being overcrowded (Cabinet Office, 2025). Overcrowding can lead to an increased risk of infection, sleep disruption, reduced privacy, increased distress, and make it more difficult to manage diseases at home. The gap does not diminish as homelessness and poor temporary accommodation are not detected in surveys. Authorities </w:t>
      </w:r>
      <w:r w:rsidRPr="00942382" w:rsidR="000103C7">
        <w:rPr>
          <w:rFonts w:cs="Arial"/>
          <w:color w:val="000000" w:themeColor="text1"/>
        </w:rPr>
        <w:t xml:space="preserve">need </w:t>
      </w:r>
      <w:r w:rsidRPr="00942382">
        <w:rPr>
          <w:rFonts w:cs="Arial"/>
          <w:color w:val="000000" w:themeColor="text1"/>
        </w:rPr>
        <w:t xml:space="preserve">to increase affordable housing, standards and link households to support. </w:t>
      </w:r>
    </w:p>
    <w:p w:rsidRPr="00942382" w:rsidR="00D87240" w:rsidP="00942382" w:rsidRDefault="00D87240" w14:paraId="33BEBE33" w14:textId="77777777">
      <w:pPr>
        <w:pStyle w:val="Heading2"/>
        <w:rPr>
          <w:rFonts w:ascii="Arial" w:hAnsi="Arial" w:cs="Arial"/>
          <w:color w:val="000000" w:themeColor="text1"/>
          <w:sz w:val="22"/>
          <w:szCs w:val="22"/>
        </w:rPr>
      </w:pPr>
      <w:r w:rsidRPr="00942382">
        <w:rPr>
          <w:rFonts w:ascii="Arial" w:hAnsi="Arial" w:cs="Arial"/>
          <w:color w:val="000000" w:themeColor="text1"/>
          <w:sz w:val="22"/>
          <w:szCs w:val="22"/>
        </w:rPr>
        <w:t>Unequal access, discrimination and mistrust in healthcare</w:t>
      </w:r>
    </w:p>
    <w:p w:rsidRPr="00942382" w:rsidR="00D87240" w:rsidP="00942382" w:rsidRDefault="00D87240" w14:paraId="37937EF9" w14:textId="07D35271">
      <w:pPr>
        <w:spacing w:after="140"/>
        <w:ind w:firstLine="432"/>
        <w:rPr>
          <w:rFonts w:cs="Arial"/>
          <w:color w:val="000000" w:themeColor="text1"/>
        </w:rPr>
      </w:pPr>
      <w:r w:rsidRPr="00942382">
        <w:rPr>
          <w:rFonts w:cs="Arial"/>
          <w:color w:val="000000" w:themeColor="text1"/>
        </w:rPr>
        <w:t xml:space="preserve">Having access to NHS care does not mean that access is equal or experience is equal. Language barriers, interpreting and limited cultural responsiveness and discrimination are all reported as barriers identified in reviews (Kapadia et al., 2022, NHS Race and Health Observatory, 2025a). Telephone-first and digital systems can be useful to patients but are not helpful to those who are not fluent in English, do not have access to reliable internet or are not confident in using </w:t>
      </w:r>
      <w:r w:rsidRPr="00942382">
        <w:rPr>
          <w:rFonts w:cs="Arial"/>
          <w:color w:val="000000" w:themeColor="text1"/>
        </w:rPr>
        <w:t>digital devices. Negative experiences can erode trust and may cause delays in seeking assistance</w:t>
      </w:r>
      <w:r w:rsidRPr="00942382" w:rsidR="000103C7">
        <w:rPr>
          <w:rFonts w:cs="Arial"/>
          <w:color w:val="000000" w:themeColor="text1"/>
        </w:rPr>
        <w:t>,</w:t>
      </w:r>
      <w:r w:rsidRPr="00942382">
        <w:rPr>
          <w:rFonts w:cs="Arial"/>
          <w:color w:val="000000" w:themeColor="text1"/>
        </w:rPr>
        <w:t xml:space="preserve"> and this may appear to be non-compliance. </w:t>
      </w:r>
    </w:p>
    <w:p w:rsidRPr="00942382" w:rsidR="00D87240" w:rsidP="00942382" w:rsidRDefault="00D87240" w14:paraId="307AE522" w14:textId="77777777">
      <w:pPr>
        <w:pStyle w:val="Heading2"/>
        <w:rPr>
          <w:rFonts w:ascii="Arial" w:hAnsi="Arial" w:cs="Arial"/>
          <w:color w:val="000000" w:themeColor="text1"/>
          <w:sz w:val="22"/>
          <w:szCs w:val="22"/>
        </w:rPr>
      </w:pPr>
      <w:r w:rsidRPr="00942382">
        <w:rPr>
          <w:rFonts w:ascii="Arial" w:hAnsi="Arial" w:cs="Arial"/>
          <w:color w:val="000000" w:themeColor="text1"/>
          <w:sz w:val="22"/>
          <w:szCs w:val="22"/>
        </w:rPr>
        <w:t>National responses to reduce ethnic health inequalities</w:t>
      </w:r>
    </w:p>
    <w:p w:rsidRPr="00942382" w:rsidR="00D87240" w:rsidP="00942382" w:rsidRDefault="00D87240" w14:paraId="75B5188C" w14:textId="18AA2CEE">
      <w:pPr>
        <w:spacing w:after="140"/>
        <w:ind w:firstLine="432"/>
        <w:rPr>
          <w:rFonts w:cs="Arial"/>
          <w:color w:val="000000" w:themeColor="text1"/>
        </w:rPr>
      </w:pPr>
      <w:r w:rsidRPr="00942382">
        <w:rPr>
          <w:rFonts w:cs="Arial"/>
          <w:color w:val="000000" w:themeColor="text1"/>
        </w:rPr>
        <w:t xml:space="preserve">The Core20PLUS5 approach by NHS England is based on the idea that the majority of health systems working in integrated care should focus on five priorities, including the most deprived 20% of the population and the five ‘PLUS' groups, which include minority communities (NHS England, 2025a). The strength of connecting ethnicity with deprivation; however, the impact is dependent on </w:t>
      </w:r>
      <w:r w:rsidRPr="00942382" w:rsidR="000103C7">
        <w:rPr>
          <w:rFonts w:cs="Arial"/>
          <w:color w:val="000000" w:themeColor="text1"/>
        </w:rPr>
        <w:t xml:space="preserve">the </w:t>
      </w:r>
      <w:r w:rsidRPr="00942382">
        <w:rPr>
          <w:rFonts w:cs="Arial"/>
          <w:color w:val="000000" w:themeColor="text1"/>
        </w:rPr>
        <w:t>quality of data</w:t>
      </w:r>
      <w:r w:rsidRPr="00942382" w:rsidR="000103C7">
        <w:rPr>
          <w:rFonts w:cs="Arial"/>
          <w:color w:val="000000" w:themeColor="text1"/>
        </w:rPr>
        <w:t>,</w:t>
      </w:r>
      <w:r w:rsidRPr="00942382">
        <w:rPr>
          <w:rFonts w:cs="Arial"/>
          <w:color w:val="000000" w:themeColor="text1"/>
        </w:rPr>
        <w:t xml:space="preserve"> leadership and resources. The NHS Race and Health Observatory is an organisation that produces evidence and acts as a catalyst for tackling inequities in health and healthcare (NHS Race and Health Observatory, 2025b). The Equality Act 2010 is used as a basis to promote equality (Equality Act 2010). These responses must be disaggregated, involve communities and action to address inequalities.</w:t>
      </w:r>
    </w:p>
    <w:p w:rsidRPr="00942382" w:rsidR="00D87240" w:rsidP="00942382" w:rsidRDefault="00D87240" w14:paraId="3F7BB2D6" w14:textId="77777777">
      <w:pPr>
        <w:pStyle w:val="Heading2"/>
        <w:rPr>
          <w:rFonts w:ascii="Arial" w:hAnsi="Arial" w:cs="Arial"/>
          <w:color w:val="000000" w:themeColor="text1"/>
          <w:sz w:val="22"/>
          <w:szCs w:val="22"/>
        </w:rPr>
      </w:pPr>
      <w:r w:rsidRPr="00942382">
        <w:rPr>
          <w:rFonts w:ascii="Arial" w:hAnsi="Arial" w:cs="Arial"/>
          <w:color w:val="000000" w:themeColor="text1"/>
          <w:sz w:val="22"/>
          <w:szCs w:val="22"/>
        </w:rPr>
        <w:t>Organisation supporting the group: Race Equality Foundation</w:t>
      </w:r>
    </w:p>
    <w:p w:rsidRPr="00942382" w:rsidR="00D87240" w:rsidP="00942382" w:rsidRDefault="00D87240" w14:paraId="07889EE0" w14:textId="00AB7B34">
      <w:pPr>
        <w:spacing w:after="140"/>
        <w:ind w:firstLine="432"/>
        <w:rPr>
          <w:rFonts w:cs="Arial"/>
          <w:color w:val="000000" w:themeColor="text1"/>
        </w:rPr>
      </w:pPr>
      <w:r w:rsidRPr="00942382">
        <w:rPr>
          <w:rFonts w:cs="Arial"/>
          <w:color w:val="000000" w:themeColor="text1"/>
        </w:rPr>
        <w:t>The Race Equality Foundation is a charity that seeks to tackle racial inequality in health, housing and social care. It does publish evidence, is involved with projects and works with organisations to make policy and practice better (Race Equality Foundation, 2023; 2026). Links lived experience and research, addresses racism and gaps in data. Co-production reveals barriers that are not identified in the usual statistics. But charities can</w:t>
      </w:r>
      <w:r w:rsidRPr="00942382" w:rsidR="00516488">
        <w:rPr>
          <w:rFonts w:cs="Arial"/>
          <w:color w:val="000000" w:themeColor="text1"/>
        </w:rPr>
        <w:t>no</w:t>
      </w:r>
      <w:r w:rsidRPr="00942382">
        <w:rPr>
          <w:rFonts w:cs="Arial"/>
          <w:color w:val="000000" w:themeColor="text1"/>
        </w:rPr>
        <w:t>t take the place of statutory responsibility</w:t>
      </w:r>
      <w:r w:rsidRPr="00942382" w:rsidR="000103C7">
        <w:rPr>
          <w:rFonts w:cs="Arial"/>
          <w:color w:val="000000" w:themeColor="text1"/>
        </w:rPr>
        <w:t>;</w:t>
      </w:r>
      <w:r w:rsidRPr="00942382">
        <w:rPr>
          <w:rFonts w:cs="Arial"/>
          <w:color w:val="000000" w:themeColor="text1"/>
        </w:rPr>
        <w:t xml:space="preserve"> their evidence should inform the commissioning of accountable services; public agencies need to provide sufficient funding for equitable services on a national level.</w:t>
      </w:r>
    </w:p>
    <w:p w:rsidRPr="00942382" w:rsidR="00D87240" w:rsidP="00942382" w:rsidRDefault="00D87240" w14:paraId="1F43B6C4" w14:textId="77777777">
      <w:pPr>
        <w:pStyle w:val="Heading2"/>
        <w:rPr>
          <w:rFonts w:ascii="Arial" w:hAnsi="Arial" w:cs="Arial"/>
          <w:color w:val="000000" w:themeColor="text1"/>
          <w:sz w:val="22"/>
          <w:szCs w:val="22"/>
        </w:rPr>
      </w:pPr>
      <w:r w:rsidRPr="00942382">
        <w:rPr>
          <w:rFonts w:ascii="Arial" w:hAnsi="Arial" w:cs="Arial"/>
          <w:color w:val="000000" w:themeColor="text1"/>
          <w:sz w:val="22"/>
          <w:szCs w:val="22"/>
        </w:rPr>
        <w:t>Conclusion</w:t>
      </w:r>
    </w:p>
    <w:p w:rsidRPr="00942382" w:rsidR="00BA747E" w:rsidP="00942382" w:rsidRDefault="00D87240" w14:paraId="7120D9A0" w14:textId="24D8CDFE">
      <w:pPr>
        <w:spacing w:after="140"/>
        <w:ind w:firstLine="432"/>
        <w:rPr>
          <w:rFonts w:cs="Arial"/>
          <w:color w:val="000000" w:themeColor="text1"/>
        </w:rPr>
      </w:pPr>
      <w:r w:rsidRPr="00942382">
        <w:rPr>
          <w:rFonts w:cs="Arial"/>
          <w:color w:val="000000" w:themeColor="text1"/>
        </w:rPr>
        <w:t xml:space="preserve">Ethnic inequalities in health in England are manifested in clinical and social ways. Diabetes and compulsory mental health detention go hand in hand with unequal income, overcrowding and difficulty accessing care, along with maternal mortality. Broad categories are not uniform at </w:t>
      </w:r>
      <w:r w:rsidRPr="00942382" w:rsidR="000103C7">
        <w:rPr>
          <w:rFonts w:cs="Arial"/>
          <w:color w:val="000000" w:themeColor="text1"/>
        </w:rPr>
        <w:t xml:space="preserve">the </w:t>
      </w:r>
      <w:r w:rsidRPr="00942382">
        <w:rPr>
          <w:rFonts w:cs="Arial"/>
          <w:color w:val="000000" w:themeColor="text1"/>
        </w:rPr>
        <w:t>biological level</w:t>
      </w:r>
      <w:r w:rsidRPr="00942382" w:rsidR="000103C7">
        <w:rPr>
          <w:rFonts w:cs="Arial"/>
          <w:color w:val="000000" w:themeColor="text1"/>
        </w:rPr>
        <w:t>,</w:t>
      </w:r>
      <w:r w:rsidRPr="00942382">
        <w:rPr>
          <w:rFonts w:cs="Arial"/>
          <w:color w:val="000000" w:themeColor="text1"/>
        </w:rPr>
        <w:t xml:space="preserve"> but that should not be an excuse not to do something. A response that is effective must be disaggregated, responsive, culturally safe and focus on community participation and action on poverty and discrimination. Improvement requires implementation, local need-led resource allocation, </w:t>
      </w:r>
      <w:r w:rsidRPr="00942382" w:rsidR="000103C7">
        <w:rPr>
          <w:rFonts w:cs="Arial"/>
          <w:color w:val="000000" w:themeColor="text1"/>
        </w:rPr>
        <w:t xml:space="preserve">and </w:t>
      </w:r>
      <w:r w:rsidRPr="00942382">
        <w:rPr>
          <w:rFonts w:cs="Arial"/>
          <w:color w:val="000000" w:themeColor="text1"/>
        </w:rPr>
        <w:t>transparency, while infrastructure is provided by programmes and charities.</w:t>
      </w:r>
    </w:p>
    <w:p w:rsidRPr="00942382" w:rsidR="00BA747E" w:rsidP="00942382" w:rsidRDefault="00000000" w14:paraId="1449C750" w14:textId="77777777">
      <w:pPr>
        <w:rPr>
          <w:rFonts w:cs="Arial"/>
          <w:color w:val="000000" w:themeColor="text1"/>
        </w:rPr>
      </w:pPr>
      <w:r w:rsidRPr="00942382">
        <w:rPr>
          <w:rFonts w:cs="Arial"/>
          <w:color w:val="000000" w:themeColor="text1"/>
        </w:rPr>
        <w:br w:type="page"/>
      </w:r>
    </w:p>
    <w:p w:rsidRPr="00942382" w:rsidR="00BA747E" w:rsidP="00942382" w:rsidRDefault="00000000" w14:paraId="6D700906" w14:textId="77777777">
      <w:pPr>
        <w:pStyle w:val="Heading1"/>
        <w:rPr>
          <w:rFonts w:ascii="Arial" w:hAnsi="Arial" w:cs="Arial"/>
          <w:color w:val="000000" w:themeColor="text1"/>
          <w:sz w:val="22"/>
          <w:szCs w:val="22"/>
        </w:rPr>
      </w:pPr>
      <w:r w:rsidRPr="00942382">
        <w:rPr>
          <w:rFonts w:ascii="Arial" w:hAnsi="Arial" w:cs="Arial"/>
          <w:color w:val="000000" w:themeColor="text1"/>
          <w:sz w:val="22"/>
          <w:szCs w:val="22"/>
        </w:rPr>
        <w:t>Task 2: Epidemiological Analysis</w:t>
      </w:r>
    </w:p>
    <w:p w:rsidRPr="00942382" w:rsidR="00452BFB" w:rsidP="00942382" w:rsidRDefault="00452BFB" w14:paraId="3B9C98C0" w14:textId="1AF3DAC1">
      <w:pPr>
        <w:pStyle w:val="Heading1"/>
        <w:rPr>
          <w:rFonts w:ascii="Arial" w:hAnsi="Arial" w:cs="Arial"/>
          <w:color w:val="000000" w:themeColor="text1"/>
          <w:sz w:val="22"/>
          <w:szCs w:val="22"/>
        </w:rPr>
      </w:pPr>
      <w:r w:rsidRPr="00942382">
        <w:rPr>
          <w:rFonts w:ascii="Arial" w:hAnsi="Arial" w:cs="Arial"/>
          <w:color w:val="000000" w:themeColor="text1"/>
          <w:sz w:val="22"/>
          <w:szCs w:val="22"/>
        </w:rPr>
        <w:t>Epidemiological Identification, Assessment and Management of Type 2 Diabetes among South Asian Adults in Birmingham</w:t>
      </w:r>
    </w:p>
    <w:p w:rsidRPr="00942382" w:rsidR="00BA747E" w:rsidP="00942382" w:rsidRDefault="00000000" w14:paraId="56EE62B2" w14:textId="77777777">
      <w:pPr>
        <w:pStyle w:val="Heading2"/>
        <w:spacing w:before="140" w:after="60"/>
        <w:rPr>
          <w:rFonts w:ascii="Arial" w:hAnsi="Arial" w:cs="Arial"/>
          <w:color w:val="000000" w:themeColor="text1"/>
          <w:sz w:val="22"/>
          <w:szCs w:val="22"/>
        </w:rPr>
      </w:pPr>
      <w:r w:rsidRPr="00942382">
        <w:rPr>
          <w:rFonts w:ascii="Arial" w:hAnsi="Arial" w:cs="Arial"/>
          <w:color w:val="000000" w:themeColor="text1"/>
          <w:sz w:val="22"/>
          <w:szCs w:val="22"/>
        </w:rPr>
        <w:t>Introduction and severity of the public-health problem</w:t>
      </w:r>
    </w:p>
    <w:p w:rsidRPr="00942382" w:rsidR="00DD4C60" w:rsidP="00942382" w:rsidRDefault="00DD4C60" w14:paraId="02136897" w14:textId="6A737602">
      <w:pPr>
        <w:spacing w:after="80"/>
        <w:ind w:firstLine="432"/>
        <w:rPr>
          <w:rFonts w:cs="Arial"/>
          <w:color w:val="000000" w:themeColor="text1"/>
        </w:rPr>
      </w:pPr>
      <w:r w:rsidRPr="00942382">
        <w:rPr>
          <w:rFonts w:cs="Arial"/>
          <w:color w:val="000000" w:themeColor="text1"/>
        </w:rPr>
        <w:t xml:space="preserve">Diabetes mellitus, type 2, is a metabolic disease characterised by </w:t>
      </w:r>
      <w:proofErr w:type="spellStart"/>
      <w:r w:rsidRPr="00942382">
        <w:rPr>
          <w:rFonts w:cs="Arial"/>
          <w:color w:val="000000" w:themeColor="text1"/>
        </w:rPr>
        <w:t>hyperglycaemia</w:t>
      </w:r>
      <w:proofErr w:type="spellEnd"/>
      <w:r w:rsidRPr="00942382">
        <w:rPr>
          <w:rFonts w:cs="Arial"/>
          <w:color w:val="000000" w:themeColor="text1"/>
        </w:rPr>
        <w:t>, which is caused by insulin resistance and insulin deficiency. The uncontrolled disease leads to higher rates of cardiovascular disease, kidney failure, neuropathy, visual loss, lower limb amputation and premature death (World Health Organization, 2024). It also has an impact on employment, the role of family and mental wellbeing, and weight-</w:t>
      </w:r>
      <w:proofErr w:type="spellStart"/>
      <w:r w:rsidRPr="00942382">
        <w:rPr>
          <w:rFonts w:cs="Arial"/>
          <w:color w:val="000000" w:themeColor="text1"/>
        </w:rPr>
        <w:t>centred</w:t>
      </w:r>
      <w:proofErr w:type="spellEnd"/>
      <w:r w:rsidRPr="00942382">
        <w:rPr>
          <w:rFonts w:cs="Arial"/>
          <w:color w:val="000000" w:themeColor="text1"/>
        </w:rPr>
        <w:t xml:space="preserve"> messages can lead to stigma. In 2024, there were 589 million adults (aged 20 to 79) with diabetes globally, of which 43% were undiagnosed, and by 2050, it was estimated that there will be 853 million adults with diabetes (International Diabetes Federation, 2025). In England, 3,713,155 people were registered with type 2 diabetes in 2024/25, but only 58.2% were through all 8 of the recommended annual care processes (NHS England, 2026a). There w</w:t>
      </w:r>
      <w:r w:rsidRPr="00942382" w:rsidR="006032A2">
        <w:rPr>
          <w:rFonts w:cs="Arial"/>
          <w:color w:val="000000" w:themeColor="text1"/>
        </w:rPr>
        <w:t>as a</w:t>
      </w:r>
      <w:r w:rsidRPr="00942382">
        <w:rPr>
          <w:rFonts w:cs="Arial"/>
          <w:color w:val="000000" w:themeColor="text1"/>
        </w:rPr>
        <w:t xml:space="preserve"> 7.9% recorded prevalence of diabetes and almost 6 million UK residents who had diabetes, including undiagnosed (NHS England, 2026b; Diabetes UK, 2025). The scale and preventable complications and inequality justify targeted urgent regional action.</w:t>
      </w:r>
    </w:p>
    <w:p w:rsidRPr="00942382" w:rsidR="00DD4C60" w:rsidP="00942382" w:rsidRDefault="00DD4C60" w14:paraId="3DA02AA5" w14:textId="77777777">
      <w:pPr>
        <w:pStyle w:val="Heading2"/>
        <w:rPr>
          <w:rFonts w:ascii="Arial" w:hAnsi="Arial" w:cs="Arial"/>
          <w:color w:val="000000" w:themeColor="text1"/>
          <w:sz w:val="22"/>
          <w:szCs w:val="22"/>
        </w:rPr>
      </w:pPr>
      <w:r w:rsidRPr="00942382">
        <w:rPr>
          <w:rFonts w:ascii="Arial" w:hAnsi="Arial" w:cs="Arial"/>
          <w:color w:val="000000" w:themeColor="text1"/>
          <w:sz w:val="22"/>
          <w:szCs w:val="22"/>
        </w:rPr>
        <w:t>Defined population and health-needs assessment</w:t>
      </w:r>
    </w:p>
    <w:p w:rsidRPr="00942382" w:rsidR="00DD4C60" w:rsidP="00942382" w:rsidRDefault="00DD4C60" w14:paraId="4490C1DA" w14:textId="6112581E">
      <w:pPr>
        <w:spacing w:after="80"/>
        <w:ind w:firstLine="432"/>
        <w:rPr>
          <w:rFonts w:cs="Arial"/>
          <w:color w:val="000000" w:themeColor="text1"/>
        </w:rPr>
      </w:pPr>
      <w:r w:rsidRPr="00942382">
        <w:rPr>
          <w:rFonts w:cs="Arial"/>
          <w:color w:val="000000" w:themeColor="text1"/>
        </w:rPr>
        <w:t xml:space="preserve">The population is the South Asian population of people aged 25 and above living in Birmingham. The 2021 Census data shows Birmingham's population size of 1.145 million, with 31.0% identifying as Asian, Asian British or Asian Welsh (Office for National Statistics, 2022; 2023). The prevalence of diabetes was higher than the national prevalence at the time (9.1% compared to 7.8%) as reported in local profiles. Analysis of 108,514 Birmingham NHS Health Checks between 2018 and 2023 revealed that deprivation was a strong risk factor for diabetes and prediabetes, with a higher proportion of diabetes and prediabetes being attributable to deprivation in Asian ethnicity compared with other groups (Au-Yeung et al., 2024). A needs assessment should be a triangulation of GP registers, Health Checks, hospital admissions, deprivation, ethnicity, age and community consultation. </w:t>
      </w:r>
    </w:p>
    <w:p w:rsidRPr="00942382" w:rsidR="00DD4C60" w:rsidP="00942382" w:rsidRDefault="00DD4C60" w14:paraId="0069A4BC" w14:textId="77777777">
      <w:pPr>
        <w:pStyle w:val="Heading2"/>
        <w:rPr>
          <w:rFonts w:ascii="Arial" w:hAnsi="Arial" w:cs="Arial"/>
          <w:color w:val="000000" w:themeColor="text1"/>
          <w:sz w:val="22"/>
          <w:szCs w:val="22"/>
        </w:rPr>
      </w:pPr>
      <w:r w:rsidRPr="00942382">
        <w:rPr>
          <w:rFonts w:ascii="Arial" w:hAnsi="Arial" w:cs="Arial"/>
          <w:color w:val="000000" w:themeColor="text1"/>
          <w:sz w:val="22"/>
          <w:szCs w:val="22"/>
        </w:rPr>
        <w:t>Key determinants and risk factors</w:t>
      </w:r>
    </w:p>
    <w:p w:rsidRPr="00942382" w:rsidR="00DD4C60" w:rsidP="00942382" w:rsidRDefault="00DD4C60" w14:paraId="6FE18048" w14:textId="4989581C">
      <w:pPr>
        <w:spacing w:after="80"/>
        <w:ind w:firstLine="432"/>
        <w:rPr>
          <w:rFonts w:cs="Arial"/>
          <w:color w:val="000000" w:themeColor="text1"/>
        </w:rPr>
      </w:pPr>
      <w:r w:rsidRPr="00942382">
        <w:rPr>
          <w:rFonts w:cs="Arial"/>
          <w:color w:val="000000" w:themeColor="text1"/>
        </w:rPr>
        <w:t>Biological, behavioural and structural factors influence risk. Visceral adiposity, lower lean mass and reduced beta-cell reserve may lead to the early onset of type 2 diabetes in South Asian populations at lower BMI (</w:t>
      </w:r>
      <w:proofErr w:type="spellStart"/>
      <w:r w:rsidRPr="00942382">
        <w:rPr>
          <w:rFonts w:cs="Arial"/>
          <w:color w:val="000000" w:themeColor="text1"/>
        </w:rPr>
        <w:t>Caleyachetty</w:t>
      </w:r>
      <w:proofErr w:type="spellEnd"/>
      <w:r w:rsidRPr="00942382">
        <w:rPr>
          <w:rFonts w:cs="Arial"/>
          <w:color w:val="000000" w:themeColor="text1"/>
        </w:rPr>
        <w:t xml:space="preserve"> et al., 2021; Muniyappa and </w:t>
      </w:r>
      <w:proofErr w:type="spellStart"/>
      <w:r w:rsidRPr="00942382">
        <w:rPr>
          <w:rFonts w:cs="Arial"/>
          <w:color w:val="000000" w:themeColor="text1"/>
        </w:rPr>
        <w:t>Narayanappa</w:t>
      </w:r>
      <w:proofErr w:type="spellEnd"/>
      <w:r w:rsidRPr="00942382">
        <w:rPr>
          <w:rFonts w:cs="Arial"/>
          <w:color w:val="000000" w:themeColor="text1"/>
        </w:rPr>
        <w:t xml:space="preserve">, 2024). Family history, gestational diabetes, hypertension, inactivity, </w:t>
      </w:r>
      <w:r w:rsidRPr="00942382" w:rsidR="006032A2">
        <w:rPr>
          <w:rFonts w:cs="Arial"/>
          <w:color w:val="000000" w:themeColor="text1"/>
        </w:rPr>
        <w:t>and energy-</w:t>
      </w:r>
      <w:r w:rsidRPr="00942382">
        <w:rPr>
          <w:rFonts w:cs="Arial"/>
          <w:color w:val="000000" w:themeColor="text1"/>
        </w:rPr>
        <w:t>dense diets are important</w:t>
      </w:r>
      <w:r w:rsidRPr="00942382" w:rsidR="006032A2">
        <w:rPr>
          <w:rFonts w:cs="Arial"/>
          <w:color w:val="000000" w:themeColor="text1"/>
        </w:rPr>
        <w:t>,</w:t>
      </w:r>
      <w:r w:rsidRPr="00942382">
        <w:rPr>
          <w:rFonts w:cs="Arial"/>
          <w:color w:val="000000" w:themeColor="text1"/>
        </w:rPr>
        <w:t xml:space="preserve"> but behaviour is a product of social context. Deprivation can limit safe activity space, healthy food, </w:t>
      </w:r>
      <w:r w:rsidRPr="00942382">
        <w:rPr>
          <w:rFonts w:cs="Arial"/>
          <w:color w:val="000000" w:themeColor="text1"/>
        </w:rPr>
        <w:t xml:space="preserve">work and preventive appointments. Important aspects of the culture, as well as religious habits and family expectations, may have an impact on SELF MANAGEMENT, but they should be investigated and not stereotyped (Iqbal, 2023). Structured education participation may be hindered by language barriers and fatalistic beliefs, while it can be enabled by trusted champions and family support (Abu and </w:t>
      </w:r>
      <w:proofErr w:type="spellStart"/>
      <w:r w:rsidRPr="00942382">
        <w:rPr>
          <w:rFonts w:cs="Arial"/>
          <w:color w:val="000000" w:themeColor="text1"/>
        </w:rPr>
        <w:t>Llahana</w:t>
      </w:r>
      <w:proofErr w:type="spellEnd"/>
      <w:r w:rsidRPr="00942382" w:rsidR="006032A2">
        <w:rPr>
          <w:rFonts w:cs="Arial"/>
          <w:color w:val="000000" w:themeColor="text1"/>
        </w:rPr>
        <w:t>,</w:t>
      </w:r>
      <w:r w:rsidRPr="00942382">
        <w:rPr>
          <w:rFonts w:cs="Arial"/>
          <w:color w:val="000000" w:themeColor="text1"/>
        </w:rPr>
        <w:t xml:space="preserve"> 2025). Risks for cardiometabolic disease may be heightened by air pollution, the quality of housing and stress. </w:t>
      </w:r>
    </w:p>
    <w:p w:rsidRPr="00942382" w:rsidR="00DD4C60" w:rsidP="00942382" w:rsidRDefault="00DD4C60" w14:paraId="39034F02" w14:textId="77777777">
      <w:pPr>
        <w:pStyle w:val="Heading2"/>
        <w:rPr>
          <w:rFonts w:ascii="Arial" w:hAnsi="Arial" w:cs="Arial"/>
          <w:color w:val="000000" w:themeColor="text1"/>
          <w:sz w:val="22"/>
          <w:szCs w:val="22"/>
        </w:rPr>
      </w:pPr>
      <w:r w:rsidRPr="00942382">
        <w:rPr>
          <w:rFonts w:ascii="Arial" w:hAnsi="Arial" w:cs="Arial"/>
          <w:color w:val="000000" w:themeColor="text1"/>
          <w:sz w:val="22"/>
          <w:szCs w:val="22"/>
        </w:rPr>
        <w:t>Epidemiological identification and assessment</w:t>
      </w:r>
    </w:p>
    <w:p w:rsidRPr="00942382" w:rsidR="00BA747E" w:rsidP="00942382" w:rsidRDefault="00DD4C60" w14:paraId="1353F6A3" w14:textId="72C4BC34">
      <w:pPr>
        <w:spacing w:after="80"/>
        <w:ind w:firstLine="432"/>
        <w:rPr>
          <w:rFonts w:cs="Arial"/>
          <w:color w:val="000000" w:themeColor="text1"/>
        </w:rPr>
      </w:pPr>
      <w:r w:rsidRPr="00942382">
        <w:rPr>
          <w:rFonts w:cs="Arial"/>
          <w:color w:val="000000" w:themeColor="text1"/>
        </w:rPr>
        <w:t xml:space="preserve">Patterns in prevalence and incidence should be identified through descriptive epidemiology, by age, sex, ethnicity, deprivation quintile and ward; patterns of HbA1c control and complications; and clusters of low screening uptake. Age </w:t>
      </w:r>
      <w:proofErr w:type="spellStart"/>
      <w:r w:rsidRPr="00942382">
        <w:rPr>
          <w:rFonts w:cs="Arial"/>
          <w:color w:val="000000" w:themeColor="text1"/>
        </w:rPr>
        <w:t>standardisation</w:t>
      </w:r>
      <w:proofErr w:type="spellEnd"/>
      <w:r w:rsidRPr="00942382">
        <w:rPr>
          <w:rFonts w:cs="Arial"/>
          <w:color w:val="000000" w:themeColor="text1"/>
        </w:rPr>
        <w:t xml:space="preserve"> is needed because of variations in the age structures of populations. Association and interaction between ethnicity and deprivation can be tested through analytical studies. The health-check study in Birmingham gives evidence, but due to the retrospective study design, it does not confirm temporality and the participants may differ from those who did not attend (Au-Yeung et al., 2024). Evidence from prospective cohorts, such as SABRE, enhances long-term understanding of cardiometabolic differences, but some caution is needed with respect to historical cohorts, which may not represent migration and services (Jones et al., 2020). Relative risks are appropriate for cohort studies, and odds ratios are appropriate for logistic regression and case-control studies. </w:t>
      </w:r>
    </w:p>
    <w:p w:rsidRPr="00942382" w:rsidR="00BA747E" w:rsidP="00942382" w:rsidRDefault="00000000" w14:paraId="17298211" w14:textId="77777777">
      <w:pPr>
        <w:pStyle w:val="Heading2"/>
        <w:spacing w:before="140" w:after="60"/>
        <w:rPr>
          <w:rFonts w:ascii="Arial" w:hAnsi="Arial" w:cs="Arial"/>
          <w:color w:val="000000" w:themeColor="text1"/>
          <w:sz w:val="22"/>
          <w:szCs w:val="22"/>
        </w:rPr>
      </w:pPr>
      <w:r w:rsidRPr="00942382">
        <w:rPr>
          <w:rFonts w:ascii="Arial" w:hAnsi="Arial" w:cs="Arial"/>
          <w:color w:val="000000" w:themeColor="text1"/>
          <w:sz w:val="22"/>
          <w:szCs w:val="22"/>
        </w:rPr>
        <w:t>Surveillance and monitoring systems</w:t>
      </w:r>
    </w:p>
    <w:p w:rsidRPr="00942382" w:rsidR="00DD4C60" w:rsidP="00942382" w:rsidRDefault="00DD4C60" w14:paraId="6D760F85" w14:textId="6DA8E58B">
      <w:pPr>
        <w:spacing w:after="80"/>
        <w:ind w:firstLine="432"/>
        <w:rPr>
          <w:rFonts w:cs="Arial"/>
          <w:color w:val="000000" w:themeColor="text1"/>
        </w:rPr>
      </w:pPr>
      <w:r w:rsidRPr="00942382">
        <w:rPr>
          <w:rFonts w:cs="Arial"/>
          <w:color w:val="000000" w:themeColor="text1"/>
        </w:rPr>
        <w:t>There needs to be a surveillance system in place. Focusing on the Quality and Outcomes Framework registers, the National Diabetes Audit, Hospital Episode Statistics, prescribing, renal records, eye-screening records and mortality records should be used for passive surveillance. Sources include continuity and denominators</w:t>
      </w:r>
      <w:r w:rsidRPr="00942382" w:rsidR="006032A2">
        <w:rPr>
          <w:rFonts w:cs="Arial"/>
          <w:color w:val="000000" w:themeColor="text1"/>
        </w:rPr>
        <w:t>,</w:t>
      </w:r>
      <w:r w:rsidRPr="00942382">
        <w:rPr>
          <w:rFonts w:cs="Arial"/>
          <w:color w:val="000000" w:themeColor="text1"/>
        </w:rPr>
        <w:t xml:space="preserve"> which are reliant on coding, full ethnicity recording and GP registration. The recommendation for active surveillance should also include the addition of Health Checks, HbA1c testing in community and faith settings, and follow-up of those with non-diabetic </w:t>
      </w:r>
      <w:proofErr w:type="spellStart"/>
      <w:r w:rsidRPr="00942382">
        <w:rPr>
          <w:rFonts w:cs="Arial"/>
          <w:color w:val="000000" w:themeColor="text1"/>
        </w:rPr>
        <w:t>hyperglycaemia</w:t>
      </w:r>
      <w:proofErr w:type="spellEnd"/>
      <w:r w:rsidRPr="00942382">
        <w:rPr>
          <w:rFonts w:cs="Arial"/>
          <w:color w:val="000000" w:themeColor="text1"/>
        </w:rPr>
        <w:t>. There may be quicker information on uptake and outcomes from sentinel surveillance of practices and pharmacies in high</w:t>
      </w:r>
      <w:r w:rsidRPr="00942382" w:rsidR="006032A2">
        <w:rPr>
          <w:rFonts w:cs="Arial"/>
          <w:color w:val="000000" w:themeColor="text1"/>
        </w:rPr>
        <w:t>-</w:t>
      </w:r>
      <w:r w:rsidRPr="00942382">
        <w:rPr>
          <w:rFonts w:cs="Arial"/>
          <w:color w:val="000000" w:themeColor="text1"/>
        </w:rPr>
        <w:t xml:space="preserve">risk wards, but this is not necessarily representative. Syndromic surveillance of emergency presentations for </w:t>
      </w:r>
      <w:proofErr w:type="spellStart"/>
      <w:r w:rsidRPr="00942382">
        <w:rPr>
          <w:rFonts w:cs="Arial"/>
          <w:color w:val="000000" w:themeColor="text1"/>
        </w:rPr>
        <w:t>hyperglycaemia</w:t>
      </w:r>
      <w:proofErr w:type="spellEnd"/>
      <w:r w:rsidRPr="00942382">
        <w:rPr>
          <w:rFonts w:cs="Arial"/>
          <w:color w:val="000000" w:themeColor="text1"/>
        </w:rPr>
        <w:t xml:space="preserve"> and complications could be used to identify pressure, but is not a sensitive indicator of the incidence of the problem. A consistent NHS identifier and self-reported ethnicity would identify pathways from risk to diagnosis and complications. </w:t>
      </w:r>
    </w:p>
    <w:p w:rsidRPr="00942382" w:rsidR="00DD4C60" w:rsidP="00942382" w:rsidRDefault="00DD4C60" w14:paraId="653E4352" w14:textId="77777777">
      <w:pPr>
        <w:pStyle w:val="Heading2"/>
        <w:rPr>
          <w:rFonts w:ascii="Arial" w:hAnsi="Arial" w:cs="Arial"/>
          <w:color w:val="000000" w:themeColor="text1"/>
          <w:sz w:val="22"/>
          <w:szCs w:val="22"/>
        </w:rPr>
      </w:pPr>
      <w:r w:rsidRPr="00942382">
        <w:rPr>
          <w:rFonts w:ascii="Arial" w:hAnsi="Arial" w:cs="Arial"/>
          <w:color w:val="000000" w:themeColor="text1"/>
          <w:sz w:val="22"/>
          <w:szCs w:val="22"/>
        </w:rPr>
        <w:t>Public-health measures using prevention, protection and promotion</w:t>
      </w:r>
    </w:p>
    <w:p w:rsidRPr="00942382" w:rsidR="00DD4C60" w:rsidP="00942382" w:rsidRDefault="00DD4C60" w14:paraId="20A9911C" w14:textId="2A4030EE">
      <w:pPr>
        <w:spacing w:after="80"/>
        <w:ind w:firstLine="432"/>
        <w:rPr>
          <w:rFonts w:cs="Arial"/>
          <w:color w:val="000000" w:themeColor="text1"/>
        </w:rPr>
      </w:pPr>
      <w:r w:rsidRPr="00942382">
        <w:rPr>
          <w:rFonts w:cs="Arial"/>
          <w:color w:val="000000" w:themeColor="text1"/>
        </w:rPr>
        <w:t xml:space="preserve">Prevention should also involve risk assessment from the age of 25, for South Asian adults, lower BMI thresholds, referral of adults to the NHS Diabetes Prevention </w:t>
      </w:r>
      <w:proofErr w:type="spellStart"/>
      <w:r w:rsidRPr="00942382">
        <w:rPr>
          <w:rFonts w:cs="Arial"/>
          <w:color w:val="000000" w:themeColor="text1"/>
        </w:rPr>
        <w:t>Programme</w:t>
      </w:r>
      <w:proofErr w:type="spellEnd"/>
      <w:r w:rsidRPr="00942382">
        <w:rPr>
          <w:rFonts w:cs="Arial"/>
          <w:color w:val="000000" w:themeColor="text1"/>
        </w:rPr>
        <w:t xml:space="preserve"> and the </w:t>
      </w:r>
      <w:r w:rsidRPr="00942382">
        <w:rPr>
          <w:rFonts w:cs="Arial"/>
          <w:color w:val="000000" w:themeColor="text1"/>
        </w:rPr>
        <w:t xml:space="preserve">management of prediabetes. The </w:t>
      </w:r>
      <w:proofErr w:type="spellStart"/>
      <w:r w:rsidRPr="00942382">
        <w:rPr>
          <w:rFonts w:cs="Arial"/>
          <w:color w:val="000000" w:themeColor="text1"/>
        </w:rPr>
        <w:t>programme</w:t>
      </w:r>
      <w:proofErr w:type="spellEnd"/>
      <w:r w:rsidRPr="00942382">
        <w:rPr>
          <w:rFonts w:cs="Arial"/>
          <w:color w:val="000000" w:themeColor="text1"/>
        </w:rPr>
        <w:t xml:space="preserve"> has been shown to reduce progression; however, evaluations have found differences in the number of pupils referred, attending and represented in the </w:t>
      </w:r>
      <w:proofErr w:type="spellStart"/>
      <w:r w:rsidRPr="00942382">
        <w:rPr>
          <w:rFonts w:cs="Arial"/>
          <w:color w:val="000000" w:themeColor="text1"/>
        </w:rPr>
        <w:t>programme</w:t>
      </w:r>
      <w:proofErr w:type="spellEnd"/>
      <w:r w:rsidRPr="00942382">
        <w:rPr>
          <w:rFonts w:cs="Arial"/>
          <w:color w:val="000000" w:themeColor="text1"/>
        </w:rPr>
        <w:t xml:space="preserve"> (NHS England, 2025b; </w:t>
      </w:r>
      <w:proofErr w:type="spellStart"/>
      <w:r w:rsidRPr="00942382">
        <w:rPr>
          <w:rFonts w:cs="Arial"/>
          <w:color w:val="000000" w:themeColor="text1"/>
        </w:rPr>
        <w:t>Valabhji</w:t>
      </w:r>
      <w:proofErr w:type="spellEnd"/>
      <w:r w:rsidRPr="00942382">
        <w:rPr>
          <w:rFonts w:cs="Arial"/>
          <w:color w:val="000000" w:themeColor="text1"/>
        </w:rPr>
        <w:t xml:space="preserve"> et al., 2020; Hawkes et al., 2020; Whelan and Bell, 2022). Protection includes care processes, screening of the retina and feet, blood pressure and lipids, renal monitoring, safe prescribing and evidence-based treatment (National Institute for Health and Care Excellence, 2026). Promotion should continue to include community workers, bilingual diabetes education activities, food demonstrations, and family-based activities and partnerships with the faith community to raise diabetes awareness. Within the Ottawa Charter, personal skills, supportive environments, community action, reoriented services and healthy policy are supported (World Health Organization, 1986). While education can have a limited impact if transport, insecure employment, food prices, or digital exclusion hinder participation, digital delivery can increase choice but not diminish access inequalities (Marsden et al., 2023). It should be commissioning practical support </w:t>
      </w:r>
      <w:r w:rsidRPr="00942382" w:rsidR="006032A2">
        <w:rPr>
          <w:rFonts w:cs="Arial"/>
          <w:color w:val="000000" w:themeColor="text1"/>
        </w:rPr>
        <w:t>alongside the</w:t>
      </w:r>
      <w:r w:rsidRPr="00942382">
        <w:rPr>
          <w:rFonts w:cs="Arial"/>
          <w:color w:val="000000" w:themeColor="text1"/>
        </w:rPr>
        <w:t xml:space="preserve"> information.</w:t>
      </w:r>
    </w:p>
    <w:p w:rsidRPr="00942382" w:rsidR="00DD4C60" w:rsidP="00942382" w:rsidRDefault="00DD4C60" w14:paraId="24309D5D" w14:textId="77777777">
      <w:pPr>
        <w:pStyle w:val="Heading2"/>
        <w:rPr>
          <w:rFonts w:ascii="Arial" w:hAnsi="Arial" w:cs="Arial"/>
          <w:color w:val="000000" w:themeColor="text1"/>
          <w:sz w:val="22"/>
          <w:szCs w:val="22"/>
        </w:rPr>
      </w:pPr>
      <w:r w:rsidRPr="00942382">
        <w:rPr>
          <w:rFonts w:ascii="Arial" w:hAnsi="Arial" w:cs="Arial"/>
          <w:color w:val="000000" w:themeColor="text1"/>
          <w:sz w:val="22"/>
          <w:szCs w:val="22"/>
        </w:rPr>
        <w:t xml:space="preserve">Proposed intervention: Birmingham South Asian Diabetes Equity </w:t>
      </w:r>
      <w:proofErr w:type="spellStart"/>
      <w:r w:rsidRPr="00942382">
        <w:rPr>
          <w:rFonts w:ascii="Arial" w:hAnsi="Arial" w:cs="Arial"/>
          <w:color w:val="000000" w:themeColor="text1"/>
          <w:sz w:val="22"/>
          <w:szCs w:val="22"/>
        </w:rPr>
        <w:t>Programme</w:t>
      </w:r>
      <w:proofErr w:type="spellEnd"/>
    </w:p>
    <w:p w:rsidRPr="00942382" w:rsidR="00DD4C60" w:rsidP="00942382" w:rsidRDefault="00DD4C60" w14:paraId="7811C97B" w14:textId="1BF61DC8">
      <w:pPr>
        <w:spacing w:after="80"/>
        <w:ind w:firstLine="432"/>
        <w:rPr>
          <w:rFonts w:cs="Arial"/>
          <w:color w:val="000000" w:themeColor="text1"/>
        </w:rPr>
      </w:pPr>
      <w:r w:rsidRPr="00942382">
        <w:rPr>
          <w:rFonts w:cs="Arial"/>
          <w:color w:val="000000" w:themeColor="text1"/>
        </w:rPr>
        <w:t xml:space="preserve">This Birmingham South Asian Diabetes Equity </w:t>
      </w:r>
      <w:proofErr w:type="spellStart"/>
      <w:r w:rsidRPr="00942382">
        <w:rPr>
          <w:rFonts w:cs="Arial"/>
          <w:color w:val="000000" w:themeColor="text1"/>
        </w:rPr>
        <w:t>Programme</w:t>
      </w:r>
      <w:proofErr w:type="spellEnd"/>
      <w:r w:rsidRPr="00942382">
        <w:rPr>
          <w:rFonts w:cs="Arial"/>
          <w:color w:val="000000" w:themeColor="text1"/>
        </w:rPr>
        <w:t xml:space="preserve"> would run in high</w:t>
      </w:r>
      <w:r w:rsidRPr="00942382" w:rsidR="006032A2">
        <w:rPr>
          <w:rFonts w:cs="Arial"/>
          <w:color w:val="000000" w:themeColor="text1"/>
        </w:rPr>
        <w:t>-</w:t>
      </w:r>
      <w:r w:rsidRPr="00942382">
        <w:rPr>
          <w:rFonts w:cs="Arial"/>
          <w:color w:val="000000" w:themeColor="text1"/>
        </w:rPr>
        <w:t xml:space="preserve">prevalence wards for 18 months. The SMART goals are: To drive up risk assessment for eligible SA adults by 20%, refer 80% of the high-risk adults, achieve 60% attendance of the referred and improve mean HbA1c in those with poor control by 3 mmol/mol at 12 months. Risk lists would be created by general practices and screening and navigation would be provided by bilingual community health workers in mosques, temples, gurdwaras, community </w:t>
      </w:r>
      <w:proofErr w:type="spellStart"/>
      <w:r w:rsidRPr="00942382">
        <w:rPr>
          <w:rFonts w:cs="Arial"/>
          <w:color w:val="000000" w:themeColor="text1"/>
        </w:rPr>
        <w:t>centres</w:t>
      </w:r>
      <w:proofErr w:type="spellEnd"/>
      <w:r w:rsidRPr="00942382">
        <w:rPr>
          <w:rFonts w:cs="Arial"/>
          <w:color w:val="000000" w:themeColor="text1"/>
        </w:rPr>
        <w:t xml:space="preserve"> and pharmacies. Participants would select face-to-face, group, family or digital support but understand that digital programmes can extend reach but create exclusion (Ross et al., 2022). Sessions would be adapted </w:t>
      </w:r>
      <w:r w:rsidRPr="00942382" w:rsidR="006032A2">
        <w:rPr>
          <w:rFonts w:cs="Arial"/>
          <w:color w:val="000000" w:themeColor="text1"/>
        </w:rPr>
        <w:t>to</w:t>
      </w:r>
      <w:r w:rsidRPr="00942382">
        <w:rPr>
          <w:rFonts w:cs="Arial"/>
          <w:color w:val="000000" w:themeColor="text1"/>
        </w:rPr>
        <w:t xml:space="preserve"> familiar foods, medication beliefs would be discussed, and women-only or flexible time sessions would be provided when requested. Feedback would be provided on missed care processes and unequal outcomes to practices. Culturally-tailored programs can have greater engagement and metabolic benefits, although effects are variable and there is limited long-term evidence (Farhat et al., 2024). Co-design is not a one-off consultation, but should be ongoing during implementation.</w:t>
      </w:r>
    </w:p>
    <w:p w:rsidRPr="00942382" w:rsidR="00DD4C60" w:rsidP="00942382" w:rsidRDefault="00DD4C60" w14:paraId="5D6B6593" w14:textId="77777777">
      <w:pPr>
        <w:pStyle w:val="Heading2"/>
        <w:rPr>
          <w:rFonts w:ascii="Arial" w:hAnsi="Arial" w:cs="Arial"/>
          <w:color w:val="000000" w:themeColor="text1"/>
          <w:sz w:val="22"/>
          <w:szCs w:val="22"/>
        </w:rPr>
      </w:pPr>
      <w:r w:rsidRPr="00942382">
        <w:rPr>
          <w:rFonts w:ascii="Arial" w:hAnsi="Arial" w:cs="Arial"/>
          <w:color w:val="000000" w:themeColor="text1"/>
          <w:sz w:val="22"/>
          <w:szCs w:val="22"/>
        </w:rPr>
        <w:t>Evaluation of the proposed intervention</w:t>
      </w:r>
    </w:p>
    <w:p w:rsidRPr="00942382" w:rsidR="00DD4C60" w:rsidP="00942382" w:rsidRDefault="00DD4C60" w14:paraId="7C2495D6" w14:textId="41AD96A4">
      <w:pPr>
        <w:spacing w:after="80"/>
        <w:ind w:firstLine="432"/>
        <w:rPr>
          <w:rFonts w:cs="Arial"/>
          <w:color w:val="000000" w:themeColor="text1"/>
        </w:rPr>
      </w:pPr>
      <w:r w:rsidRPr="00942382">
        <w:rPr>
          <w:rFonts w:cs="Arial"/>
          <w:color w:val="000000" w:themeColor="text1"/>
        </w:rPr>
        <w:t>Evaluation needs to integrate process, impact</w:t>
      </w:r>
      <w:r w:rsidRPr="00942382" w:rsidR="006032A2">
        <w:rPr>
          <w:rFonts w:cs="Arial"/>
          <w:color w:val="000000" w:themeColor="text1"/>
        </w:rPr>
        <w:t>,</w:t>
      </w:r>
      <w:r w:rsidRPr="00942382">
        <w:rPr>
          <w:rFonts w:cs="Arial"/>
          <w:color w:val="000000" w:themeColor="text1"/>
        </w:rPr>
        <w:t xml:space="preserve"> outcome and economic measures. Process indicators might be: reach by ward, age, sex, language and deprivation; referral completion; attendance; fidelity; waiting time; acceptability and withdrawal. At 3-6 months, impact measures would be diabetes knowledge, self-efficacy, diet, activity, weight, HbA1c. New diagnosis, progression from prediabetes, achievement of treatment targets and emergency admissions would be outcomes at 12 and 18 months. Cost-effectiveness would estimate cost per additional person </w:t>
      </w:r>
      <w:r w:rsidRPr="00942382">
        <w:rPr>
          <w:rFonts w:cs="Arial"/>
          <w:color w:val="000000" w:themeColor="text1"/>
        </w:rPr>
        <w:t>screened, high-risk participant engaged and HbA1c improvement. Before/after evaluation is less credible than a stepped-wedge or matched-comparison design, but may be contaminated. It is important that multivariable analysis control</w:t>
      </w:r>
      <w:r w:rsidRPr="00942382" w:rsidR="00761C08">
        <w:rPr>
          <w:rFonts w:cs="Arial"/>
          <w:color w:val="000000" w:themeColor="text1"/>
        </w:rPr>
        <w:t>s</w:t>
      </w:r>
      <w:r w:rsidRPr="00942382">
        <w:rPr>
          <w:rFonts w:cs="Arial"/>
          <w:color w:val="000000" w:themeColor="text1"/>
        </w:rPr>
        <w:t xml:space="preserve"> for baseline differences and report</w:t>
      </w:r>
      <w:r w:rsidRPr="00942382" w:rsidR="00761C08">
        <w:rPr>
          <w:rFonts w:cs="Arial"/>
          <w:color w:val="000000" w:themeColor="text1"/>
        </w:rPr>
        <w:t>s</w:t>
      </w:r>
      <w:r w:rsidRPr="00942382">
        <w:rPr>
          <w:rFonts w:cs="Arial"/>
          <w:color w:val="000000" w:themeColor="text1"/>
        </w:rPr>
        <w:t xml:space="preserve"> differential effects, rather than an average. The interviews with the participants, non-participants and staff would create the explanation of the mechanisms and unintended consequences. The Medical Research Council (MRC) framework encourages focus on context, implementation and mechanisms in addition to effectiveness (Skivington et al., 2021).</w:t>
      </w:r>
    </w:p>
    <w:p w:rsidRPr="00942382" w:rsidR="00DD4C60" w:rsidP="00942382" w:rsidRDefault="00DD4C60" w14:paraId="22951FFD" w14:textId="77777777">
      <w:pPr>
        <w:pStyle w:val="Heading2"/>
        <w:rPr>
          <w:rFonts w:ascii="Arial" w:hAnsi="Arial" w:cs="Arial"/>
          <w:color w:val="000000" w:themeColor="text1"/>
          <w:sz w:val="22"/>
          <w:szCs w:val="22"/>
        </w:rPr>
      </w:pPr>
      <w:r w:rsidRPr="00942382">
        <w:rPr>
          <w:rFonts w:ascii="Arial" w:hAnsi="Arial" w:cs="Arial"/>
          <w:color w:val="000000" w:themeColor="text1"/>
          <w:sz w:val="22"/>
          <w:szCs w:val="22"/>
        </w:rPr>
        <w:t>Strengths, weaknesses and limitations</w:t>
      </w:r>
    </w:p>
    <w:p w:rsidRPr="00942382" w:rsidR="00DD4C60" w:rsidP="00942382" w:rsidRDefault="00DD4C60" w14:paraId="4DF90074" w14:textId="46B7BBD5">
      <w:pPr>
        <w:spacing w:after="80"/>
        <w:ind w:firstLine="432"/>
        <w:rPr>
          <w:rFonts w:cs="Arial"/>
          <w:color w:val="000000" w:themeColor="text1"/>
        </w:rPr>
      </w:pPr>
      <w:r w:rsidRPr="00942382">
        <w:rPr>
          <w:rFonts w:cs="Arial"/>
          <w:color w:val="000000" w:themeColor="text1"/>
        </w:rPr>
        <w:t>This approach is based on a local population, multiple surveillance sources, social determinants and relevant evidence. Disaggregated monitoring can be used to focus resources rather than on averages for a city. However, ethnicity may be missing or inconsistently recorded, denominator populations may vary, the lack of disease among undiagnosed individuals is not captured</w:t>
      </w:r>
      <w:r w:rsidRPr="00942382" w:rsidR="00761C08">
        <w:rPr>
          <w:rFonts w:cs="Arial"/>
          <w:color w:val="000000" w:themeColor="text1"/>
        </w:rPr>
        <w:t>,</w:t>
      </w:r>
      <w:r w:rsidRPr="00942382">
        <w:rPr>
          <w:rFonts w:cs="Arial"/>
          <w:color w:val="000000" w:themeColor="text1"/>
        </w:rPr>
        <w:t xml:space="preserve"> and the Health Check attendees are self-selected. Ecological ward</w:t>
      </w:r>
      <w:r w:rsidRPr="00942382" w:rsidR="00761C08">
        <w:rPr>
          <w:rFonts w:cs="Arial"/>
          <w:color w:val="000000" w:themeColor="text1"/>
        </w:rPr>
        <w:t>-</w:t>
      </w:r>
      <w:r w:rsidRPr="00942382">
        <w:rPr>
          <w:rFonts w:cs="Arial"/>
          <w:color w:val="000000" w:themeColor="text1"/>
        </w:rPr>
        <w:t xml:space="preserve">level associations </w:t>
      </w:r>
      <w:r w:rsidRPr="00942382" w:rsidR="00761C08">
        <w:rPr>
          <w:rFonts w:cs="Arial"/>
          <w:color w:val="000000" w:themeColor="text1"/>
        </w:rPr>
        <w:t>do not apply</w:t>
      </w:r>
      <w:r w:rsidRPr="00942382">
        <w:rPr>
          <w:rFonts w:cs="Arial"/>
          <w:color w:val="000000" w:themeColor="text1"/>
        </w:rPr>
        <w:t xml:space="preserve"> to individuals. HbA1c improvements could be due to </w:t>
      </w:r>
      <w:r w:rsidRPr="00942382" w:rsidR="00761C08">
        <w:rPr>
          <w:rFonts w:cs="Arial"/>
          <w:color w:val="000000" w:themeColor="text1"/>
        </w:rPr>
        <w:t xml:space="preserve">a </w:t>
      </w:r>
      <w:r w:rsidRPr="00942382">
        <w:rPr>
          <w:rFonts w:cs="Arial"/>
          <w:color w:val="000000" w:themeColor="text1"/>
        </w:rPr>
        <w:t xml:space="preserve">change in medication or due to return toward the mean, and comparison areas could have other initiatives. Cultural tailoring can increase relevance, but can also </w:t>
      </w:r>
      <w:proofErr w:type="spellStart"/>
      <w:r w:rsidRPr="00942382">
        <w:rPr>
          <w:rFonts w:cs="Arial"/>
          <w:color w:val="000000" w:themeColor="text1"/>
        </w:rPr>
        <w:t>essentialise</w:t>
      </w:r>
      <w:proofErr w:type="spellEnd"/>
      <w:r w:rsidRPr="00942382">
        <w:rPr>
          <w:rFonts w:cs="Arial"/>
          <w:color w:val="000000" w:themeColor="text1"/>
        </w:rPr>
        <w:t xml:space="preserve"> communities if people are just ticking off the boxes to participate. Missing data should be described, multiple imputation should be included where reasonable assumptions can be made</w:t>
      </w:r>
      <w:r w:rsidRPr="00942382" w:rsidR="00761C08">
        <w:rPr>
          <w:rFonts w:cs="Arial"/>
          <w:color w:val="000000" w:themeColor="text1"/>
        </w:rPr>
        <w:t>,</w:t>
      </w:r>
      <w:r w:rsidRPr="00942382">
        <w:rPr>
          <w:rFonts w:cs="Arial"/>
          <w:color w:val="000000" w:themeColor="text1"/>
        </w:rPr>
        <w:t xml:space="preserve"> and results should be examined with alternative definitions of cases. </w:t>
      </w:r>
    </w:p>
    <w:p w:rsidRPr="00942382" w:rsidR="00DD4C60" w:rsidP="00942382" w:rsidRDefault="00DD4C60" w14:paraId="64935049" w14:textId="77777777">
      <w:pPr>
        <w:pStyle w:val="Heading2"/>
        <w:rPr>
          <w:rFonts w:ascii="Arial" w:hAnsi="Arial" w:cs="Arial"/>
          <w:color w:val="000000" w:themeColor="text1"/>
          <w:sz w:val="22"/>
          <w:szCs w:val="22"/>
        </w:rPr>
      </w:pPr>
      <w:r w:rsidRPr="00942382">
        <w:rPr>
          <w:rFonts w:ascii="Arial" w:hAnsi="Arial" w:cs="Arial"/>
          <w:color w:val="000000" w:themeColor="text1"/>
          <w:sz w:val="22"/>
          <w:szCs w:val="22"/>
        </w:rPr>
        <w:t>Conclusion</w:t>
      </w:r>
    </w:p>
    <w:p w:rsidRPr="00942382" w:rsidR="00BA747E" w:rsidP="00942382" w:rsidRDefault="00DD4C60" w14:paraId="656F144B" w14:textId="524EBE57">
      <w:pPr>
        <w:spacing w:after="80"/>
        <w:ind w:firstLine="432"/>
        <w:rPr>
          <w:rFonts w:cs="Arial"/>
          <w:color w:val="000000" w:themeColor="text1"/>
        </w:rPr>
      </w:pPr>
      <w:r w:rsidRPr="00942382">
        <w:rPr>
          <w:rFonts w:cs="Arial"/>
          <w:color w:val="000000" w:themeColor="text1"/>
        </w:rPr>
        <w:t>Type 2 Diabetes in South Asian adults in Birmingham is a public health issue that is not equally distributed and influenced by metabolic susceptibility, deprivation, and environment and health services. Epidemiology is able to delineate affected groups and gaps in services</w:t>
      </w:r>
      <w:r w:rsidRPr="00942382" w:rsidR="00761C08">
        <w:rPr>
          <w:rFonts w:cs="Arial"/>
          <w:color w:val="000000" w:themeColor="text1"/>
        </w:rPr>
        <w:t>,</w:t>
      </w:r>
      <w:r w:rsidRPr="00942382">
        <w:rPr>
          <w:rFonts w:cs="Arial"/>
          <w:color w:val="000000" w:themeColor="text1"/>
        </w:rPr>
        <w:t xml:space="preserve"> but causal claims should be subject to data limitations. A good response involves passive surveillance, active surveillance, sentinel surveillance, prevention, protection and promotion, and culturally responsive delivery</w:t>
      </w:r>
      <w:r w:rsidRPr="00942382" w:rsidR="00761C08">
        <w:rPr>
          <w:rFonts w:cs="Arial"/>
          <w:color w:val="000000" w:themeColor="text1"/>
        </w:rPr>
        <w:t>,</w:t>
      </w:r>
      <w:r w:rsidRPr="00942382">
        <w:rPr>
          <w:rFonts w:cs="Arial"/>
          <w:color w:val="000000" w:themeColor="text1"/>
        </w:rPr>
        <w:t xml:space="preserve"> which includes the material barriers. The </w:t>
      </w:r>
      <w:proofErr w:type="spellStart"/>
      <w:r w:rsidRPr="00942382">
        <w:rPr>
          <w:rFonts w:cs="Arial"/>
          <w:color w:val="000000" w:themeColor="text1"/>
        </w:rPr>
        <w:t>programme</w:t>
      </w:r>
      <w:proofErr w:type="spellEnd"/>
      <w:r w:rsidRPr="00942382">
        <w:rPr>
          <w:rFonts w:cs="Arial"/>
          <w:color w:val="000000" w:themeColor="text1"/>
        </w:rPr>
        <w:t xml:space="preserve"> incorporates a primary-care identification element, community support, and mixed-method assessment. Priority should be given to uptake and change in HbA1c and reduction of inequalities and continued improvement over time locally as indicators of success.</w:t>
      </w:r>
    </w:p>
    <w:p w:rsidRPr="00942382" w:rsidR="00BA747E" w:rsidP="00942382" w:rsidRDefault="00000000" w14:paraId="716A62F3" w14:textId="77777777">
      <w:pPr>
        <w:pStyle w:val="Heading1"/>
        <w:pageBreakBefore/>
        <w:rPr>
          <w:rFonts w:ascii="Arial" w:hAnsi="Arial" w:cs="Arial"/>
          <w:color w:val="000000" w:themeColor="text1"/>
          <w:sz w:val="22"/>
          <w:szCs w:val="22"/>
        </w:rPr>
      </w:pPr>
      <w:r w:rsidRPr="00942382">
        <w:rPr>
          <w:rFonts w:ascii="Arial" w:hAnsi="Arial" w:cs="Arial"/>
          <w:color w:val="000000" w:themeColor="text1"/>
          <w:sz w:val="22"/>
          <w:szCs w:val="22"/>
        </w:rPr>
        <w:t>Reference List</w:t>
      </w:r>
    </w:p>
    <w:p w:rsidRPr="00942382" w:rsidR="00BA747E" w:rsidP="00942382" w:rsidRDefault="00000000" w14:paraId="05E0BDBF" w14:textId="77777777">
      <w:pPr>
        <w:spacing w:after="100"/>
        <w:ind w:firstLine="18"/>
        <w:jc w:val="left"/>
        <w:rPr>
          <w:rFonts w:cs="Arial"/>
          <w:color w:val="000000" w:themeColor="text1"/>
        </w:rPr>
      </w:pPr>
      <w:r w:rsidRPr="00942382">
        <w:rPr>
          <w:rFonts w:cs="Arial"/>
          <w:color w:val="000000" w:themeColor="text1"/>
        </w:rPr>
        <w:t xml:space="preserve">Abu, S. and </w:t>
      </w:r>
      <w:proofErr w:type="spellStart"/>
      <w:r w:rsidRPr="00942382">
        <w:rPr>
          <w:rFonts w:cs="Arial"/>
          <w:color w:val="000000" w:themeColor="text1"/>
        </w:rPr>
        <w:t>Llahana</w:t>
      </w:r>
      <w:proofErr w:type="spellEnd"/>
      <w:r w:rsidRPr="00942382">
        <w:rPr>
          <w:rFonts w:cs="Arial"/>
          <w:color w:val="000000" w:themeColor="text1"/>
        </w:rPr>
        <w:t xml:space="preserve">, S. (2025) ‘Factors influencing the uptake of culturally tailored diabetes self-management education and support programmes among ethnic minority patients with type 2 diabetes: A systematic review’, Primary Care Diabetes, 19(2), pp. 103–110. </w:t>
      </w:r>
      <w:proofErr w:type="spellStart"/>
      <w:r w:rsidRPr="00942382">
        <w:rPr>
          <w:rFonts w:cs="Arial"/>
          <w:color w:val="000000" w:themeColor="text1"/>
        </w:rPr>
        <w:t>doi</w:t>
      </w:r>
      <w:proofErr w:type="spellEnd"/>
      <w:r w:rsidRPr="00942382">
        <w:rPr>
          <w:rFonts w:cs="Arial"/>
          <w:color w:val="000000" w:themeColor="text1"/>
        </w:rPr>
        <w:t>: 10.1016/j.pcd.2025.01.010.</w:t>
      </w:r>
    </w:p>
    <w:p w:rsidRPr="00942382" w:rsidR="00BA747E" w:rsidP="00942382" w:rsidRDefault="00000000" w14:paraId="19DBF832" w14:textId="77777777">
      <w:pPr>
        <w:spacing w:after="100"/>
        <w:ind w:firstLine="18"/>
        <w:jc w:val="left"/>
        <w:rPr>
          <w:rFonts w:cs="Arial"/>
          <w:color w:val="000000" w:themeColor="text1"/>
        </w:rPr>
      </w:pPr>
      <w:r w:rsidRPr="00942382">
        <w:rPr>
          <w:rFonts w:cs="Arial"/>
          <w:color w:val="000000" w:themeColor="text1"/>
        </w:rPr>
        <w:t xml:space="preserve">Au-Yeung, C.H., Ellis, D., </w:t>
      </w:r>
      <w:proofErr w:type="spellStart"/>
      <w:r w:rsidRPr="00942382">
        <w:rPr>
          <w:rFonts w:cs="Arial"/>
          <w:color w:val="000000" w:themeColor="text1"/>
        </w:rPr>
        <w:t>Dallaway</w:t>
      </w:r>
      <w:proofErr w:type="spellEnd"/>
      <w:r w:rsidRPr="00942382">
        <w:rPr>
          <w:rFonts w:cs="Arial"/>
          <w:color w:val="000000" w:themeColor="text1"/>
        </w:rPr>
        <w:t xml:space="preserve">, A., Riley, J., Varney, J. and Howell-Jones, R. (2024) ‘Socioeconomic and ethnic inequalities increase the risk of type 2 diabetes: An analysis of NHS Health Check attendees in Birmingham’, Frontiers in Public Health, 12, 1477418. </w:t>
      </w:r>
      <w:proofErr w:type="spellStart"/>
      <w:r w:rsidRPr="00942382">
        <w:rPr>
          <w:rFonts w:cs="Arial"/>
          <w:color w:val="000000" w:themeColor="text1"/>
        </w:rPr>
        <w:t>doi</w:t>
      </w:r>
      <w:proofErr w:type="spellEnd"/>
      <w:r w:rsidRPr="00942382">
        <w:rPr>
          <w:rFonts w:cs="Arial"/>
          <w:color w:val="000000" w:themeColor="text1"/>
        </w:rPr>
        <w:t>: 10.3389/fpubh.2024.1477418.</w:t>
      </w:r>
    </w:p>
    <w:p w:rsidRPr="00942382" w:rsidR="00BA747E" w:rsidP="00942382" w:rsidRDefault="00000000" w14:paraId="26CD454C" w14:textId="77777777">
      <w:pPr>
        <w:spacing w:after="100"/>
        <w:ind w:firstLine="18"/>
        <w:jc w:val="left"/>
        <w:rPr>
          <w:rFonts w:cs="Arial"/>
          <w:color w:val="000000" w:themeColor="text1"/>
        </w:rPr>
      </w:pPr>
      <w:r w:rsidRPr="00942382">
        <w:rPr>
          <w:rFonts w:cs="Arial"/>
          <w:color w:val="000000" w:themeColor="text1"/>
        </w:rPr>
        <w:t>Bignall, T., Jeraj, S., Helsby, E. and Butt, J. (2020) Racial disparities in mental health: Literature and evidence review. London: Race Equality Foundation.</w:t>
      </w:r>
    </w:p>
    <w:p w:rsidRPr="00942382" w:rsidR="00BA747E" w:rsidP="00942382" w:rsidRDefault="00000000" w14:paraId="2BE831C1" w14:textId="76B94647">
      <w:pPr>
        <w:spacing w:after="100"/>
        <w:ind w:firstLine="18"/>
        <w:jc w:val="left"/>
        <w:rPr>
          <w:rFonts w:cs="Arial"/>
          <w:color w:val="000000" w:themeColor="text1"/>
        </w:rPr>
      </w:pPr>
      <w:r w:rsidRPr="00942382">
        <w:rPr>
          <w:rFonts w:cs="Arial"/>
          <w:color w:val="000000" w:themeColor="text1"/>
        </w:rPr>
        <w:t>Birmingham City Council (2022) Birmingham locality profiles 2022. Available at: https://www.birmingham.gov.uk/info/50265/supporting_healthier_communities/2437/locality_health_profiles (Accessed: 1</w:t>
      </w:r>
      <w:r w:rsidRPr="00942382" w:rsidR="00942382">
        <w:rPr>
          <w:rFonts w:cs="Arial"/>
          <w:color w:val="000000" w:themeColor="text1"/>
        </w:rPr>
        <w:t>1</w:t>
      </w:r>
      <w:r w:rsidRPr="00942382">
        <w:rPr>
          <w:rFonts w:cs="Arial"/>
          <w:color w:val="000000" w:themeColor="text1"/>
        </w:rPr>
        <w:t xml:space="preserve"> July 2026).</w:t>
      </w:r>
    </w:p>
    <w:p w:rsidRPr="00942382" w:rsidR="00BA747E" w:rsidP="00942382" w:rsidRDefault="00000000" w14:paraId="05C974FC" w14:textId="2FA56F70">
      <w:pPr>
        <w:spacing w:after="100"/>
        <w:ind w:firstLine="18"/>
        <w:jc w:val="left"/>
        <w:rPr>
          <w:rFonts w:cs="Arial"/>
          <w:color w:val="000000" w:themeColor="text1"/>
        </w:rPr>
      </w:pPr>
      <w:r w:rsidRPr="00942382">
        <w:rPr>
          <w:rFonts w:cs="Arial"/>
          <w:color w:val="000000" w:themeColor="text1"/>
        </w:rPr>
        <w:t>Cabinet Office (2025) Overcrowded households: Ethnicity facts and figures. Available at: https://www.ethnicity-facts-figures.service.gov.uk/housing/housing-conditions/overcrowded-households/latest/ (Accessed: 1</w:t>
      </w:r>
      <w:r w:rsidRPr="00942382" w:rsidR="00942382">
        <w:rPr>
          <w:rFonts w:cs="Arial"/>
          <w:color w:val="000000" w:themeColor="text1"/>
        </w:rPr>
        <w:t>1</w:t>
      </w:r>
      <w:r w:rsidRPr="00942382">
        <w:rPr>
          <w:rFonts w:cs="Arial"/>
          <w:color w:val="000000" w:themeColor="text1"/>
        </w:rPr>
        <w:t xml:space="preserve"> July 2026).</w:t>
      </w:r>
    </w:p>
    <w:p w:rsidRPr="00942382" w:rsidR="00BA747E" w:rsidP="00942382" w:rsidRDefault="00000000" w14:paraId="1C99A00C" w14:textId="77777777">
      <w:pPr>
        <w:spacing w:after="100"/>
        <w:ind w:firstLine="18"/>
        <w:jc w:val="left"/>
        <w:rPr>
          <w:rFonts w:cs="Arial"/>
          <w:color w:val="000000" w:themeColor="text1"/>
        </w:rPr>
      </w:pPr>
      <w:proofErr w:type="spellStart"/>
      <w:r w:rsidRPr="00942382">
        <w:rPr>
          <w:rFonts w:cs="Arial"/>
          <w:color w:val="000000" w:themeColor="text1"/>
        </w:rPr>
        <w:t>Caleyachetty</w:t>
      </w:r>
      <w:proofErr w:type="spellEnd"/>
      <w:r w:rsidRPr="00942382">
        <w:rPr>
          <w:rFonts w:cs="Arial"/>
          <w:color w:val="000000" w:themeColor="text1"/>
        </w:rPr>
        <w:t xml:space="preserve">, R., Barber, T.M., Mohammed, N.I., Cappuccio, F.P., Hardy, R., Mathur, R., Banerjee, A. and Gill, P. (2021) ‘Ethnicity-specific BMI cutoffs for obesity based on type 2 diabetes risk in England: A population-based cohort study’, The Lancet Diabetes &amp; Endocrinology, 9(7), pp. 419–426. </w:t>
      </w:r>
      <w:proofErr w:type="spellStart"/>
      <w:r w:rsidRPr="00942382">
        <w:rPr>
          <w:rFonts w:cs="Arial"/>
          <w:color w:val="000000" w:themeColor="text1"/>
        </w:rPr>
        <w:t>doi</w:t>
      </w:r>
      <w:proofErr w:type="spellEnd"/>
      <w:r w:rsidRPr="00942382">
        <w:rPr>
          <w:rFonts w:cs="Arial"/>
          <w:color w:val="000000" w:themeColor="text1"/>
        </w:rPr>
        <w:t>: 10.1016/S2213-8587(21)00088-7.</w:t>
      </w:r>
    </w:p>
    <w:p w:rsidRPr="00942382" w:rsidR="00BA747E" w:rsidP="00942382" w:rsidRDefault="00000000" w14:paraId="4C9D9E30" w14:textId="3358A0CD">
      <w:pPr>
        <w:spacing w:after="100"/>
        <w:ind w:firstLine="18"/>
        <w:jc w:val="left"/>
        <w:rPr>
          <w:rFonts w:cs="Arial"/>
          <w:color w:val="000000" w:themeColor="text1"/>
        </w:rPr>
      </w:pPr>
      <w:r w:rsidRPr="00942382">
        <w:rPr>
          <w:rFonts w:cs="Arial"/>
          <w:color w:val="000000" w:themeColor="text1"/>
        </w:rPr>
        <w:t>Care Quality Commission (2026) Monitoring the Mental Health Act in 2024/25. Newcastle upon Tyne: CQC. Available at: https://www.gov.uk/government/publications/monitoring-the-mental-health-act-in-2024-to-2025 (Accessed: 1</w:t>
      </w:r>
      <w:r w:rsidRPr="00942382" w:rsidR="00942382">
        <w:rPr>
          <w:rFonts w:cs="Arial"/>
          <w:color w:val="000000" w:themeColor="text1"/>
        </w:rPr>
        <w:t>1</w:t>
      </w:r>
      <w:r w:rsidRPr="00942382">
        <w:rPr>
          <w:rFonts w:cs="Arial"/>
          <w:color w:val="000000" w:themeColor="text1"/>
        </w:rPr>
        <w:t xml:space="preserve"> July 2026).</w:t>
      </w:r>
    </w:p>
    <w:p w:rsidRPr="00942382" w:rsidR="00BA747E" w:rsidP="00942382" w:rsidRDefault="00000000" w14:paraId="55CA6942" w14:textId="0CFB9F05">
      <w:pPr>
        <w:spacing w:after="100"/>
        <w:ind w:firstLine="18"/>
        <w:jc w:val="left"/>
        <w:rPr>
          <w:rFonts w:cs="Arial"/>
          <w:color w:val="000000" w:themeColor="text1"/>
        </w:rPr>
      </w:pPr>
      <w:r w:rsidRPr="00942382">
        <w:rPr>
          <w:rFonts w:cs="Arial"/>
          <w:color w:val="000000" w:themeColor="text1"/>
        </w:rPr>
        <w:t xml:space="preserve">Department for Work and Pensions (2025a) People in </w:t>
      </w:r>
      <w:proofErr w:type="gramStart"/>
      <w:r w:rsidRPr="00942382">
        <w:rPr>
          <w:rFonts w:cs="Arial"/>
          <w:color w:val="000000" w:themeColor="text1"/>
        </w:rPr>
        <w:t>low income</w:t>
      </w:r>
      <w:proofErr w:type="gramEnd"/>
      <w:r w:rsidRPr="00942382">
        <w:rPr>
          <w:rFonts w:cs="Arial"/>
          <w:color w:val="000000" w:themeColor="text1"/>
        </w:rPr>
        <w:t xml:space="preserve"> households: Ethnicity facts and figures. Available at: https://www.ethnicity-facts-figures.service.gov.uk/work-pay-and-benefits/pay-and-income/people-in-low-income-households/latest/ (Accessed: 1</w:t>
      </w:r>
      <w:r w:rsidRPr="00942382" w:rsidR="00942382">
        <w:rPr>
          <w:rFonts w:cs="Arial"/>
          <w:color w:val="000000" w:themeColor="text1"/>
        </w:rPr>
        <w:t>2</w:t>
      </w:r>
      <w:r w:rsidRPr="00942382">
        <w:rPr>
          <w:rFonts w:cs="Arial"/>
          <w:color w:val="000000" w:themeColor="text1"/>
        </w:rPr>
        <w:t xml:space="preserve"> July 2026).</w:t>
      </w:r>
    </w:p>
    <w:p w:rsidRPr="00942382" w:rsidR="00BA747E" w:rsidP="00942382" w:rsidRDefault="00000000" w14:paraId="5134F04D" w14:textId="03C37B26">
      <w:pPr>
        <w:spacing w:after="100"/>
        <w:ind w:firstLine="18"/>
        <w:jc w:val="left"/>
        <w:rPr>
          <w:rFonts w:cs="Arial"/>
          <w:color w:val="000000" w:themeColor="text1"/>
        </w:rPr>
      </w:pPr>
      <w:r w:rsidRPr="00942382">
        <w:rPr>
          <w:rFonts w:cs="Arial"/>
          <w:color w:val="000000" w:themeColor="text1"/>
        </w:rPr>
        <w:t>Department for Work and Pensions (2025b) Persistent low income: Ethnicity facts and figures. Available at: https://www.ethnicity-facts-figures.service.gov.uk/work-pay-and-benefits/pay-and-income/low-income/latest/ (Accessed: 1</w:t>
      </w:r>
      <w:r w:rsidRPr="00942382" w:rsidR="00942382">
        <w:rPr>
          <w:rFonts w:cs="Arial"/>
          <w:color w:val="000000" w:themeColor="text1"/>
        </w:rPr>
        <w:t>2</w:t>
      </w:r>
      <w:r w:rsidRPr="00942382">
        <w:rPr>
          <w:rFonts w:cs="Arial"/>
          <w:color w:val="000000" w:themeColor="text1"/>
        </w:rPr>
        <w:t xml:space="preserve"> July 2026).</w:t>
      </w:r>
    </w:p>
    <w:p w:rsidRPr="00942382" w:rsidR="00BA747E" w:rsidP="00942382" w:rsidRDefault="00000000" w14:paraId="76F3A651" w14:textId="77777777">
      <w:pPr>
        <w:spacing w:after="100"/>
        <w:ind w:firstLine="18"/>
        <w:jc w:val="left"/>
        <w:rPr>
          <w:rFonts w:cs="Arial"/>
          <w:color w:val="000000" w:themeColor="text1"/>
        </w:rPr>
      </w:pPr>
      <w:r w:rsidRPr="00942382">
        <w:rPr>
          <w:rFonts w:cs="Arial"/>
          <w:color w:val="000000" w:themeColor="text1"/>
        </w:rPr>
        <w:t>Diabetes UK (2025) One in five adults now live with diabetes or prediabetes in the UK. Available at: https://www.diabetes.org.uk/about-us/news-and-views/one-five-adults-now-live-diabetes-or-prediabetes-uk (Accessed: 18 July 2026).</w:t>
      </w:r>
    </w:p>
    <w:p w:rsidRPr="00942382" w:rsidR="00BA747E" w:rsidP="00942382" w:rsidRDefault="00000000" w14:paraId="7C40644A" w14:textId="35EF6CC3">
      <w:pPr>
        <w:spacing w:after="100"/>
        <w:ind w:firstLine="18"/>
        <w:jc w:val="left"/>
        <w:rPr>
          <w:rFonts w:cs="Arial"/>
          <w:color w:val="000000" w:themeColor="text1"/>
        </w:rPr>
      </w:pPr>
      <w:r w:rsidRPr="00942382">
        <w:rPr>
          <w:rFonts w:cs="Arial"/>
          <w:color w:val="000000" w:themeColor="text1"/>
        </w:rPr>
        <w:t>Equality Act 2010, c.15. Available at: https://www.legislation.gov.uk/ukpga/2010/15/contents (Accessed: 1</w:t>
      </w:r>
      <w:r w:rsidRPr="00942382" w:rsidR="00942382">
        <w:rPr>
          <w:rFonts w:cs="Arial"/>
          <w:color w:val="000000" w:themeColor="text1"/>
        </w:rPr>
        <w:t>2</w:t>
      </w:r>
      <w:r w:rsidRPr="00942382">
        <w:rPr>
          <w:rFonts w:cs="Arial"/>
          <w:color w:val="000000" w:themeColor="text1"/>
        </w:rPr>
        <w:t xml:space="preserve"> July 2026).</w:t>
      </w:r>
    </w:p>
    <w:p w:rsidRPr="00942382" w:rsidR="00BA747E" w:rsidP="00942382" w:rsidRDefault="00000000" w14:paraId="4D545641" w14:textId="77777777">
      <w:pPr>
        <w:spacing w:after="100"/>
        <w:ind w:firstLine="18"/>
        <w:jc w:val="left"/>
        <w:rPr>
          <w:rFonts w:cs="Arial"/>
          <w:color w:val="000000" w:themeColor="text1"/>
        </w:rPr>
      </w:pPr>
      <w:r w:rsidRPr="00942382">
        <w:rPr>
          <w:rFonts w:cs="Arial"/>
          <w:color w:val="000000" w:themeColor="text1"/>
        </w:rPr>
        <w:t xml:space="preserve">Farhat, G., Mellor, D.D., Sattar, N., Harvie, M., Issa, B. and Rutter, M.K. (2024) ‘Effectiveness of lifestyle interventions/culturally bespoke programmes in South Asian ethnic groups targeting weight loss for prevention and/or remission of type 2 diabetes: A systematic review and meta-analysis of intervention trials’, Journal of Human Nutrition and Dietetics, 37(2), pp. 515–532. </w:t>
      </w:r>
      <w:proofErr w:type="spellStart"/>
      <w:r w:rsidRPr="00942382">
        <w:rPr>
          <w:rFonts w:cs="Arial"/>
          <w:color w:val="000000" w:themeColor="text1"/>
        </w:rPr>
        <w:t>doi</w:t>
      </w:r>
      <w:proofErr w:type="spellEnd"/>
      <w:r w:rsidRPr="00942382">
        <w:rPr>
          <w:rFonts w:cs="Arial"/>
          <w:color w:val="000000" w:themeColor="text1"/>
        </w:rPr>
        <w:t>: 10.1111/jhn.13279.</w:t>
      </w:r>
    </w:p>
    <w:p w:rsidRPr="00942382" w:rsidR="00BA747E" w:rsidP="00942382" w:rsidRDefault="00000000" w14:paraId="377DE0B1" w14:textId="77777777">
      <w:pPr>
        <w:spacing w:after="100"/>
        <w:ind w:firstLine="18"/>
        <w:jc w:val="left"/>
        <w:rPr>
          <w:rFonts w:cs="Arial"/>
          <w:color w:val="000000" w:themeColor="text1"/>
        </w:rPr>
      </w:pPr>
      <w:r w:rsidRPr="00942382">
        <w:rPr>
          <w:rFonts w:cs="Arial"/>
          <w:color w:val="000000" w:themeColor="text1"/>
        </w:rPr>
        <w:t xml:space="preserve">Hawkes, </w:t>
      </w:r>
      <w:proofErr w:type="spellStart"/>
      <w:r w:rsidRPr="00942382">
        <w:rPr>
          <w:rFonts w:cs="Arial"/>
          <w:color w:val="000000" w:themeColor="text1"/>
        </w:rPr>
        <w:t>R.E</w:t>
      </w:r>
      <w:proofErr w:type="spellEnd"/>
      <w:r w:rsidRPr="00942382">
        <w:rPr>
          <w:rFonts w:cs="Arial"/>
          <w:color w:val="000000" w:themeColor="text1"/>
        </w:rPr>
        <w:t xml:space="preserve">., Cameron, E., Cotterill, S., Bower, P. and French, D.P. (2020) ‘The NHS Diabetes Prevention </w:t>
      </w:r>
      <w:proofErr w:type="spellStart"/>
      <w:r w:rsidRPr="00942382">
        <w:rPr>
          <w:rFonts w:cs="Arial"/>
          <w:color w:val="000000" w:themeColor="text1"/>
        </w:rPr>
        <w:t>Programme</w:t>
      </w:r>
      <w:proofErr w:type="spellEnd"/>
      <w:r w:rsidRPr="00942382">
        <w:rPr>
          <w:rFonts w:cs="Arial"/>
          <w:color w:val="000000" w:themeColor="text1"/>
        </w:rPr>
        <w:t xml:space="preserve">: An observational study of service delivery and patient experience’, BMC Health Services Research, 20, 1098. </w:t>
      </w:r>
      <w:proofErr w:type="spellStart"/>
      <w:r w:rsidRPr="00942382">
        <w:rPr>
          <w:rFonts w:cs="Arial"/>
          <w:color w:val="000000" w:themeColor="text1"/>
        </w:rPr>
        <w:t>doi</w:t>
      </w:r>
      <w:proofErr w:type="spellEnd"/>
      <w:r w:rsidRPr="00942382">
        <w:rPr>
          <w:rFonts w:cs="Arial"/>
          <w:color w:val="000000" w:themeColor="text1"/>
        </w:rPr>
        <w:t>: 10.1186/s12913-020-05951-7.</w:t>
      </w:r>
    </w:p>
    <w:p w:rsidRPr="00942382" w:rsidR="00BA747E" w:rsidP="00942382" w:rsidRDefault="00000000" w14:paraId="7321C169" w14:textId="664C4C78">
      <w:pPr>
        <w:spacing w:after="100"/>
        <w:ind w:firstLine="18"/>
        <w:jc w:val="left"/>
        <w:rPr>
          <w:rFonts w:cs="Arial"/>
          <w:color w:val="000000" w:themeColor="text1"/>
        </w:rPr>
      </w:pPr>
      <w:r w:rsidRPr="00942382">
        <w:rPr>
          <w:rFonts w:cs="Arial"/>
          <w:color w:val="000000" w:themeColor="text1"/>
        </w:rPr>
        <w:t xml:space="preserve">International Diabetes Federation (2025) IDF Diabetes Atlas. 11th </w:t>
      </w:r>
      <w:proofErr w:type="spellStart"/>
      <w:r w:rsidRPr="00942382">
        <w:rPr>
          <w:rFonts w:cs="Arial"/>
          <w:color w:val="000000" w:themeColor="text1"/>
        </w:rPr>
        <w:t>edn</w:t>
      </w:r>
      <w:proofErr w:type="spellEnd"/>
      <w:r w:rsidRPr="00942382">
        <w:rPr>
          <w:rFonts w:cs="Arial"/>
          <w:color w:val="000000" w:themeColor="text1"/>
        </w:rPr>
        <w:t>. Brussels: International Diabetes Federation. Available at: https://diabetesatlas.org/ (Accessed: 1</w:t>
      </w:r>
      <w:r w:rsidRPr="00942382" w:rsidR="00942382">
        <w:rPr>
          <w:rFonts w:cs="Arial"/>
          <w:color w:val="000000" w:themeColor="text1"/>
        </w:rPr>
        <w:t>2</w:t>
      </w:r>
      <w:r w:rsidRPr="00942382">
        <w:rPr>
          <w:rFonts w:cs="Arial"/>
          <w:color w:val="000000" w:themeColor="text1"/>
        </w:rPr>
        <w:t xml:space="preserve"> July 2026).</w:t>
      </w:r>
    </w:p>
    <w:p w:rsidRPr="00942382" w:rsidR="00BA747E" w:rsidP="00942382" w:rsidRDefault="00000000" w14:paraId="7105D48C" w14:textId="77777777">
      <w:pPr>
        <w:spacing w:after="100"/>
        <w:ind w:firstLine="18"/>
        <w:jc w:val="left"/>
        <w:rPr>
          <w:rFonts w:cs="Arial"/>
          <w:color w:val="000000" w:themeColor="text1"/>
        </w:rPr>
      </w:pPr>
      <w:r w:rsidRPr="00942382">
        <w:rPr>
          <w:rFonts w:cs="Arial"/>
          <w:color w:val="000000" w:themeColor="text1"/>
        </w:rPr>
        <w:t xml:space="preserve">Iqbal, S. (2023) ‘Cultural factors influencing the eating behaviours of type 2 diabetes in the British South-Asian population: A scoping review of the literature’, Journal of Global Health Reports, 7, e2023050. </w:t>
      </w:r>
      <w:proofErr w:type="spellStart"/>
      <w:r w:rsidRPr="00942382">
        <w:rPr>
          <w:rFonts w:cs="Arial"/>
          <w:color w:val="000000" w:themeColor="text1"/>
        </w:rPr>
        <w:t>doi</w:t>
      </w:r>
      <w:proofErr w:type="spellEnd"/>
      <w:r w:rsidRPr="00942382">
        <w:rPr>
          <w:rFonts w:cs="Arial"/>
          <w:color w:val="000000" w:themeColor="text1"/>
        </w:rPr>
        <w:t>: 10.29392/001c.84191.</w:t>
      </w:r>
    </w:p>
    <w:p w:rsidRPr="00942382" w:rsidR="00BA747E" w:rsidP="00942382" w:rsidRDefault="00000000" w14:paraId="07B8055C" w14:textId="77777777">
      <w:pPr>
        <w:spacing w:after="100"/>
        <w:ind w:firstLine="18"/>
        <w:jc w:val="left"/>
        <w:rPr>
          <w:rFonts w:cs="Arial"/>
          <w:color w:val="000000" w:themeColor="text1"/>
        </w:rPr>
      </w:pPr>
      <w:r w:rsidRPr="00942382">
        <w:rPr>
          <w:rFonts w:cs="Arial"/>
          <w:color w:val="000000" w:themeColor="text1"/>
        </w:rPr>
        <w:t xml:space="preserve">Jones, S., </w:t>
      </w:r>
      <w:proofErr w:type="spellStart"/>
      <w:r w:rsidRPr="00942382">
        <w:rPr>
          <w:rFonts w:cs="Arial"/>
          <w:color w:val="000000" w:themeColor="text1"/>
        </w:rPr>
        <w:t>Tillin</w:t>
      </w:r>
      <w:proofErr w:type="spellEnd"/>
      <w:r w:rsidRPr="00942382">
        <w:rPr>
          <w:rFonts w:cs="Arial"/>
          <w:color w:val="000000" w:themeColor="text1"/>
        </w:rPr>
        <w:t xml:space="preserve">, T., Park, C., Williams, S., Rapala, A., Al Saikhan, L., Eastwood, S.V., Richards, M., Hughes, A.D. and Chaturvedi, N. (2020) ‘Cohort profile update: Southall and Brent Revisited (SABRE) study’, International Journal of Epidemiology, 49(5), pp. 1441–1442e. </w:t>
      </w:r>
      <w:proofErr w:type="spellStart"/>
      <w:r w:rsidRPr="00942382">
        <w:rPr>
          <w:rFonts w:cs="Arial"/>
          <w:color w:val="000000" w:themeColor="text1"/>
        </w:rPr>
        <w:t>doi</w:t>
      </w:r>
      <w:proofErr w:type="spellEnd"/>
      <w:r w:rsidRPr="00942382">
        <w:rPr>
          <w:rFonts w:cs="Arial"/>
          <w:color w:val="000000" w:themeColor="text1"/>
        </w:rPr>
        <w:t>: 10.1093/</w:t>
      </w:r>
      <w:proofErr w:type="spellStart"/>
      <w:r w:rsidRPr="00942382">
        <w:rPr>
          <w:rFonts w:cs="Arial"/>
          <w:color w:val="000000" w:themeColor="text1"/>
        </w:rPr>
        <w:t>ije</w:t>
      </w:r>
      <w:proofErr w:type="spellEnd"/>
      <w:r w:rsidRPr="00942382">
        <w:rPr>
          <w:rFonts w:cs="Arial"/>
          <w:color w:val="000000" w:themeColor="text1"/>
        </w:rPr>
        <w:t>/dyaa135.</w:t>
      </w:r>
    </w:p>
    <w:p w:rsidRPr="00942382" w:rsidR="00BA747E" w:rsidP="00942382" w:rsidRDefault="00000000" w14:paraId="39B24FB2" w14:textId="77777777">
      <w:pPr>
        <w:spacing w:after="100"/>
        <w:ind w:firstLine="18"/>
        <w:jc w:val="left"/>
        <w:rPr>
          <w:rFonts w:cs="Arial"/>
          <w:color w:val="000000" w:themeColor="text1"/>
        </w:rPr>
      </w:pPr>
      <w:r w:rsidRPr="00942382">
        <w:rPr>
          <w:rFonts w:cs="Arial"/>
          <w:color w:val="000000" w:themeColor="text1"/>
        </w:rPr>
        <w:t xml:space="preserve">Kapadia, D., Zhang, J., Salway, S., </w:t>
      </w:r>
      <w:proofErr w:type="spellStart"/>
      <w:r w:rsidRPr="00942382">
        <w:rPr>
          <w:rFonts w:cs="Arial"/>
          <w:color w:val="000000" w:themeColor="text1"/>
        </w:rPr>
        <w:t>Nazroo</w:t>
      </w:r>
      <w:proofErr w:type="spellEnd"/>
      <w:r w:rsidRPr="00942382">
        <w:rPr>
          <w:rFonts w:cs="Arial"/>
          <w:color w:val="000000" w:themeColor="text1"/>
        </w:rPr>
        <w:t xml:space="preserve">, J., Booth, A., Villarroel-Williams, N., </w:t>
      </w:r>
      <w:proofErr w:type="spellStart"/>
      <w:r w:rsidRPr="00942382">
        <w:rPr>
          <w:rFonts w:cs="Arial"/>
          <w:color w:val="000000" w:themeColor="text1"/>
        </w:rPr>
        <w:t>Bécares</w:t>
      </w:r>
      <w:proofErr w:type="spellEnd"/>
      <w:r w:rsidRPr="00942382">
        <w:rPr>
          <w:rFonts w:cs="Arial"/>
          <w:color w:val="000000" w:themeColor="text1"/>
        </w:rPr>
        <w:t>, L. and Esmail, A. (2022) Ethnic inequalities in healthcare: A rapid evidence review. London: NHS Race and Health Observatory.</w:t>
      </w:r>
    </w:p>
    <w:p w:rsidRPr="00942382" w:rsidR="00BA747E" w:rsidP="00942382" w:rsidRDefault="00000000" w14:paraId="08A83F20" w14:textId="77777777">
      <w:pPr>
        <w:spacing w:after="100"/>
        <w:ind w:firstLine="18"/>
        <w:jc w:val="left"/>
        <w:rPr>
          <w:rFonts w:cs="Arial"/>
          <w:color w:val="000000" w:themeColor="text1"/>
        </w:rPr>
      </w:pPr>
      <w:r w:rsidRPr="00942382">
        <w:rPr>
          <w:rFonts w:cs="Arial"/>
          <w:color w:val="000000" w:themeColor="text1"/>
        </w:rPr>
        <w:t xml:space="preserve">Marsden, A.M., Hann, M., Barron, E., McGough, B., Murray, E., </w:t>
      </w:r>
      <w:proofErr w:type="spellStart"/>
      <w:r w:rsidRPr="00942382">
        <w:rPr>
          <w:rFonts w:cs="Arial"/>
          <w:color w:val="000000" w:themeColor="text1"/>
        </w:rPr>
        <w:t>Valabhji</w:t>
      </w:r>
      <w:proofErr w:type="spellEnd"/>
      <w:r w:rsidRPr="00942382">
        <w:rPr>
          <w:rFonts w:cs="Arial"/>
          <w:color w:val="000000" w:themeColor="text1"/>
        </w:rPr>
        <w:t xml:space="preserve">, J. et al. (2023) ‘The effectiveness of digital delivery versus group-based face-to-face delivery of the English National Health Service Diabetes Prevention </w:t>
      </w:r>
      <w:proofErr w:type="spellStart"/>
      <w:r w:rsidRPr="00942382">
        <w:rPr>
          <w:rFonts w:cs="Arial"/>
          <w:color w:val="000000" w:themeColor="text1"/>
        </w:rPr>
        <w:t>Programme</w:t>
      </w:r>
      <w:proofErr w:type="spellEnd"/>
      <w:r w:rsidRPr="00942382">
        <w:rPr>
          <w:rFonts w:cs="Arial"/>
          <w:color w:val="000000" w:themeColor="text1"/>
        </w:rPr>
        <w:t xml:space="preserve">’, BMC Health Services Research, 23, 1434. </w:t>
      </w:r>
      <w:proofErr w:type="spellStart"/>
      <w:r w:rsidRPr="00942382">
        <w:rPr>
          <w:rFonts w:cs="Arial"/>
          <w:color w:val="000000" w:themeColor="text1"/>
        </w:rPr>
        <w:t>doi</w:t>
      </w:r>
      <w:proofErr w:type="spellEnd"/>
      <w:r w:rsidRPr="00942382">
        <w:rPr>
          <w:rFonts w:cs="Arial"/>
          <w:color w:val="000000" w:themeColor="text1"/>
        </w:rPr>
        <w:t>: 10.1186/s12913-023-10365-2.</w:t>
      </w:r>
    </w:p>
    <w:p w:rsidRPr="00942382" w:rsidR="00BA747E" w:rsidP="00942382" w:rsidRDefault="00000000" w14:paraId="398A71D6" w14:textId="77777777">
      <w:pPr>
        <w:spacing w:after="100"/>
        <w:ind w:firstLine="18"/>
        <w:jc w:val="left"/>
        <w:rPr>
          <w:rFonts w:cs="Arial"/>
          <w:color w:val="000000" w:themeColor="text1"/>
        </w:rPr>
      </w:pPr>
      <w:r w:rsidRPr="00942382">
        <w:rPr>
          <w:rFonts w:cs="Arial"/>
          <w:color w:val="000000" w:themeColor="text1"/>
        </w:rPr>
        <w:t xml:space="preserve">Muniyappa, R. and </w:t>
      </w:r>
      <w:proofErr w:type="spellStart"/>
      <w:r w:rsidRPr="00942382">
        <w:rPr>
          <w:rFonts w:cs="Arial"/>
          <w:color w:val="000000" w:themeColor="text1"/>
        </w:rPr>
        <w:t>Narayanappa</w:t>
      </w:r>
      <w:proofErr w:type="spellEnd"/>
      <w:r w:rsidRPr="00942382">
        <w:rPr>
          <w:rFonts w:cs="Arial"/>
          <w:color w:val="000000" w:themeColor="text1"/>
        </w:rPr>
        <w:t xml:space="preserve">, </w:t>
      </w:r>
      <w:proofErr w:type="spellStart"/>
      <w:r w:rsidRPr="00942382">
        <w:rPr>
          <w:rFonts w:cs="Arial"/>
          <w:color w:val="000000" w:themeColor="text1"/>
        </w:rPr>
        <w:t>S.B.K</w:t>
      </w:r>
      <w:proofErr w:type="spellEnd"/>
      <w:r w:rsidRPr="00942382">
        <w:rPr>
          <w:rFonts w:cs="Arial"/>
          <w:color w:val="000000" w:themeColor="text1"/>
        </w:rPr>
        <w:t xml:space="preserve">. (2024) ‘Disentangling dual threats: Premature coronary artery disease and early-onset type 2 diabetes mellitus in South Asians’, Journal of the Endocrine Society, 8(1), bvad167. </w:t>
      </w:r>
      <w:proofErr w:type="spellStart"/>
      <w:r w:rsidRPr="00942382">
        <w:rPr>
          <w:rFonts w:cs="Arial"/>
          <w:color w:val="000000" w:themeColor="text1"/>
        </w:rPr>
        <w:t>doi</w:t>
      </w:r>
      <w:proofErr w:type="spellEnd"/>
      <w:r w:rsidRPr="00942382">
        <w:rPr>
          <w:rFonts w:cs="Arial"/>
          <w:color w:val="000000" w:themeColor="text1"/>
        </w:rPr>
        <w:t>: 10.1210/</w:t>
      </w:r>
      <w:proofErr w:type="spellStart"/>
      <w:r w:rsidRPr="00942382">
        <w:rPr>
          <w:rFonts w:cs="Arial"/>
          <w:color w:val="000000" w:themeColor="text1"/>
        </w:rPr>
        <w:t>jendso</w:t>
      </w:r>
      <w:proofErr w:type="spellEnd"/>
      <w:r w:rsidRPr="00942382">
        <w:rPr>
          <w:rFonts w:cs="Arial"/>
          <w:color w:val="000000" w:themeColor="text1"/>
        </w:rPr>
        <w:t>/bvad167.</w:t>
      </w:r>
    </w:p>
    <w:p w:rsidRPr="00942382" w:rsidR="00BA747E" w:rsidP="00942382" w:rsidRDefault="00000000" w14:paraId="0F3DF5F6" w14:textId="6662196C">
      <w:pPr>
        <w:spacing w:after="100"/>
        <w:ind w:firstLine="18"/>
        <w:jc w:val="left"/>
        <w:rPr>
          <w:rFonts w:cs="Arial"/>
          <w:color w:val="000000" w:themeColor="text1"/>
        </w:rPr>
      </w:pPr>
      <w:r w:rsidRPr="00942382">
        <w:rPr>
          <w:rFonts w:cs="Arial"/>
          <w:color w:val="000000" w:themeColor="text1"/>
        </w:rPr>
        <w:t>National Institute for Health and Care Excellence (2026) Type 2 diabetes in adults: Management (NG28). London: NICE. Available at: https://www.nice.org.uk/guidance/ng28 (Accessed: 1</w:t>
      </w:r>
      <w:r w:rsidRPr="00942382" w:rsidR="00942382">
        <w:rPr>
          <w:rFonts w:cs="Arial"/>
          <w:color w:val="000000" w:themeColor="text1"/>
        </w:rPr>
        <w:t>3</w:t>
      </w:r>
      <w:r w:rsidRPr="00942382">
        <w:rPr>
          <w:rFonts w:cs="Arial"/>
          <w:color w:val="000000" w:themeColor="text1"/>
        </w:rPr>
        <w:t xml:space="preserve"> July 2026).</w:t>
      </w:r>
    </w:p>
    <w:p w:rsidRPr="00942382" w:rsidR="00BA747E" w:rsidP="00942382" w:rsidRDefault="00000000" w14:paraId="5711A253" w14:textId="3B1908D1">
      <w:pPr>
        <w:spacing w:after="100"/>
        <w:ind w:firstLine="18"/>
        <w:jc w:val="left"/>
        <w:rPr>
          <w:rFonts w:cs="Arial"/>
          <w:color w:val="000000" w:themeColor="text1"/>
        </w:rPr>
      </w:pPr>
      <w:r w:rsidRPr="00942382">
        <w:rPr>
          <w:rFonts w:cs="Arial"/>
          <w:color w:val="000000" w:themeColor="text1"/>
        </w:rPr>
        <w:t>National Perinatal Epidemiology Unit (2026) Maternal mortality 2022–2024. Oxford: University of Oxford. Available at: https://www.npeu.ox.ac.uk/mbrrace-uk/data-brief/maternal-mortality-2022-2024 (Accessed: 1</w:t>
      </w:r>
      <w:r w:rsidRPr="00942382" w:rsidR="00942382">
        <w:rPr>
          <w:rFonts w:cs="Arial"/>
          <w:color w:val="000000" w:themeColor="text1"/>
        </w:rPr>
        <w:t>3</w:t>
      </w:r>
      <w:r w:rsidRPr="00942382">
        <w:rPr>
          <w:rFonts w:cs="Arial"/>
          <w:color w:val="000000" w:themeColor="text1"/>
        </w:rPr>
        <w:t xml:space="preserve"> July 2026).</w:t>
      </w:r>
    </w:p>
    <w:p w:rsidRPr="00942382" w:rsidR="00BA747E" w:rsidP="00942382" w:rsidRDefault="00000000" w14:paraId="5A8D40B0" w14:textId="5F867623">
      <w:pPr>
        <w:spacing w:after="100"/>
        <w:ind w:firstLine="18"/>
        <w:jc w:val="left"/>
        <w:rPr>
          <w:rFonts w:cs="Arial"/>
          <w:color w:val="000000" w:themeColor="text1"/>
        </w:rPr>
      </w:pPr>
      <w:r w:rsidRPr="00942382">
        <w:rPr>
          <w:rFonts w:cs="Arial"/>
          <w:color w:val="000000" w:themeColor="text1"/>
        </w:rPr>
        <w:t>NHS England (2025a) Core20PLUS5 (adults): An approach to reducing healthcare inequalities. Available at: https://www.england.nhs.uk/about/equality/equality-hub/national-healthcare-inequalities-improvement-programme/core20plus5/ (Accessed: 1</w:t>
      </w:r>
      <w:r w:rsidRPr="00942382" w:rsidR="00942382">
        <w:rPr>
          <w:rFonts w:cs="Arial"/>
          <w:color w:val="000000" w:themeColor="text1"/>
        </w:rPr>
        <w:t>3</w:t>
      </w:r>
      <w:r w:rsidRPr="00942382">
        <w:rPr>
          <w:rFonts w:cs="Arial"/>
          <w:color w:val="000000" w:themeColor="text1"/>
        </w:rPr>
        <w:t xml:space="preserve"> July 2026).</w:t>
      </w:r>
    </w:p>
    <w:p w:rsidRPr="00942382" w:rsidR="00BA747E" w:rsidP="00942382" w:rsidRDefault="00000000" w14:paraId="77F78769" w14:textId="70AD6EFA">
      <w:pPr>
        <w:spacing w:after="100"/>
        <w:ind w:firstLine="18"/>
        <w:jc w:val="left"/>
        <w:rPr>
          <w:rFonts w:cs="Arial"/>
          <w:color w:val="000000" w:themeColor="text1"/>
        </w:rPr>
      </w:pPr>
      <w:r w:rsidRPr="00942382">
        <w:rPr>
          <w:rFonts w:cs="Arial"/>
          <w:color w:val="000000" w:themeColor="text1"/>
        </w:rPr>
        <w:t xml:space="preserve">NHS England (2025b) NHS Diabetes Prevention </w:t>
      </w:r>
      <w:proofErr w:type="spellStart"/>
      <w:r w:rsidRPr="00942382">
        <w:rPr>
          <w:rFonts w:cs="Arial"/>
          <w:color w:val="000000" w:themeColor="text1"/>
        </w:rPr>
        <w:t>Programme</w:t>
      </w:r>
      <w:proofErr w:type="spellEnd"/>
      <w:r w:rsidRPr="00942382">
        <w:rPr>
          <w:rFonts w:cs="Arial"/>
          <w:color w:val="000000" w:themeColor="text1"/>
        </w:rPr>
        <w:t>. Available at: https://www.england.nhs.uk/diabetes/diabetes-prevention/ (Accessed: 1</w:t>
      </w:r>
      <w:r w:rsidRPr="00942382" w:rsidR="00942382">
        <w:rPr>
          <w:rFonts w:cs="Arial"/>
          <w:color w:val="000000" w:themeColor="text1"/>
        </w:rPr>
        <w:t>3</w:t>
      </w:r>
      <w:r w:rsidRPr="00942382">
        <w:rPr>
          <w:rFonts w:cs="Arial"/>
          <w:color w:val="000000" w:themeColor="text1"/>
        </w:rPr>
        <w:t xml:space="preserve"> July 2026).</w:t>
      </w:r>
    </w:p>
    <w:p w:rsidRPr="00942382" w:rsidR="00BA747E" w:rsidP="00942382" w:rsidRDefault="00000000" w14:paraId="6E12C16D" w14:textId="0F15096E">
      <w:pPr>
        <w:spacing w:after="100"/>
        <w:ind w:firstLine="18"/>
        <w:jc w:val="left"/>
        <w:rPr>
          <w:rFonts w:cs="Arial"/>
          <w:color w:val="000000" w:themeColor="text1"/>
        </w:rPr>
      </w:pPr>
      <w:r w:rsidRPr="00942382">
        <w:rPr>
          <w:rFonts w:cs="Arial"/>
          <w:color w:val="000000" w:themeColor="text1"/>
        </w:rPr>
        <w:t>NHS England (2026a) National Diabetes Audit Core Report 1: Care processes and treatment targets 2024–25. Available at: https://digital.nhs.uk/data-and-information/publications/statistical/national-diabetes-audit/report-1-cp-and-tt-data-release-2024-25 (Accessed: 1</w:t>
      </w:r>
      <w:r w:rsidRPr="00942382" w:rsidR="00942382">
        <w:rPr>
          <w:rFonts w:cs="Arial"/>
          <w:color w:val="000000" w:themeColor="text1"/>
        </w:rPr>
        <w:t>3</w:t>
      </w:r>
      <w:r w:rsidRPr="00942382">
        <w:rPr>
          <w:rFonts w:cs="Arial"/>
          <w:color w:val="000000" w:themeColor="text1"/>
        </w:rPr>
        <w:t xml:space="preserve"> July 2026).</w:t>
      </w:r>
    </w:p>
    <w:p w:rsidRPr="00942382" w:rsidR="00BA747E" w:rsidP="00942382" w:rsidRDefault="00000000" w14:paraId="60935D38" w14:textId="5F81A25E">
      <w:pPr>
        <w:spacing w:after="100"/>
        <w:ind w:firstLine="18"/>
        <w:jc w:val="left"/>
        <w:rPr>
          <w:rFonts w:cs="Arial"/>
          <w:color w:val="000000" w:themeColor="text1"/>
        </w:rPr>
      </w:pPr>
      <w:r w:rsidRPr="00942382">
        <w:rPr>
          <w:rFonts w:cs="Arial"/>
          <w:color w:val="000000" w:themeColor="text1"/>
        </w:rPr>
        <w:t>NHS England (2026b) Diabetes: Fingertips public health profile. Available at: https://fingertips.phe.org.uk/profile/diabetes-ft (Accessed: 1</w:t>
      </w:r>
      <w:r w:rsidRPr="00942382" w:rsidR="00942382">
        <w:rPr>
          <w:rFonts w:cs="Arial"/>
          <w:color w:val="000000" w:themeColor="text1"/>
        </w:rPr>
        <w:t>4</w:t>
      </w:r>
      <w:r w:rsidRPr="00942382">
        <w:rPr>
          <w:rFonts w:cs="Arial"/>
          <w:color w:val="000000" w:themeColor="text1"/>
        </w:rPr>
        <w:t xml:space="preserve"> July 2026).</w:t>
      </w:r>
    </w:p>
    <w:p w:rsidRPr="00942382" w:rsidR="00BA747E" w:rsidP="00942382" w:rsidRDefault="00000000" w14:paraId="106C1978" w14:textId="77777777">
      <w:pPr>
        <w:spacing w:after="100"/>
        <w:ind w:firstLine="18"/>
        <w:jc w:val="left"/>
        <w:rPr>
          <w:rFonts w:cs="Arial"/>
          <w:color w:val="000000" w:themeColor="text1"/>
        </w:rPr>
      </w:pPr>
      <w:r w:rsidRPr="00942382">
        <w:rPr>
          <w:rFonts w:cs="Arial"/>
          <w:color w:val="000000" w:themeColor="text1"/>
        </w:rPr>
        <w:t>NHS Race and Health Observatory (2025a) Patient experience and trust in NHS primary care: Findings on ethnic inequalities. London: NHS Race and Health Observatory.</w:t>
      </w:r>
    </w:p>
    <w:p w:rsidRPr="00942382" w:rsidR="00BA747E" w:rsidP="00942382" w:rsidRDefault="00000000" w14:paraId="1E19C831" w14:textId="04AC4B81">
      <w:pPr>
        <w:spacing w:after="100"/>
        <w:ind w:firstLine="18"/>
        <w:jc w:val="left"/>
        <w:rPr>
          <w:rFonts w:cs="Arial"/>
          <w:color w:val="000000" w:themeColor="text1"/>
        </w:rPr>
      </w:pPr>
      <w:r w:rsidRPr="00942382">
        <w:rPr>
          <w:rFonts w:cs="Arial"/>
          <w:color w:val="000000" w:themeColor="text1"/>
        </w:rPr>
        <w:t>NHS Race and Health Observatory (2025b) About the NHS Race and Health Observatory. Available at: https://www.nhsrho.org/about-us/ (Accessed: 1</w:t>
      </w:r>
      <w:r w:rsidRPr="00942382" w:rsidR="00942382">
        <w:rPr>
          <w:rFonts w:cs="Arial"/>
          <w:color w:val="000000" w:themeColor="text1"/>
        </w:rPr>
        <w:t>4</w:t>
      </w:r>
      <w:r w:rsidRPr="00942382">
        <w:rPr>
          <w:rFonts w:cs="Arial"/>
          <w:color w:val="000000" w:themeColor="text1"/>
        </w:rPr>
        <w:t xml:space="preserve"> July 2026).</w:t>
      </w:r>
    </w:p>
    <w:p w:rsidRPr="00942382" w:rsidR="00BA747E" w:rsidP="00942382" w:rsidRDefault="00000000" w14:paraId="5E21D119" w14:textId="0D52E699">
      <w:pPr>
        <w:spacing w:after="100"/>
        <w:ind w:firstLine="18"/>
        <w:jc w:val="left"/>
        <w:rPr>
          <w:rFonts w:cs="Arial"/>
          <w:color w:val="000000" w:themeColor="text1"/>
        </w:rPr>
      </w:pPr>
      <w:r w:rsidRPr="00942382">
        <w:rPr>
          <w:rFonts w:cs="Arial"/>
          <w:color w:val="000000" w:themeColor="text1"/>
        </w:rPr>
        <w:t>Office for National Statistics (2022) How the population changed in Birmingham: Census 2021. Available at: https://www.ons.gov.uk/visualisations/censuspopulationchange/E08000025/ (Accessed: 1</w:t>
      </w:r>
      <w:r w:rsidRPr="00942382" w:rsidR="00942382">
        <w:rPr>
          <w:rFonts w:cs="Arial"/>
          <w:color w:val="000000" w:themeColor="text1"/>
        </w:rPr>
        <w:t>4</w:t>
      </w:r>
      <w:r w:rsidRPr="00942382">
        <w:rPr>
          <w:rFonts w:cs="Arial"/>
          <w:color w:val="000000" w:themeColor="text1"/>
        </w:rPr>
        <w:t xml:space="preserve"> July 2026).</w:t>
      </w:r>
    </w:p>
    <w:p w:rsidRPr="00942382" w:rsidR="00BA747E" w:rsidP="00942382" w:rsidRDefault="00000000" w14:paraId="525F88FE" w14:textId="02E559FB">
      <w:pPr>
        <w:spacing w:after="100"/>
        <w:ind w:firstLine="18"/>
        <w:jc w:val="left"/>
        <w:rPr>
          <w:rFonts w:cs="Arial"/>
          <w:color w:val="000000" w:themeColor="text1"/>
        </w:rPr>
      </w:pPr>
      <w:r w:rsidRPr="00942382">
        <w:rPr>
          <w:rFonts w:cs="Arial"/>
          <w:color w:val="000000" w:themeColor="text1"/>
        </w:rPr>
        <w:t>Office for National Statistics (2023) How life has changed in Birmingham: Census 2021. Available at: https://www.ons.gov.uk/visualisations/censusareachanges/E08000025/ (Accessed: 1</w:t>
      </w:r>
      <w:r w:rsidRPr="00942382" w:rsidR="00942382">
        <w:rPr>
          <w:rFonts w:cs="Arial"/>
          <w:color w:val="000000" w:themeColor="text1"/>
        </w:rPr>
        <w:t>4</w:t>
      </w:r>
      <w:r w:rsidRPr="00942382">
        <w:rPr>
          <w:rFonts w:cs="Arial"/>
          <w:color w:val="000000" w:themeColor="text1"/>
        </w:rPr>
        <w:t xml:space="preserve"> July 2026).</w:t>
      </w:r>
    </w:p>
    <w:p w:rsidRPr="00942382" w:rsidR="00BA747E" w:rsidP="00942382" w:rsidRDefault="00000000" w14:paraId="36175B1B" w14:textId="74E6ECA0">
      <w:pPr>
        <w:spacing w:after="100"/>
        <w:ind w:firstLine="18"/>
        <w:jc w:val="left"/>
        <w:rPr>
          <w:rFonts w:cs="Arial"/>
          <w:color w:val="000000" w:themeColor="text1"/>
        </w:rPr>
      </w:pPr>
      <w:r w:rsidRPr="00942382">
        <w:rPr>
          <w:rFonts w:cs="Arial"/>
          <w:color w:val="000000" w:themeColor="text1"/>
        </w:rPr>
        <w:t>Office for National Statistics (2024) Risk factors for undiagnosed type 2 diabetes in England. Newport: ONS. Available at: https://www.ons.gov.uk/peoplepopulationandcommunity/healthandsocialcare/conditionsanddiseases/ (Accessed: 1</w:t>
      </w:r>
      <w:r w:rsidRPr="00942382" w:rsidR="00942382">
        <w:rPr>
          <w:rFonts w:cs="Arial"/>
          <w:color w:val="000000" w:themeColor="text1"/>
        </w:rPr>
        <w:t>4</w:t>
      </w:r>
      <w:r w:rsidRPr="00942382">
        <w:rPr>
          <w:rFonts w:cs="Arial"/>
          <w:color w:val="000000" w:themeColor="text1"/>
        </w:rPr>
        <w:t xml:space="preserve"> July 2026).</w:t>
      </w:r>
    </w:p>
    <w:p w:rsidRPr="00942382" w:rsidR="00BA747E" w:rsidP="00942382" w:rsidRDefault="00000000" w14:paraId="390EE4B0" w14:textId="4CB9D713">
      <w:pPr>
        <w:spacing w:after="100"/>
        <w:ind w:firstLine="18"/>
        <w:jc w:val="left"/>
        <w:rPr>
          <w:rFonts w:cs="Arial"/>
          <w:color w:val="000000" w:themeColor="text1"/>
        </w:rPr>
      </w:pPr>
      <w:r w:rsidRPr="00942382">
        <w:rPr>
          <w:rFonts w:cs="Arial"/>
          <w:color w:val="000000" w:themeColor="text1"/>
        </w:rPr>
        <w:t>Race Equality Foundation (2023) Racism is the root cause of ethnic inequalities in health. London: Race Equality Foundation. Available at: https://raceequalityfoundation.org.uk/health-care/ (Accessed: 1</w:t>
      </w:r>
      <w:r w:rsidRPr="00942382" w:rsidR="00942382">
        <w:rPr>
          <w:rFonts w:cs="Arial"/>
          <w:color w:val="000000" w:themeColor="text1"/>
        </w:rPr>
        <w:t>4</w:t>
      </w:r>
      <w:r w:rsidRPr="00942382">
        <w:rPr>
          <w:rFonts w:cs="Arial"/>
          <w:color w:val="000000" w:themeColor="text1"/>
        </w:rPr>
        <w:t xml:space="preserve"> July 2026).</w:t>
      </w:r>
    </w:p>
    <w:p w:rsidRPr="00942382" w:rsidR="00BA747E" w:rsidP="00942382" w:rsidRDefault="00000000" w14:paraId="0B681187" w14:textId="1FB41AC6">
      <w:pPr>
        <w:spacing w:after="100"/>
        <w:ind w:firstLine="18"/>
        <w:jc w:val="left"/>
        <w:rPr>
          <w:rFonts w:cs="Arial"/>
          <w:color w:val="000000" w:themeColor="text1"/>
        </w:rPr>
      </w:pPr>
      <w:r w:rsidRPr="00942382">
        <w:rPr>
          <w:rFonts w:cs="Arial"/>
          <w:color w:val="000000" w:themeColor="text1"/>
        </w:rPr>
        <w:t>Race Equality Foundation (2026) Health and care: Research, briefings and programmes. Available at: https://raceequalityfoundation.org.uk/health-care/ (Accessed: 1</w:t>
      </w:r>
      <w:r w:rsidRPr="00942382" w:rsidR="00942382">
        <w:rPr>
          <w:rFonts w:cs="Arial"/>
          <w:color w:val="000000" w:themeColor="text1"/>
        </w:rPr>
        <w:t>4</w:t>
      </w:r>
      <w:r w:rsidRPr="00942382">
        <w:rPr>
          <w:rFonts w:cs="Arial"/>
          <w:color w:val="000000" w:themeColor="text1"/>
        </w:rPr>
        <w:t xml:space="preserve"> July 2026).</w:t>
      </w:r>
    </w:p>
    <w:p w:rsidRPr="00942382" w:rsidR="00BA747E" w:rsidP="00942382" w:rsidRDefault="00000000" w14:paraId="32751680" w14:textId="77777777">
      <w:pPr>
        <w:spacing w:after="100"/>
        <w:ind w:firstLine="18"/>
        <w:jc w:val="left"/>
        <w:rPr>
          <w:rFonts w:cs="Arial"/>
          <w:color w:val="000000" w:themeColor="text1"/>
        </w:rPr>
      </w:pPr>
      <w:r w:rsidRPr="00942382">
        <w:rPr>
          <w:rFonts w:cs="Arial"/>
          <w:color w:val="000000" w:themeColor="text1"/>
        </w:rPr>
        <w:t xml:space="preserve">Reeves, D., Wood, S., Sutton, M. et al. (2023) ‘Factors associated with uptake of the NHS Diabetes Prevention </w:t>
      </w:r>
      <w:proofErr w:type="spellStart"/>
      <w:r w:rsidRPr="00942382">
        <w:rPr>
          <w:rFonts w:cs="Arial"/>
          <w:color w:val="000000" w:themeColor="text1"/>
        </w:rPr>
        <w:t>Programme</w:t>
      </w:r>
      <w:proofErr w:type="spellEnd"/>
      <w:r w:rsidRPr="00942382">
        <w:rPr>
          <w:rFonts w:cs="Arial"/>
          <w:color w:val="000000" w:themeColor="text1"/>
        </w:rPr>
        <w:t>’, BMC Health Services Research, 23, 352.</w:t>
      </w:r>
    </w:p>
    <w:p w:rsidRPr="00942382" w:rsidR="00BA747E" w:rsidP="00942382" w:rsidRDefault="00000000" w14:paraId="50ECF7A7" w14:textId="77777777">
      <w:pPr>
        <w:spacing w:after="100"/>
        <w:ind w:firstLine="18"/>
        <w:jc w:val="left"/>
        <w:rPr>
          <w:rFonts w:cs="Arial"/>
          <w:color w:val="000000" w:themeColor="text1"/>
        </w:rPr>
      </w:pPr>
      <w:r w:rsidRPr="00942382">
        <w:rPr>
          <w:rFonts w:cs="Arial"/>
          <w:color w:val="000000" w:themeColor="text1"/>
        </w:rPr>
        <w:t xml:space="preserve">Ross, </w:t>
      </w:r>
      <w:proofErr w:type="spellStart"/>
      <w:r w:rsidRPr="00942382">
        <w:rPr>
          <w:rFonts w:cs="Arial"/>
          <w:color w:val="000000" w:themeColor="text1"/>
        </w:rPr>
        <w:t>J.A.D</w:t>
      </w:r>
      <w:proofErr w:type="spellEnd"/>
      <w:r w:rsidRPr="00942382">
        <w:rPr>
          <w:rFonts w:cs="Arial"/>
          <w:color w:val="000000" w:themeColor="text1"/>
        </w:rPr>
        <w:t xml:space="preserve">., Barron, E., McGough, B. et al. (2022) ‘Uptake and impact of the English National Health Service digital diabetes prevention </w:t>
      </w:r>
      <w:proofErr w:type="spellStart"/>
      <w:r w:rsidRPr="00942382">
        <w:rPr>
          <w:rFonts w:cs="Arial"/>
          <w:color w:val="000000" w:themeColor="text1"/>
        </w:rPr>
        <w:t>programme</w:t>
      </w:r>
      <w:proofErr w:type="spellEnd"/>
      <w:r w:rsidRPr="00942382">
        <w:rPr>
          <w:rFonts w:cs="Arial"/>
          <w:color w:val="000000" w:themeColor="text1"/>
        </w:rPr>
        <w:t xml:space="preserve">’, BMJ Open Diabetes Research &amp; Care, 10(3), e002736. </w:t>
      </w:r>
      <w:proofErr w:type="spellStart"/>
      <w:r w:rsidRPr="00942382">
        <w:rPr>
          <w:rFonts w:cs="Arial"/>
          <w:color w:val="000000" w:themeColor="text1"/>
        </w:rPr>
        <w:t>doi</w:t>
      </w:r>
      <w:proofErr w:type="spellEnd"/>
      <w:r w:rsidRPr="00942382">
        <w:rPr>
          <w:rFonts w:cs="Arial"/>
          <w:color w:val="000000" w:themeColor="text1"/>
        </w:rPr>
        <w:t>: 10.1136/bmjdrc-2021-002736.</w:t>
      </w:r>
    </w:p>
    <w:p w:rsidRPr="00942382" w:rsidR="00BA747E" w:rsidP="00942382" w:rsidRDefault="00000000" w14:paraId="2DE5A2A0" w14:textId="77777777">
      <w:pPr>
        <w:spacing w:after="100"/>
        <w:ind w:firstLine="18"/>
        <w:jc w:val="left"/>
        <w:rPr>
          <w:rFonts w:cs="Arial"/>
          <w:color w:val="000000" w:themeColor="text1"/>
        </w:rPr>
      </w:pPr>
      <w:r w:rsidRPr="00942382">
        <w:rPr>
          <w:rFonts w:cs="Arial"/>
          <w:color w:val="000000" w:themeColor="text1"/>
        </w:rPr>
        <w:t xml:space="preserve">Skivington, K., Matthews, L., Simpson, S.A., Craig, P., Baird, J., </w:t>
      </w:r>
      <w:proofErr w:type="spellStart"/>
      <w:r w:rsidRPr="00942382">
        <w:rPr>
          <w:rFonts w:cs="Arial"/>
          <w:color w:val="000000" w:themeColor="text1"/>
        </w:rPr>
        <w:t>Blazeby</w:t>
      </w:r>
      <w:proofErr w:type="spellEnd"/>
      <w:r w:rsidRPr="00942382">
        <w:rPr>
          <w:rFonts w:cs="Arial"/>
          <w:color w:val="000000" w:themeColor="text1"/>
        </w:rPr>
        <w:t xml:space="preserve">, J.M. et al. (2021) ‘A new framework for developing and evaluating complex interventions: Update of Medical Research Council guidance’, BMJ, 374, n2061. </w:t>
      </w:r>
      <w:proofErr w:type="spellStart"/>
      <w:r w:rsidRPr="00942382">
        <w:rPr>
          <w:rFonts w:cs="Arial"/>
          <w:color w:val="000000" w:themeColor="text1"/>
        </w:rPr>
        <w:t>doi</w:t>
      </w:r>
      <w:proofErr w:type="spellEnd"/>
      <w:r w:rsidRPr="00942382">
        <w:rPr>
          <w:rFonts w:cs="Arial"/>
          <w:color w:val="000000" w:themeColor="text1"/>
        </w:rPr>
        <w:t>: 10.1136/</w:t>
      </w:r>
      <w:proofErr w:type="gramStart"/>
      <w:r w:rsidRPr="00942382">
        <w:rPr>
          <w:rFonts w:cs="Arial"/>
          <w:color w:val="000000" w:themeColor="text1"/>
        </w:rPr>
        <w:t>bmj.n</w:t>
      </w:r>
      <w:proofErr w:type="gramEnd"/>
      <w:r w:rsidRPr="00942382">
        <w:rPr>
          <w:rFonts w:cs="Arial"/>
          <w:color w:val="000000" w:themeColor="text1"/>
        </w:rPr>
        <w:t>2061.</w:t>
      </w:r>
    </w:p>
    <w:p w:rsidRPr="00942382" w:rsidR="00BA747E" w:rsidP="00942382" w:rsidRDefault="00000000" w14:paraId="5D9CAF9C" w14:textId="77777777">
      <w:pPr>
        <w:spacing w:after="100"/>
        <w:ind w:firstLine="18"/>
        <w:jc w:val="left"/>
        <w:rPr>
          <w:rFonts w:cs="Arial"/>
          <w:color w:val="000000" w:themeColor="text1"/>
        </w:rPr>
      </w:pPr>
      <w:proofErr w:type="spellStart"/>
      <w:r w:rsidRPr="00942382">
        <w:rPr>
          <w:rFonts w:cs="Arial"/>
          <w:color w:val="000000" w:themeColor="text1"/>
        </w:rPr>
        <w:t>Valabhji</w:t>
      </w:r>
      <w:proofErr w:type="spellEnd"/>
      <w:r w:rsidRPr="00942382">
        <w:rPr>
          <w:rFonts w:cs="Arial"/>
          <w:color w:val="000000" w:themeColor="text1"/>
        </w:rPr>
        <w:t xml:space="preserve">, J., Barron, E., Bradley, D., </w:t>
      </w:r>
      <w:proofErr w:type="spellStart"/>
      <w:r w:rsidRPr="00942382">
        <w:rPr>
          <w:rFonts w:cs="Arial"/>
          <w:color w:val="000000" w:themeColor="text1"/>
        </w:rPr>
        <w:t>Bakhai</w:t>
      </w:r>
      <w:proofErr w:type="spellEnd"/>
      <w:r w:rsidRPr="00942382">
        <w:rPr>
          <w:rFonts w:cs="Arial"/>
          <w:color w:val="000000" w:themeColor="text1"/>
        </w:rPr>
        <w:t xml:space="preserve">, C., Fagg, J., O’Neill, S. et al. (2020) ‘Early outcomes from the English National Health Service Diabetes Prevention </w:t>
      </w:r>
      <w:proofErr w:type="spellStart"/>
      <w:r w:rsidRPr="00942382">
        <w:rPr>
          <w:rFonts w:cs="Arial"/>
          <w:color w:val="000000" w:themeColor="text1"/>
        </w:rPr>
        <w:t>Programme</w:t>
      </w:r>
      <w:proofErr w:type="spellEnd"/>
      <w:r w:rsidRPr="00942382">
        <w:rPr>
          <w:rFonts w:cs="Arial"/>
          <w:color w:val="000000" w:themeColor="text1"/>
        </w:rPr>
        <w:t xml:space="preserve">’, Diabetes Care, 43(1), pp. 152–160. </w:t>
      </w:r>
      <w:proofErr w:type="spellStart"/>
      <w:r w:rsidRPr="00942382">
        <w:rPr>
          <w:rFonts w:cs="Arial"/>
          <w:color w:val="000000" w:themeColor="text1"/>
        </w:rPr>
        <w:t>doi</w:t>
      </w:r>
      <w:proofErr w:type="spellEnd"/>
      <w:r w:rsidRPr="00942382">
        <w:rPr>
          <w:rFonts w:cs="Arial"/>
          <w:color w:val="000000" w:themeColor="text1"/>
        </w:rPr>
        <w:t>: 10.2337/dc19-1425.</w:t>
      </w:r>
    </w:p>
    <w:p w:rsidRPr="00942382" w:rsidR="00BA747E" w:rsidP="00942382" w:rsidRDefault="00000000" w14:paraId="5F09EB8E" w14:textId="77777777">
      <w:pPr>
        <w:spacing w:after="100"/>
        <w:ind w:firstLine="18"/>
        <w:jc w:val="left"/>
        <w:rPr>
          <w:rFonts w:cs="Arial"/>
          <w:color w:val="000000" w:themeColor="text1"/>
        </w:rPr>
      </w:pPr>
      <w:r w:rsidRPr="00942382">
        <w:rPr>
          <w:rFonts w:cs="Arial"/>
          <w:color w:val="000000" w:themeColor="text1"/>
        </w:rPr>
        <w:t xml:space="preserve">Whelan, M. and Bell, L. (2022) ‘The English National Health Service Diabetes Prevention </w:t>
      </w:r>
      <w:proofErr w:type="spellStart"/>
      <w:r w:rsidRPr="00942382">
        <w:rPr>
          <w:rFonts w:cs="Arial"/>
          <w:color w:val="000000" w:themeColor="text1"/>
        </w:rPr>
        <w:t>Programme</w:t>
      </w:r>
      <w:proofErr w:type="spellEnd"/>
      <w:r w:rsidRPr="00942382">
        <w:rPr>
          <w:rFonts w:cs="Arial"/>
          <w:color w:val="000000" w:themeColor="text1"/>
        </w:rPr>
        <w:t xml:space="preserve"> (NHS DPP): A scoping review of existing evidence’, Diabetic Medicine, 39(7), e14855. </w:t>
      </w:r>
      <w:proofErr w:type="spellStart"/>
      <w:r w:rsidRPr="00942382">
        <w:rPr>
          <w:rFonts w:cs="Arial"/>
          <w:color w:val="000000" w:themeColor="text1"/>
        </w:rPr>
        <w:t>doi</w:t>
      </w:r>
      <w:proofErr w:type="spellEnd"/>
      <w:r w:rsidRPr="00942382">
        <w:rPr>
          <w:rFonts w:cs="Arial"/>
          <w:color w:val="000000" w:themeColor="text1"/>
        </w:rPr>
        <w:t>: 10.1111/dme.14855.</w:t>
      </w:r>
    </w:p>
    <w:p w:rsidRPr="00942382" w:rsidR="00BA747E" w:rsidP="00942382" w:rsidRDefault="00000000" w14:paraId="1A9E9868" w14:textId="08854E4E">
      <w:pPr>
        <w:spacing w:after="100"/>
        <w:ind w:firstLine="18"/>
        <w:jc w:val="left"/>
        <w:rPr>
          <w:rFonts w:cs="Arial"/>
          <w:color w:val="000000" w:themeColor="text1"/>
        </w:rPr>
      </w:pPr>
      <w:r w:rsidRPr="00942382">
        <w:rPr>
          <w:rFonts w:cs="Arial"/>
          <w:color w:val="000000" w:themeColor="text1"/>
        </w:rPr>
        <w:t>World Health Organization (1986) Ottawa Charter for Health Promotion. Geneva: WHO. Available at: https://www.who.int/publications/i/item/ottawa-charter-for-health-promotion (Accessed: 1</w:t>
      </w:r>
      <w:r w:rsidRPr="00942382" w:rsidR="00942382">
        <w:rPr>
          <w:rFonts w:cs="Arial"/>
          <w:color w:val="000000" w:themeColor="text1"/>
        </w:rPr>
        <w:t>6</w:t>
      </w:r>
      <w:r w:rsidRPr="00942382">
        <w:rPr>
          <w:rFonts w:cs="Arial"/>
          <w:color w:val="000000" w:themeColor="text1"/>
        </w:rPr>
        <w:t xml:space="preserve"> July 2026).</w:t>
      </w:r>
    </w:p>
    <w:p w:rsidRPr="00942382" w:rsidR="00BA747E" w:rsidP="00942382" w:rsidRDefault="00000000" w14:paraId="51497DE2" w14:textId="60B1FE72">
      <w:pPr>
        <w:spacing w:after="100"/>
        <w:ind w:firstLine="18"/>
        <w:jc w:val="left"/>
        <w:rPr>
          <w:rFonts w:cs="Arial"/>
          <w:color w:val="000000" w:themeColor="text1"/>
        </w:rPr>
      </w:pPr>
      <w:r w:rsidRPr="00942382">
        <w:rPr>
          <w:rFonts w:cs="Arial"/>
          <w:color w:val="000000" w:themeColor="text1"/>
        </w:rPr>
        <w:t>World Health Organization (2024) Diabetes: Fact sheet. Geneva: WHO. Available at: https://www.who.int/news-room/fact-sheets/detail/diabetes (Accessed: 1</w:t>
      </w:r>
      <w:r w:rsidRPr="00942382" w:rsidR="00942382">
        <w:rPr>
          <w:rFonts w:cs="Arial"/>
          <w:color w:val="000000" w:themeColor="text1"/>
        </w:rPr>
        <w:t>6</w:t>
      </w:r>
      <w:r w:rsidRPr="00942382">
        <w:rPr>
          <w:rFonts w:cs="Arial"/>
          <w:color w:val="000000" w:themeColor="text1"/>
        </w:rPr>
        <w:t xml:space="preserve"> July 2026).</w:t>
      </w:r>
    </w:p>
    <w:sectPr w:rsidRPr="00942382" w:rsidR="00BA747E" w:rsidSect="000103C7">
      <w:footerReference w:type="default" r:id="rId8"/>
      <w:pgSz w:w="12240" w:h="15840" w:orient="portrait"/>
      <w:pgMar w:top="1080" w:right="1296" w:bottom="1080"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76B6E" w:rsidRDefault="00476B6E" w14:paraId="301237C2" w14:textId="77777777">
      <w:pPr>
        <w:spacing w:after="0" w:line="240" w:lineRule="auto"/>
      </w:pPr>
      <w:r>
        <w:separator/>
      </w:r>
    </w:p>
  </w:endnote>
  <w:endnote w:type="continuationSeparator" w:id="0">
    <w:p w:rsidR="00476B6E" w:rsidRDefault="00476B6E" w14:paraId="6BFEE33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A747E" w:rsidRDefault="00000000" w14:paraId="70EAB985" w14:textId="77777777">
    <w:pPr>
      <w:pStyle w:val="Footer"/>
      <w:jc w:val="center"/>
    </w:pPr>
    <w:r>
      <w:rPr>
        <w:sz w:val="18"/>
      </w:rPr>
      <w:t xml:space="preserve">Page </w:t>
    </w:r>
    <w:r>
      <w:rPr>
        <w:sz w:val="18"/>
      </w:rPr>
      <w:fldChar w:fldCharType="begin"/>
    </w:r>
    <w:r>
      <w:rPr>
        <w:sz w:val="18"/>
      </w:rPr>
      <w:instrText>PAGE</w:instrText>
    </w:r>
    <w:r>
      <w:rPr>
        <w:sz w:val="18"/>
      </w:rPr>
      <w:fldChar w:fldCharType="separate"/>
    </w:r>
    <w:r w:rsidR="00452BFB">
      <w:rPr>
        <w:noProof/>
        <w:sz w:val="18"/>
      </w:rPr>
      <w:t>1</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76B6E" w:rsidRDefault="00476B6E" w14:paraId="2115E5E7" w14:textId="77777777">
      <w:pPr>
        <w:spacing w:after="0" w:line="240" w:lineRule="auto"/>
      </w:pPr>
      <w:r>
        <w:separator/>
      </w:r>
    </w:p>
  </w:footnote>
  <w:footnote w:type="continuationSeparator" w:id="0">
    <w:p w:rsidR="00476B6E" w:rsidRDefault="00476B6E" w14:paraId="04938054"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 w16cid:durableId="828441022">
    <w:abstractNumId w:val="8"/>
  </w:num>
  <w:num w:numId="2" w16cid:durableId="1350565939">
    <w:abstractNumId w:val="6"/>
  </w:num>
  <w:num w:numId="3" w16cid:durableId="1282374440">
    <w:abstractNumId w:val="5"/>
  </w:num>
  <w:num w:numId="4" w16cid:durableId="1012534484">
    <w:abstractNumId w:val="4"/>
  </w:num>
  <w:num w:numId="5" w16cid:durableId="1822187066">
    <w:abstractNumId w:val="7"/>
  </w:num>
  <w:num w:numId="6" w16cid:durableId="1641105450">
    <w:abstractNumId w:val="3"/>
  </w:num>
  <w:num w:numId="7" w16cid:durableId="1928339242">
    <w:abstractNumId w:val="2"/>
  </w:num>
  <w:num w:numId="8" w16cid:durableId="264464746">
    <w:abstractNumId w:val="1"/>
  </w:num>
  <w:num w:numId="9" w16cid:durableId="612712613">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sjQ0MjExMzA2sjCxMDJX0lEKTi0uzszPAykwqgUA1fvX7ywAAAA="/>
  </w:docVars>
  <w:rsids>
    <w:rsidRoot w:val="00B47730"/>
    <w:rsid w:val="00000000"/>
    <w:rsid w:val="000103C7"/>
    <w:rsid w:val="00034616"/>
    <w:rsid w:val="0006063C"/>
    <w:rsid w:val="0015074B"/>
    <w:rsid w:val="0016742C"/>
    <w:rsid w:val="0029639D"/>
    <w:rsid w:val="00326F90"/>
    <w:rsid w:val="00452BFB"/>
    <w:rsid w:val="00476B6E"/>
    <w:rsid w:val="00516488"/>
    <w:rsid w:val="005E5B77"/>
    <w:rsid w:val="006032A2"/>
    <w:rsid w:val="006E3873"/>
    <w:rsid w:val="00761C08"/>
    <w:rsid w:val="00772E75"/>
    <w:rsid w:val="00942382"/>
    <w:rsid w:val="00AA1D8D"/>
    <w:rsid w:val="00B47730"/>
    <w:rsid w:val="00BA747E"/>
    <w:rsid w:val="00CB0664"/>
    <w:rsid w:val="00D2480C"/>
    <w:rsid w:val="00D87240"/>
    <w:rsid w:val="00DD4C60"/>
    <w:rsid w:val="00DF3645"/>
    <w:rsid w:val="00E94B08"/>
    <w:rsid w:val="00F45744"/>
    <w:rsid w:val="00FA0B28"/>
    <w:rsid w:val="00FC693F"/>
    <w:rsid w:val="030BDEBE"/>
    <w:rsid w:val="045AF212"/>
    <w:rsid w:val="140E5013"/>
    <w:rsid w:val="1CBE3E30"/>
    <w:rsid w:val="23EF5A55"/>
    <w:rsid w:val="2F523A11"/>
    <w:rsid w:val="2F5FBD8F"/>
    <w:rsid w:val="31B15133"/>
    <w:rsid w:val="329318AB"/>
    <w:rsid w:val="34F94537"/>
    <w:rsid w:val="3B97D3CC"/>
    <w:rsid w:val="52DAF5D9"/>
    <w:rsid w:val="5A05E79C"/>
    <w:rsid w:val="6945A0C6"/>
    <w:rsid w:val="7549C6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488C7A1"/>
  <w14:defaultImageDpi w14:val="300"/>
  <w15:docId w15:val="{11673226-8BDC-4421-8848-36E80683628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693F"/>
    <w:pPr>
      <w:spacing w:after="120" w:line="360" w:lineRule="auto"/>
      <w:jc w:val="both"/>
    </w:pPr>
    <w:rPr>
      <w:rFonts w:ascii="Arial" w:hAnsi="Arial" w:eastAsia="Arial"/>
    </w:rPr>
  </w:style>
  <w:style w:type="paragraph" w:styleId="Heading1">
    <w:name w:val="heading 1"/>
    <w:basedOn w:val="Normal"/>
    <w:next w:val="Normal"/>
    <w:link w:val="Heading1Char"/>
    <w:uiPriority w:val="9"/>
    <w:qFormat/>
    <w:rsid w:val="00FC693F"/>
    <w:pPr>
      <w:keepNext/>
      <w:keepLines/>
      <w:spacing w:before="200" w:after="100"/>
      <w:outlineLvl w:val="0"/>
    </w:pPr>
    <w:rPr>
      <w:rFonts w:asciiTheme="majorHAnsi" w:hAnsiTheme="majorHAnsi" w:eastAsiaTheme="majorEastAsia" w:cstheme="majorBidi"/>
      <w:b/>
      <w:bCs/>
      <w:color w:val="1F4E79"/>
      <w:sz w:val="28"/>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hAnsiTheme="majorHAnsi" w:eastAsiaTheme="majorEastAsia" w:cstheme="majorBidi"/>
      <w:b/>
      <w:bCs/>
      <w:color w:val="1F4E79"/>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keepNext/>
      <w:pBdr>
        <w:bottom w:val="single" w:color="4F81BD" w:themeColor="accent1" w:sz="8" w:space="4"/>
      </w:pBdr>
      <w:spacing w:before="200" w:after="100" w:line="240" w:lineRule="auto"/>
      <w:contextualSpacing/>
    </w:pPr>
    <w:rPr>
      <w:rFonts w:asciiTheme="majorHAnsi" w:hAnsiTheme="majorHAnsi" w:eastAsiaTheme="majorEastAsia" w:cstheme="majorBidi"/>
      <w:b/>
      <w:color w:val="1F4E79"/>
      <w:spacing w:val="5"/>
      <w:kern w:val="28"/>
      <w:sz w:val="36"/>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revision>8</revision>
  <dcterms:created xsi:type="dcterms:W3CDTF">2013-12-23T23:15:00.0000000Z</dcterms:created>
  <dcterms:modified xsi:type="dcterms:W3CDTF">2026-07-22T07:59:52.0798002Z</dcterms:modified>
  <category/>
  <lastModifiedBy>Amreen Akhtar (2214675)</lastModifiedBy>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093646f2-19ac-4cfa-a653-31d9c5db2f1a</vt:lpwstr>
  </property>
</Properties>
</file>