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07928ACB"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763CB3" w:rsidRPr="00876921" w14:paraId="31839A4F" w14:textId="77777777" w:rsidTr="003E4E77">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E28DBD0" w:rsidR="00763CB3" w:rsidRPr="00876921" w:rsidRDefault="00FF5B39"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Taylor Clapham </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97" w:type="dxa"/>
          </w:tcPr>
          <w:p w14:paraId="77FC9F99" w14:textId="1A24D9E6" w:rsidR="00763CB3" w:rsidRPr="00876921" w:rsidRDefault="00FF5B39"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2319746</w:t>
            </w:r>
          </w:p>
        </w:tc>
      </w:tr>
      <w:tr w:rsidR="00763CB3" w:rsidRPr="00876921" w14:paraId="62602496" w14:textId="77777777" w:rsidTr="003E4E77">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58" w:type="dxa"/>
            <w:gridSpan w:val="3"/>
          </w:tcPr>
          <w:p w14:paraId="0834885E" w14:textId="3BC40D20" w:rsidR="00763CB3" w:rsidRPr="00876921" w:rsidRDefault="0017517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03E4E77">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58"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3E4E77">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97"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3E4E77">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5EE71BD"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97"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03E4E77">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EA6E1EE"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w:t>
            </w:r>
            <w:r w:rsidR="00976033">
              <w:rPr>
                <w:rFonts w:ascii="Arial" w:eastAsia="Times New Roman" w:hAnsi="Arial" w:cs="Arial"/>
                <w:b/>
                <w:lang w:eastAsia="en-GB"/>
              </w:rPr>
              <w:t>2</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97"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3E4E77">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705C419" w:rsidR="00763CB3" w:rsidRPr="0056047D" w:rsidRDefault="0039280E" w:rsidP="006739BE">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w:t>
            </w:r>
            <w:r w:rsidR="00223A86">
              <w:rPr>
                <w:rFonts w:ascii="Arial" w:eastAsia="Times New Roman" w:hAnsi="Arial" w:cs="Arial"/>
                <w:b/>
                <w:bCs/>
                <w:lang w:eastAsia="en-GB"/>
              </w:rPr>
              <w:t>6</w:t>
            </w:r>
            <w:r w:rsidR="00223A86" w:rsidRPr="00223A86">
              <w:rPr>
                <w:rFonts w:ascii="Arial" w:eastAsia="Times New Roman" w:hAnsi="Arial" w:cs="Arial"/>
                <w:b/>
                <w:bCs/>
                <w:vertAlign w:val="superscript"/>
                <w:lang w:eastAsia="en-GB"/>
              </w:rPr>
              <w:t>th</w:t>
            </w:r>
            <w:r w:rsidR="00223A86">
              <w:rPr>
                <w:rFonts w:ascii="Arial" w:eastAsia="Times New Roman" w:hAnsi="Arial" w:cs="Arial"/>
                <w:b/>
                <w:bCs/>
                <w:lang w:eastAsia="en-GB"/>
              </w:rPr>
              <w:t xml:space="preserve"> May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97" w:type="dxa"/>
          </w:tcPr>
          <w:p w14:paraId="654E3959" w14:textId="5CB116DC" w:rsidR="00763CB3" w:rsidRPr="00876921" w:rsidRDefault="0039280E"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16</w:t>
            </w:r>
            <w:r w:rsidR="00223A86">
              <w:rPr>
                <w:rFonts w:ascii="Arial" w:eastAsia="Times New Roman" w:hAnsi="Arial" w:cs="Arial"/>
                <w:b/>
                <w:bCs/>
                <w:vertAlign w:val="superscript"/>
                <w:lang w:eastAsia="en-GB"/>
              </w:rPr>
              <w:t xml:space="preserve">th </w:t>
            </w:r>
            <w:r w:rsidR="00223A86">
              <w:rPr>
                <w:rFonts w:ascii="Arial" w:eastAsia="Times New Roman" w:hAnsi="Arial" w:cs="Arial"/>
                <w:b/>
                <w:bCs/>
                <w:lang w:eastAsia="en-GB"/>
              </w:rPr>
              <w:t>June 2025</w:t>
            </w:r>
          </w:p>
        </w:tc>
      </w:tr>
      <w:tr w:rsidR="00763CB3" w:rsidRPr="00876921" w14:paraId="06994002" w14:textId="77777777" w:rsidTr="003E4E77">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58"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5A5C08C" w14:textId="3EB35970" w:rsidR="00763CB3" w:rsidRPr="00876921" w:rsidRDefault="008247AC" w:rsidP="00B025F3">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00763CB3" w:rsidRPr="00590326">
              <w:rPr>
                <w:rFonts w:ascii="Arial" w:eastAsia="Times New Roman" w:hAnsi="Arial" w:cs="Arial"/>
                <w:b/>
                <w:bCs/>
                <w:lang w:eastAsia="en-GB"/>
              </w:rPr>
              <w:t>DO NOT</w:t>
            </w:r>
            <w:r w:rsidR="00763CB3" w:rsidRPr="00876921">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03E4E77">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58" w:type="dxa"/>
            <w:gridSpan w:val="3"/>
            <w:shd w:val="clear" w:color="auto" w:fill="auto"/>
          </w:tcPr>
          <w:p w14:paraId="00F5551E" w14:textId="68BB9936" w:rsidR="00C821A1" w:rsidRDefault="00C821A1" w:rsidP="00C821A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r w:rsidR="00CC69AD" w:rsidRPr="00876921">
              <w:rPr>
                <w:rFonts w:ascii="Arial" w:eastAsia="Times New Roman" w:hAnsi="Arial" w:cs="Arial"/>
                <w:lang w:eastAsia="en-GB"/>
              </w:rPr>
              <w:t>submission,</w:t>
            </w:r>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5ECF1924" w14:textId="77777777" w:rsidR="00C821A1"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4A047197" w14:textId="77777777" w:rsidR="00C821A1" w:rsidRPr="000F2637"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2786884C" w14:textId="77777777" w:rsidR="00C821A1" w:rsidRPr="000B2EEB" w:rsidRDefault="00C821A1" w:rsidP="00C821A1">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33AAE973">
        <w:tc>
          <w:tcPr>
            <w:tcW w:w="9951" w:type="dxa"/>
            <w:gridSpan w:val="4"/>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bl>
    <w:p w14:paraId="4ADD6153" w14:textId="31594A1A" w:rsidR="00BB18E4" w:rsidRDefault="00BB18E4" w:rsidP="003E4E77">
      <w:pPr>
        <w:spacing w:after="0" w:line="276" w:lineRule="auto"/>
        <w:ind w:right="531"/>
        <w:rPr>
          <w:rFonts w:ascii="Arial" w:eastAsia="Times New Roman" w:hAnsi="Arial" w:cs="Arial"/>
          <w:i/>
          <w:iCs/>
          <w:lang w:eastAsia="en-GB"/>
        </w:rPr>
      </w:pPr>
    </w:p>
    <w:p w14:paraId="05B13421" w14:textId="77777777" w:rsidR="000963AC" w:rsidRDefault="000963AC" w:rsidP="009A0667">
      <w:pPr>
        <w:spacing w:after="0" w:line="276" w:lineRule="auto"/>
        <w:ind w:left="567" w:right="531" w:firstLine="294"/>
        <w:rPr>
          <w:rFonts w:ascii="Arial" w:eastAsia="Times New Roman" w:hAnsi="Arial" w:cs="Arial"/>
          <w:lang w:eastAsia="en-GB"/>
        </w:rPr>
      </w:pPr>
    </w:p>
    <w:p w14:paraId="26D34CB8" w14:textId="77777777" w:rsidR="00660533" w:rsidRPr="00BE545F" w:rsidRDefault="009747E5" w:rsidP="009747E5">
      <w:pPr>
        <w:pStyle w:val="ListParagraph"/>
        <w:numPr>
          <w:ilvl w:val="0"/>
          <w:numId w:val="21"/>
        </w:numPr>
        <w:spacing w:line="276" w:lineRule="auto"/>
        <w:ind w:left="567" w:right="531"/>
        <w:rPr>
          <w:rFonts w:ascii="Arial" w:eastAsia="Times New Roman" w:hAnsi="Arial" w:cs="Arial"/>
          <w:b/>
          <w:bCs/>
          <w:u w:val="single"/>
          <w:lang w:eastAsia="en-GB"/>
        </w:rPr>
      </w:pPr>
      <w:r w:rsidRPr="00BE545F">
        <w:rPr>
          <w:rFonts w:ascii="Arial" w:eastAsia="Times New Roman" w:hAnsi="Arial" w:cs="Arial"/>
          <w:b/>
          <w:bCs/>
          <w:u w:val="single"/>
          <w:lang w:eastAsia="en-GB"/>
        </w:rPr>
        <w:t xml:space="preserve">Why are </w:t>
      </w:r>
      <w:r w:rsidR="006C11DA" w:rsidRPr="00BE545F">
        <w:rPr>
          <w:rFonts w:ascii="Arial" w:eastAsia="Times New Roman" w:hAnsi="Arial" w:cs="Arial"/>
          <w:b/>
          <w:bCs/>
          <w:u w:val="single"/>
          <w:lang w:eastAsia="en-GB"/>
        </w:rPr>
        <w:t xml:space="preserve">terrorist </w:t>
      </w:r>
      <w:r w:rsidRPr="00BE545F">
        <w:rPr>
          <w:rFonts w:ascii="Arial" w:eastAsia="Times New Roman" w:hAnsi="Arial" w:cs="Arial"/>
          <w:b/>
          <w:bCs/>
          <w:u w:val="single"/>
          <w:lang w:eastAsia="en-GB"/>
        </w:rPr>
        <w:t xml:space="preserve">organisations often involved in </w:t>
      </w:r>
      <w:r w:rsidR="003D3AC0" w:rsidRPr="00BE545F">
        <w:rPr>
          <w:rFonts w:ascii="Arial" w:eastAsia="Times New Roman" w:hAnsi="Arial" w:cs="Arial"/>
          <w:b/>
          <w:bCs/>
          <w:u w:val="single"/>
          <w:lang w:eastAsia="en-GB"/>
        </w:rPr>
        <w:t xml:space="preserve">other forms of criminality (e.g. </w:t>
      </w:r>
      <w:r w:rsidRPr="00BE545F">
        <w:rPr>
          <w:rFonts w:ascii="Arial" w:eastAsia="Times New Roman" w:hAnsi="Arial" w:cs="Arial"/>
          <w:b/>
          <w:bCs/>
          <w:u w:val="single"/>
          <w:lang w:eastAsia="en-GB"/>
        </w:rPr>
        <w:t>acquisitive crime</w:t>
      </w:r>
      <w:r w:rsidR="003D3AC0" w:rsidRPr="00BE545F">
        <w:rPr>
          <w:rFonts w:ascii="Arial" w:eastAsia="Times New Roman" w:hAnsi="Arial" w:cs="Arial"/>
          <w:b/>
          <w:bCs/>
          <w:u w:val="single"/>
          <w:lang w:eastAsia="en-GB"/>
        </w:rPr>
        <w:t>)</w:t>
      </w:r>
      <w:r w:rsidR="00684AB2" w:rsidRPr="00BE545F">
        <w:rPr>
          <w:rFonts w:ascii="Arial" w:eastAsia="Times New Roman" w:hAnsi="Arial" w:cs="Arial"/>
          <w:b/>
          <w:bCs/>
          <w:u w:val="single"/>
          <w:lang w:eastAsia="en-GB"/>
        </w:rPr>
        <w:t>, and how can this inform counter-terrorism policing</w:t>
      </w:r>
      <w:r w:rsidRPr="00BE545F">
        <w:rPr>
          <w:rFonts w:ascii="Arial" w:hAnsi="Arial" w:cs="Arial"/>
          <w:b/>
          <w:bCs/>
          <w:u w:val="single"/>
        </w:rPr>
        <w:t xml:space="preserve">? </w:t>
      </w:r>
    </w:p>
    <w:p w14:paraId="1802E76D" w14:textId="2F4FE364" w:rsidR="009747E5" w:rsidRPr="00BE545F" w:rsidRDefault="009747E5" w:rsidP="00660533">
      <w:pPr>
        <w:pStyle w:val="ListParagraph"/>
        <w:spacing w:line="276" w:lineRule="auto"/>
        <w:ind w:left="567" w:right="531"/>
        <w:rPr>
          <w:rFonts w:ascii="Arial" w:eastAsia="Times New Roman" w:hAnsi="Arial" w:cs="Arial"/>
          <w:b/>
          <w:bCs/>
          <w:u w:val="single"/>
          <w:lang w:eastAsia="en-GB"/>
        </w:rPr>
      </w:pPr>
      <w:r w:rsidRPr="00BE545F">
        <w:rPr>
          <w:rFonts w:ascii="Arial" w:eastAsia="Times New Roman" w:hAnsi="Arial" w:cs="Arial"/>
          <w:b/>
          <w:bCs/>
          <w:u w:val="single"/>
          <w:lang w:eastAsia="en-GB"/>
        </w:rPr>
        <w:t xml:space="preserve">Your answer must be based on academic research, although you may make reference relevant case studies. </w:t>
      </w:r>
    </w:p>
    <w:p w14:paraId="513941B0" w14:textId="5F4C150F" w:rsidR="00C61A5D" w:rsidRPr="00884FAB" w:rsidRDefault="00C61A5D" w:rsidP="009A0667">
      <w:pPr>
        <w:pStyle w:val="ListParagraph"/>
        <w:spacing w:line="276" w:lineRule="auto"/>
        <w:ind w:left="567" w:right="531"/>
        <w:rPr>
          <w:rFonts w:ascii="Arial" w:eastAsia="Times New Roman" w:hAnsi="Arial" w:cs="Arial"/>
          <w:lang w:eastAsia="en-GB"/>
        </w:rPr>
      </w:pPr>
    </w:p>
    <w:p w14:paraId="69AADE52"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The increase in terrorism activity within the United Kingdom (UK) has highlighted the connection between ideological violence and other forms of criminality. The so-called "crime-terror nexus" represents the merging of terrorism with activities such as fraud, drug trafficking, robbery, and cybercrime. The link between acts of terrorism and acts of crime is known as the crime-terror nexus (LJUJIC, V., VAN PROOIJEN, J.W. and WEERMAN, F., 2017). While historically all these areas of crime were viewed as separate, criminality and terrorism are now linked as combined threats, particularly in urban, deprived, and prison environments within the UK. this overlap does not only increase the operational capacity of terrorist groups but additionally complicates the traditional models of counter terrorism policing.</w:t>
      </w:r>
    </w:p>
    <w:p w14:paraId="5B1FE1AE"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7121ADA5"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Terrorist groups are often motivated as these crimes are both planned and unplanned. Active terrorists regularly turn to criminal activity to fund their operations, avoid surveillance, or to source the planning by way of purchasing weapons, travel documents and safe houses. For instance, cases such as the 7/7 London bombers and more recent lone actors demonstrate how individuals involved in terrorism may already have a background in petty crime or fraud. The blurring of lines between ideology and profit further complicates efforts to distinguish between politically motivated violence and organised criminality. </w:t>
      </w:r>
    </w:p>
    <w:p w14:paraId="340F8030"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51B584FB"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Moreover, prisons serve as a significant developer for this nexus. Radicalisation within prisons often targets individuals with existing criminal tendencies, capitalising on their skills, networks, and vulnerabilities. The prison environment provides a unique setting where extremist ideologies can cross with criminal behaviour, creating a channel from incarceration to terrorism. Without effective rehabilitation, monitoring, and post-release interventions, these individuals pose an ongoing threat upon re-entry into society. </w:t>
      </w:r>
    </w:p>
    <w:p w14:paraId="3BBB7F54"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231093CE"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This essay explores why terrorist organisations and individuals in the UK engage in criminal activities, drawing on domestic research, case studies, and policy analysis. It examines the motives behind criminal behaviour, its practical benefits for extremist organisations, and how UK-specific counter-terrorism responses can evolve in light of these dynamics. Particular focus is placed on recent policy changes that highlight multi-agency cooperation, such as the pairing of organised crime teams with counterterrorism units and community-based initiatives aimed at lowering radicalisation at the grassroots level.</w:t>
      </w:r>
    </w:p>
    <w:p w14:paraId="4E031AF4"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682DE9AA"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The primary objective is to provide a realistic perspective on how intelligence and policing tactics might be improved and applied more successfully to counter the combined threat posed by the crime-terror nexus. A full understanding of this relationship is essential to creating and implementing proactive measures that combine traditional security frameworks with preventative social policies. In doing so, the UK can better adapt to the changing face of terrorism and build more resilient communities. </w:t>
      </w:r>
    </w:p>
    <w:p w14:paraId="446A1598"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From research it suggests that the many individuals involved in terrorism have had prior criminal involvement within the UK. Basra, Neumann, and Brunner (2016) provide compelling evidence that over half of jihadists from the UK and wider Europe had criminal records before their radicalisation. These individuals are often recruited through social networks rooted in criminal subcultures. The environments in which they operate deprived neighbourhoods, prisons, and gang communities serve as fertile ground for radicalisation.</w:t>
      </w:r>
    </w:p>
    <w:p w14:paraId="34CB4535"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752AC5B0"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lastRenderedPageBreak/>
        <w:t>It is not a coincidence that terrorists have criminal pasts but often instrumental to their contribution towards violent extremist views and action. Criminality provides an understanding of concealed behaviours, access to unlawful indicators, and a dilution of socially accepted moral boundaries. Rahman (2021) critiques the UK's Prevent programme for not sufficiently considering criminal histories when evaluating the risk of radicalisation. Rahman's examination of the Manchester Arena bomber, Salman Abedi, uncovers missed chances by authorities who disregarded Abedi's ties to local criminal organisations.</w:t>
      </w:r>
    </w:p>
    <w:p w14:paraId="04EEDD10"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Regarding the Manchester Arena bombing, Salmon Abedi was responsible for the attack in 2017. This represents the crime-terror nexus in the UK. Considering it is widely known for Abedi’s ideological motivations, he also had a history of low-level criminals’ behaviour and had ties to local gang activities. According to Rahman (2021), these affiliations were missed by both local police and the Prevent programme. Abedi’s ability to navigate criminal circles provided support with bot cover and practical resources in preparation for his attack. His example illustrates how neglecting the criminal terror overlap can lead to blind spots which is significant.</w:t>
      </w:r>
    </w:p>
    <w:p w14:paraId="5AA3667C"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499F7B50"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There are several key motivations that drive terrorists towards criminal behaviour in the UK, Firstly, financial independence, due to the decline with state sponsorships and tighter regulations regarding foreign charitable donations, UK based extremists are often reliant on self-funding by way of participating in criminal activities. Some crimes that are often used by extremists include fraud, identity theft, drug sales, and robbery as they are difficult for the authorities to trace and offer relatively low risk and productive methods of fundraising. Secondly, logistical infrastructure as criminal networks can provide logistical resources such as transport routes, forged documentation and safehouses. Terrorists can use these resources to enhance their operational efficiency. Thirdly, recruitment pools, for example prisons have been noted as environments where radicalisation thrives therefore acquiring new recruits in extremist activities. As well as this, criminal subcultures offer potential recruits as individuals involved in crime are often already desensitised to violence and may be seeking purpose or identity therefore making them susceptible to extremist narratives. Fourthly, Camouflage as individuals operating in criminal spaces may avoid suspicion from counter-terrorism agencies. Law enforcement may view them as typical offenders rather than ideological threats, allowing them to move with relative exemption. Lastly, Ideological Justification is another motivation for criminal involvement. Extremist groups often reinterpret religious or political ideologies to legitimise criminal acts. In the UK context, benefit fraud and drug sales have been reframed as acceptable forms of funding for Jihadists.</w:t>
      </w:r>
    </w:p>
    <w:p w14:paraId="064A84DB"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73D78266"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There have been numerous UK cases which demonstrates how terrorists have used criminal methods as a way to finance or facilitate their plots. For example, Mohammed Emwazi (known as "Jihadi John") was linked to criminal groups in West London before joining ISIS. Other British extremists have been involved in benefit fraud, fake charity collections, and counterfeit goods sales. </w:t>
      </w:r>
    </w:p>
    <w:p w14:paraId="2DB26FC7"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The 7/7 London bombers used fraudulent financial instruments and identity documents to support their travel and purchase materials. More recently, UK-based terror suspects have been found using online fraud, including phishing scams and the sale of illegal goods on dark web platforms. The use of cybercrime and cryptocurrencies for terror financing is an emerging area of concern highlighted in the 2019 ‘Contest’ strategy document. Furthermore, the Contest strategy document is seeking to deal with individuals and groups promoting division and hatred and predispose those individuals to respond to terrorist ideologies (House of Common, 2016).</w:t>
      </w:r>
    </w:p>
    <w:p w14:paraId="3176EE59"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3AA2A9FE"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xml:space="preserve">Prisons in the UK are significant incubators for both criminal and extremist behaviour whereby more people involve themselves in extremism which can cause a risk to the public upon release/ Reports from HM Inspectorate of Prisons and academic studies highlight the extent of radicalisation within the prison community. Individuals who have been convicted of non-terrorist </w:t>
      </w:r>
      <w:r w:rsidRPr="00633992">
        <w:rPr>
          <w:rFonts w:ascii="Arial" w:eastAsia="Times New Roman" w:hAnsi="Arial" w:cs="Arial"/>
          <w:lang w:eastAsia="en-GB"/>
        </w:rPr>
        <w:lastRenderedPageBreak/>
        <w:t>crimes may encounter radicalised persons and adopt their extremist ideologies as a way of gaining respect, meaning or protection. Koehler (2017) notes that extremist recruitment in prisons often mirrors gang recruitment tactics, offering identity and purpose to individuals with few prospects upon release. In this context, it shows that the criminal-terror nexus is more than operational, it is a psychological and social phenomenon rooted in shared grievances, status-seeking, and group belonging which causes more people associate themselves with extremism.</w:t>
      </w:r>
    </w:p>
    <w:p w14:paraId="0D605110"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431299D8"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There have been policy and policing failures, UK counter terrorism policing has often struggled to combine criminal intelligence effectively into broader threat assessments, despite growing recognition of the crime terror nexus. Rahman (2021) identifies this disconnection as a significant flaw in the Prevent strategy, which often fails to account for how criminality can serve as both a gateway and enabler of extremism. The Prevent Strategy is one of the four strands on the governments counter terrorism strategy, more commonly known as Contest (BBC, 2017).</w:t>
      </w:r>
    </w:p>
    <w:p w14:paraId="3BA4D4CD"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Law enforcement agencies such as the police, MI5, and the National Crime Agency (NCA) frequently operate in departments, with organised crime and counter-terrorism units maintaining separate databases, priorities, and communication protocols. This lack of integrity contributes to radicalisation risks. </w:t>
      </w:r>
    </w:p>
    <w:p w14:paraId="3D849470"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223F6FF8"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For instance, individuals under active investigations for drug related offences might have intelligence defects, whereas individuals with large criminal records frequently involved in violence, fraud, or trafficking are not closely inspected for engaging in extremist online meetings or possess links to known radicals. However, in the absence of active intelligence sharing, profiles that pose a risk and danger can remain undetected until an attack is approaching or has already occurred. Moreover, current policing models often prioritise either criminal prosecution or counter-extremism intervention, rarely both, missing opportunities for early disruption. </w:t>
      </w:r>
    </w:p>
    <w:p w14:paraId="76B74A6B"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70AED617"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To address the issue of implication for counter terrorism policing in the UK, a more involved and interdisciplinary approach is needed, where criminality is not just seen as a background but as a critical variable in terrorism risk. From integrated intelligence to cyber capabilities are strategic shifts which represents a necessary component of a development in how the UK understands, detects, and mitigates the hybrid threat by the meeting or crime and terrorism.</w:t>
      </w:r>
    </w:p>
    <w:p w14:paraId="7E582DDB"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17E4345B"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In conclusion, the meeting of criminality and terrorism in the UK is not a marginal issue but a main aspect of modern extremist operations. Individuals and groups use crime not only for funding but also for recruitment, logistics and concealment. Criminal activities such as drug trafficking, robbery, fraud, and smuggling of weapons are progressively being exploited by extremist networks to finance operations and maintain hidden organisations. Moreover, the flow between gang culture and extremist ideology, particularly among rebellious youths, creates a ground for radicalisation within criminal environments. Ignoring the crime-terror nexus has led to operational failures, intelligence gaps, and missed opportunities to prevent attacks before they occur. </w:t>
      </w:r>
    </w:p>
    <w:p w14:paraId="28B93C09"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A comprehensive approach is required whereby criminal intelligence integrates with counter terrorism strategies, reforms prison and probation systems, and increases risk assessment frameworks.</w:t>
      </w:r>
    </w:p>
    <w:p w14:paraId="6540E8DA"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This requires improved inter-agency cooperation and data sharing between law enforcement, intelligence services, and local authorities. Prisons have emerged as critical spaces where the convergence of criminal and extremist identities can occur. Without tailored deradicalisation and rehabilitation programmes, prisons risk becoming incubators for extremist ideology rather than institutions of rectification. </w:t>
      </w:r>
    </w:p>
    <w:p w14:paraId="0631ED42"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4467AC55"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xml:space="preserve">Within the UK, legislators must consider the socio-economic deprivation and exclusion in creating pathways from crime to extremism as it is the main cause for terrorist organisations. By acknowledging the complicated nature of the crime terror nexus, UK law enforcement can </w:t>
      </w:r>
      <w:r w:rsidRPr="00633992">
        <w:rPr>
          <w:rFonts w:ascii="Arial" w:eastAsia="Times New Roman" w:hAnsi="Arial" w:cs="Arial"/>
          <w:lang w:eastAsia="en-GB"/>
        </w:rPr>
        <w:lastRenderedPageBreak/>
        <w:t>create more adaptive, effective and preventive responses to terrorist organisations. This means not only addressing the operational aspects of this nexus but also its root causes which are poverty, marginalisation, and lack of opportunity. </w:t>
      </w:r>
    </w:p>
    <w:p w14:paraId="584B0AED"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 </w:t>
      </w:r>
    </w:p>
    <w:p w14:paraId="51EEFBF7" w14:textId="77777777" w:rsidR="00633992" w:rsidRPr="00633992" w:rsidRDefault="00633992" w:rsidP="00633992">
      <w:pPr>
        <w:pStyle w:val="ListParagraph"/>
        <w:spacing w:line="276" w:lineRule="auto"/>
        <w:ind w:left="567" w:right="531"/>
        <w:rPr>
          <w:rFonts w:ascii="Arial" w:eastAsia="Times New Roman" w:hAnsi="Arial" w:cs="Arial"/>
          <w:lang w:eastAsia="en-GB"/>
        </w:rPr>
      </w:pPr>
      <w:r w:rsidRPr="00633992">
        <w:rPr>
          <w:rFonts w:ascii="Arial" w:eastAsia="Times New Roman" w:hAnsi="Arial" w:cs="Arial"/>
          <w:lang w:eastAsia="en-GB"/>
        </w:rPr>
        <w:t>Finally, tackling the hybrid threat requires not just surveillance and disruption, but also engagements, rehabilitation, community resilience. The UK can hope to mitigate the complex and evolving threat posed by the crime terror nexus through a balanced strategy that combines hard security with social interventions. Strengthening community policing, investing in youth outreach programmes, and enhancing public awareness will be crucial steps in countering both criminality and radicalisation together. </w:t>
      </w:r>
    </w:p>
    <w:p w14:paraId="5A5E68D6" w14:textId="77777777" w:rsidR="006258EF" w:rsidRPr="00BE545F" w:rsidRDefault="006258EF" w:rsidP="00BE545F">
      <w:pPr>
        <w:pStyle w:val="ListParagraph"/>
        <w:spacing w:line="276" w:lineRule="auto"/>
        <w:ind w:left="567" w:right="531"/>
        <w:rPr>
          <w:rFonts w:ascii="Arial" w:eastAsia="Times New Roman" w:hAnsi="Arial" w:cs="Arial"/>
          <w:color w:val="FF0000"/>
          <w:lang w:eastAsia="en-GB"/>
        </w:rPr>
      </w:pPr>
    </w:p>
    <w:p w14:paraId="4F3AE47D"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b/>
          <w:bCs/>
          <w:lang w:eastAsia="en-GB"/>
        </w:rPr>
        <w:t>References</w:t>
      </w:r>
    </w:p>
    <w:p w14:paraId="215C5BFD" w14:textId="77777777"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Basra, R., Neumann, P. R. and Brunner, C. (2016) </w:t>
      </w:r>
      <w:r w:rsidRPr="00BE545F">
        <w:rPr>
          <w:rFonts w:ascii="Arial" w:eastAsia="Times New Roman" w:hAnsi="Arial" w:cs="Arial"/>
          <w:i/>
          <w:iCs/>
          <w:lang w:eastAsia="en-GB"/>
        </w:rPr>
        <w:t>Criminal Pasts, Terrorist Futures: European Jihadists and the New Crime-Terror Nexus</w:t>
      </w:r>
      <w:r w:rsidRPr="00BE545F">
        <w:rPr>
          <w:rFonts w:ascii="Arial" w:eastAsia="Times New Roman" w:hAnsi="Arial" w:cs="Arial"/>
          <w:lang w:eastAsia="en-GB"/>
        </w:rPr>
        <w:t>. London: ICSR. </w:t>
      </w:r>
    </w:p>
    <w:p w14:paraId="530E9142" w14:textId="77777777" w:rsidR="00CB7B19" w:rsidRPr="00CB7B19" w:rsidRDefault="00CB7B19" w:rsidP="00CB7B19">
      <w:pPr>
        <w:pStyle w:val="ListParagraph"/>
        <w:spacing w:line="276" w:lineRule="auto"/>
        <w:ind w:right="531"/>
        <w:rPr>
          <w:rFonts w:ascii="Arial" w:eastAsia="Times New Roman" w:hAnsi="Arial" w:cs="Arial"/>
          <w:lang w:eastAsia="en-GB"/>
        </w:rPr>
      </w:pPr>
      <w:r w:rsidRPr="00CB7B19">
        <w:rPr>
          <w:rFonts w:ascii="Arial" w:eastAsia="Times New Roman" w:hAnsi="Arial" w:cs="Arial"/>
          <w:lang w:eastAsia="en-GB"/>
        </w:rPr>
        <w:t xml:space="preserve">BBC (2017). </w:t>
      </w:r>
      <w:r w:rsidRPr="00CB7B19">
        <w:rPr>
          <w:rFonts w:ascii="Arial" w:eastAsia="Times New Roman" w:hAnsi="Arial" w:cs="Arial"/>
          <w:i/>
          <w:iCs/>
          <w:lang w:eastAsia="en-GB"/>
        </w:rPr>
        <w:t>what is the prevent strstegy - Bing</w:t>
      </w:r>
      <w:r w:rsidRPr="00CB7B19">
        <w:rPr>
          <w:rFonts w:ascii="Arial" w:eastAsia="Times New Roman" w:hAnsi="Arial" w:cs="Arial"/>
          <w:lang w:eastAsia="en-GB"/>
        </w:rPr>
        <w:t>. [online] Bing. Available at: https://www.bing.com/search?q=what%20is%20the%20prevent%20strstegy&amp;qs=n&amp;form=QBRE&amp;sp=-1&amp;lq=0&amp;pq=what%20is%20the%20prevent%20strstegy&amp;sc=12-28&amp;sk=&amp;cvid=02CC8CEE00B74819B2F25E922B0E0F14 [Accessed 22 May 2025].</w:t>
      </w:r>
    </w:p>
    <w:p w14:paraId="602DAB39" w14:textId="77777777" w:rsidR="00CB7B19" w:rsidRPr="00BE545F" w:rsidRDefault="00CB7B19" w:rsidP="00BE545F">
      <w:pPr>
        <w:pStyle w:val="ListParagraph"/>
        <w:spacing w:line="276" w:lineRule="auto"/>
        <w:ind w:left="567" w:right="531"/>
        <w:rPr>
          <w:rFonts w:ascii="Arial" w:eastAsia="Times New Roman" w:hAnsi="Arial" w:cs="Arial"/>
          <w:lang w:eastAsia="en-GB"/>
        </w:rPr>
      </w:pPr>
    </w:p>
    <w:p w14:paraId="6F41C4CF"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Clarke, C. P. (2010) </w:t>
      </w:r>
      <w:r w:rsidRPr="00BE545F">
        <w:rPr>
          <w:rFonts w:ascii="Arial" w:eastAsia="Times New Roman" w:hAnsi="Arial" w:cs="Arial"/>
          <w:i/>
          <w:iCs/>
          <w:lang w:eastAsia="en-GB"/>
        </w:rPr>
        <w:t>Terrorism, Inc.: The Financing of Terrorism, Insurgency, and Irregular Warfare</w:t>
      </w:r>
      <w:r w:rsidRPr="00BE545F">
        <w:rPr>
          <w:rFonts w:ascii="Arial" w:eastAsia="Times New Roman" w:hAnsi="Arial" w:cs="Arial"/>
          <w:lang w:eastAsia="en-GB"/>
        </w:rPr>
        <w:t>. ABC-CLIO. </w:t>
      </w:r>
    </w:p>
    <w:p w14:paraId="4928397A" w14:textId="368A2836"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HM Government (2019) </w:t>
      </w:r>
      <w:r w:rsidRPr="00BE545F">
        <w:rPr>
          <w:rFonts w:ascii="Arial" w:eastAsia="Times New Roman" w:hAnsi="Arial" w:cs="Arial"/>
          <w:i/>
          <w:iCs/>
          <w:lang w:eastAsia="en-GB"/>
        </w:rPr>
        <w:t>CONTEST: The United Kingdom’s Strategy for Countering Terrorism</w:t>
      </w:r>
      <w:r w:rsidRPr="00BE545F">
        <w:rPr>
          <w:rFonts w:ascii="Arial" w:eastAsia="Times New Roman" w:hAnsi="Arial" w:cs="Arial"/>
          <w:lang w:eastAsia="en-GB"/>
        </w:rPr>
        <w:t>. London: HMSO. </w:t>
      </w:r>
    </w:p>
    <w:p w14:paraId="37E02AE9" w14:textId="4D3902C8" w:rsidR="007600DC" w:rsidRPr="007600DC" w:rsidRDefault="007600DC" w:rsidP="007600DC">
      <w:pPr>
        <w:pStyle w:val="ListParagraph"/>
        <w:spacing w:line="276" w:lineRule="auto"/>
        <w:ind w:left="567" w:right="531"/>
        <w:rPr>
          <w:rFonts w:ascii="Arial" w:eastAsia="Times New Roman" w:hAnsi="Arial" w:cs="Arial"/>
          <w:lang w:eastAsia="en-GB"/>
        </w:rPr>
      </w:pPr>
      <w:r w:rsidRPr="007600DC">
        <w:rPr>
          <w:rFonts w:ascii="Arial" w:eastAsia="Times New Roman" w:hAnsi="Arial" w:cs="Arial"/>
          <w:lang w:eastAsia="en-GB"/>
        </w:rPr>
        <w:t xml:space="preserve">Grimwood, G.G. (2016). </w:t>
      </w:r>
      <w:r w:rsidRPr="007600DC">
        <w:rPr>
          <w:rFonts w:ascii="Arial" w:eastAsia="Times New Roman" w:hAnsi="Arial" w:cs="Arial"/>
          <w:i/>
          <w:iCs/>
          <w:lang w:eastAsia="en-GB"/>
        </w:rPr>
        <w:t xml:space="preserve">Radicalisation in Prisons in England and Wales </w:t>
      </w:r>
      <w:r w:rsidRPr="007600DC">
        <w:rPr>
          <w:rFonts w:ascii="Arial" w:eastAsia="Times New Roman" w:hAnsi="Arial" w:cs="Arial"/>
          <w:lang w:eastAsia="en-GB"/>
        </w:rPr>
        <w:t>. [online] Parliament.uk. Available at: https://researchbriefings.files.parliament.uk/documents/CBP-7487/CBP-7487.pdf.</w:t>
      </w:r>
    </w:p>
    <w:p w14:paraId="2731D5F6"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Innes, M. (2006) 'Policing uncertainty: Countering terror through community intelligence and democratic policing', </w:t>
      </w:r>
      <w:r w:rsidRPr="00BE545F">
        <w:rPr>
          <w:rFonts w:ascii="Arial" w:eastAsia="Times New Roman" w:hAnsi="Arial" w:cs="Arial"/>
          <w:i/>
          <w:iCs/>
          <w:lang w:eastAsia="en-GB"/>
        </w:rPr>
        <w:t>The ANNALS of the American Academy of Political and Social Science</w:t>
      </w:r>
      <w:r w:rsidRPr="00BE545F">
        <w:rPr>
          <w:rFonts w:ascii="Arial" w:eastAsia="Times New Roman" w:hAnsi="Arial" w:cs="Arial"/>
          <w:lang w:eastAsia="en-GB"/>
        </w:rPr>
        <w:t>, 605(1), pp. 222–241. </w:t>
      </w:r>
    </w:p>
    <w:p w14:paraId="3DEA13A3" w14:textId="77777777"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Koehler, D. (2017) </w:t>
      </w:r>
      <w:r w:rsidRPr="00BE545F">
        <w:rPr>
          <w:rFonts w:ascii="Arial" w:eastAsia="Times New Roman" w:hAnsi="Arial" w:cs="Arial"/>
          <w:i/>
          <w:iCs/>
          <w:lang w:eastAsia="en-GB"/>
        </w:rPr>
        <w:t>Understanding Deradicalization: Methods, Tools and Programs for Countering Violent Extremism</w:t>
      </w:r>
      <w:r w:rsidRPr="00BE545F">
        <w:rPr>
          <w:rFonts w:ascii="Arial" w:eastAsia="Times New Roman" w:hAnsi="Arial" w:cs="Arial"/>
          <w:lang w:eastAsia="en-GB"/>
        </w:rPr>
        <w:t>. London: Routledge. </w:t>
      </w:r>
    </w:p>
    <w:p w14:paraId="414AC435" w14:textId="7DD0E5DD" w:rsidR="009F4B3E" w:rsidRPr="00BE545F" w:rsidRDefault="009F4B3E" w:rsidP="00BE545F">
      <w:pPr>
        <w:pStyle w:val="ListParagraph"/>
        <w:spacing w:line="276" w:lineRule="auto"/>
        <w:ind w:left="567" w:right="531"/>
        <w:rPr>
          <w:rFonts w:ascii="Arial" w:eastAsia="Times New Roman" w:hAnsi="Arial" w:cs="Arial"/>
          <w:lang w:eastAsia="en-GB"/>
        </w:rPr>
      </w:pPr>
      <w:r w:rsidRPr="009F4B3E">
        <w:rPr>
          <w:rFonts w:ascii="Arial" w:eastAsia="Times New Roman" w:hAnsi="Arial" w:cs="Arial"/>
          <w:lang w:eastAsia="en-GB"/>
        </w:rPr>
        <w:t>LJUJIC, V., VAN PROOIJEN, J.W. and WEERMAN, F., 2017. Beyond the crime-terror nexus: socio-economic status, violent crimes and terrorism. </w:t>
      </w:r>
      <w:r w:rsidRPr="009F4B3E">
        <w:rPr>
          <w:rFonts w:ascii="Arial" w:eastAsia="Times New Roman" w:hAnsi="Arial" w:cs="Arial"/>
          <w:i/>
          <w:iCs/>
          <w:lang w:eastAsia="en-GB"/>
        </w:rPr>
        <w:t>Journal of Criminological Research, Policy and Practice, </w:t>
      </w:r>
      <w:r w:rsidRPr="009F4B3E">
        <w:rPr>
          <w:rFonts w:ascii="Arial" w:eastAsia="Times New Roman" w:hAnsi="Arial" w:cs="Arial"/>
          <w:b/>
          <w:bCs/>
          <w:lang w:eastAsia="en-GB"/>
        </w:rPr>
        <w:t>3</w:t>
      </w:r>
      <w:r w:rsidRPr="009F4B3E">
        <w:rPr>
          <w:rFonts w:ascii="Arial" w:eastAsia="Times New Roman" w:hAnsi="Arial" w:cs="Arial"/>
          <w:lang w:eastAsia="en-GB"/>
        </w:rPr>
        <w:t>(3), pp. 158-172.</w:t>
      </w:r>
    </w:p>
    <w:p w14:paraId="580022D0"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Rahman, M. (2021) 'Preventing the criminal-terror nexus in the UK: policy missteps and operational failures', </w:t>
      </w:r>
      <w:r w:rsidRPr="00BE545F">
        <w:rPr>
          <w:rFonts w:ascii="Arial" w:eastAsia="Times New Roman" w:hAnsi="Arial" w:cs="Arial"/>
          <w:i/>
          <w:iCs/>
          <w:lang w:eastAsia="en-GB"/>
        </w:rPr>
        <w:t>British Journal of Criminology</w:t>
      </w:r>
      <w:r w:rsidRPr="00BE545F">
        <w:rPr>
          <w:rFonts w:ascii="Arial" w:eastAsia="Times New Roman" w:hAnsi="Arial" w:cs="Arial"/>
          <w:lang w:eastAsia="en-GB"/>
        </w:rPr>
        <w:t>, 61(2), pp. 340–359.</w:t>
      </w:r>
    </w:p>
    <w:p w14:paraId="04D0BFD6" w14:textId="77777777" w:rsidR="00DF56DF" w:rsidRDefault="00DF56DF" w:rsidP="009A0667">
      <w:pPr>
        <w:pStyle w:val="ListParagraph"/>
        <w:spacing w:line="276" w:lineRule="auto"/>
        <w:ind w:left="567" w:right="531"/>
        <w:rPr>
          <w:rFonts w:ascii="Arial" w:eastAsia="Times New Roman" w:hAnsi="Arial" w:cs="Arial"/>
          <w:lang w:eastAsia="en-GB"/>
        </w:rPr>
      </w:pPr>
    </w:p>
    <w:p w14:paraId="0E66AFA9" w14:textId="77777777" w:rsidR="007600DC" w:rsidRDefault="007600DC" w:rsidP="009A0667">
      <w:pPr>
        <w:pStyle w:val="ListParagraph"/>
        <w:spacing w:line="276" w:lineRule="auto"/>
        <w:ind w:left="567" w:right="531"/>
        <w:rPr>
          <w:rFonts w:ascii="Arial" w:eastAsia="Times New Roman" w:hAnsi="Arial" w:cs="Arial"/>
          <w:lang w:eastAsia="en-GB"/>
        </w:rPr>
      </w:pPr>
    </w:p>
    <w:p w14:paraId="4D6C9DE5" w14:textId="7084AD99" w:rsidR="007600DC" w:rsidRPr="007600DC" w:rsidRDefault="007600DC" w:rsidP="009A0667">
      <w:pPr>
        <w:pStyle w:val="ListParagraph"/>
        <w:spacing w:line="276" w:lineRule="auto"/>
        <w:ind w:left="567" w:right="531"/>
        <w:rPr>
          <w:rFonts w:ascii="Arial" w:eastAsia="Times New Roman" w:hAnsi="Arial" w:cs="Arial"/>
          <w:b/>
          <w:bCs/>
          <w:lang w:eastAsia="en-GB"/>
        </w:rPr>
      </w:pPr>
      <w:r w:rsidRPr="007600DC">
        <w:rPr>
          <w:rFonts w:ascii="Arial" w:eastAsia="Times New Roman" w:hAnsi="Arial" w:cs="Arial"/>
          <w:b/>
          <w:bCs/>
          <w:lang w:eastAsia="en-GB"/>
        </w:rPr>
        <w:t>Word count: 181</w:t>
      </w:r>
      <w:r w:rsidR="00633992">
        <w:rPr>
          <w:rFonts w:ascii="Arial" w:eastAsia="Times New Roman" w:hAnsi="Arial" w:cs="Arial"/>
          <w:b/>
          <w:bCs/>
          <w:lang w:eastAsia="en-GB"/>
        </w:rPr>
        <w:t>8</w:t>
      </w:r>
    </w:p>
    <w:p w14:paraId="3AC1E234" w14:textId="76D7DE0C" w:rsidR="008C2658" w:rsidRPr="00884FAB" w:rsidRDefault="008C2658" w:rsidP="009A0667">
      <w:pPr>
        <w:pStyle w:val="ListParagraph"/>
        <w:ind w:left="567" w:right="531"/>
        <w:rPr>
          <w:rFonts w:ascii="Arial" w:eastAsia="Times New Roman" w:hAnsi="Arial" w:cs="Arial"/>
          <w:lang w:eastAsia="en-GB"/>
        </w:rPr>
      </w:pPr>
    </w:p>
    <w:p w14:paraId="526E6C6B" w14:textId="77777777" w:rsidR="00DF56DF" w:rsidRPr="00884FAB" w:rsidRDefault="00DF56DF" w:rsidP="009A0667">
      <w:pPr>
        <w:pStyle w:val="ListParagraph"/>
        <w:ind w:left="567" w:right="531"/>
        <w:rPr>
          <w:rFonts w:ascii="Arial" w:eastAsia="Times New Roman" w:hAnsi="Arial" w:cs="Arial"/>
          <w:lang w:eastAsia="en-GB"/>
        </w:rPr>
      </w:pPr>
    </w:p>
    <w:p w14:paraId="30A8EDC6" w14:textId="037725DF" w:rsidR="008100A9" w:rsidRPr="00D3479C" w:rsidRDefault="00445AC1" w:rsidP="00457128">
      <w:pPr>
        <w:pStyle w:val="ListParagraph"/>
        <w:numPr>
          <w:ilvl w:val="0"/>
          <w:numId w:val="21"/>
        </w:numPr>
        <w:spacing w:line="276" w:lineRule="auto"/>
        <w:ind w:left="567" w:right="531"/>
        <w:rPr>
          <w:rFonts w:ascii="Arial" w:eastAsia="Times New Roman" w:hAnsi="Arial" w:cs="Arial"/>
          <w:b/>
          <w:bCs/>
          <w:u w:val="single"/>
          <w:lang w:eastAsia="en-GB"/>
        </w:rPr>
      </w:pPr>
      <w:r w:rsidRPr="00D3479C">
        <w:rPr>
          <w:rFonts w:ascii="Arial" w:eastAsia="Times New Roman" w:hAnsi="Arial" w:cs="Arial"/>
          <w:b/>
          <w:bCs/>
          <w:u w:val="single"/>
          <w:lang w:eastAsia="en-GB"/>
        </w:rPr>
        <w:t xml:space="preserve">Why </w:t>
      </w:r>
      <w:r w:rsidR="006258EF" w:rsidRPr="00D3479C">
        <w:rPr>
          <w:rFonts w:ascii="Arial" w:eastAsia="Times New Roman" w:hAnsi="Arial" w:cs="Arial"/>
          <w:b/>
          <w:bCs/>
          <w:u w:val="single"/>
          <w:lang w:eastAsia="en-GB"/>
        </w:rPr>
        <w:t xml:space="preserve">is </w:t>
      </w:r>
      <w:r w:rsidRPr="00D3479C">
        <w:rPr>
          <w:rFonts w:ascii="Arial" w:eastAsia="Times New Roman" w:hAnsi="Arial" w:cs="Arial"/>
          <w:b/>
          <w:bCs/>
          <w:u w:val="single"/>
          <w:lang w:eastAsia="en-GB"/>
        </w:rPr>
        <w:t xml:space="preserve">a partnership approach </w:t>
      </w:r>
      <w:r w:rsidR="00444A33" w:rsidRPr="00D3479C">
        <w:rPr>
          <w:rFonts w:ascii="Arial" w:eastAsia="Times New Roman" w:hAnsi="Arial" w:cs="Arial"/>
          <w:b/>
          <w:bCs/>
          <w:u w:val="single"/>
          <w:lang w:eastAsia="en-GB"/>
        </w:rPr>
        <w:t>the</w:t>
      </w:r>
      <w:r w:rsidR="008100A9" w:rsidRPr="00D3479C">
        <w:rPr>
          <w:rFonts w:ascii="Arial" w:eastAsia="Times New Roman" w:hAnsi="Arial" w:cs="Arial"/>
          <w:b/>
          <w:bCs/>
          <w:u w:val="single"/>
          <w:lang w:eastAsia="en-GB"/>
        </w:rPr>
        <w:t xml:space="preserve"> </w:t>
      </w:r>
      <w:r w:rsidR="00444A33" w:rsidRPr="00D3479C">
        <w:rPr>
          <w:rFonts w:ascii="Arial" w:eastAsia="Times New Roman" w:hAnsi="Arial" w:cs="Arial"/>
          <w:b/>
          <w:bCs/>
          <w:u w:val="single"/>
          <w:lang w:eastAsia="en-GB"/>
        </w:rPr>
        <w:t xml:space="preserve">most </w:t>
      </w:r>
      <w:r w:rsidR="008100A9" w:rsidRPr="00D3479C">
        <w:rPr>
          <w:rFonts w:ascii="Arial" w:eastAsia="Times New Roman" w:hAnsi="Arial" w:cs="Arial"/>
          <w:b/>
          <w:bCs/>
          <w:u w:val="single"/>
          <w:lang w:eastAsia="en-GB"/>
        </w:rPr>
        <w:t xml:space="preserve">effective </w:t>
      </w:r>
      <w:r w:rsidR="00444A33" w:rsidRPr="00D3479C">
        <w:rPr>
          <w:rFonts w:ascii="Arial" w:eastAsia="Times New Roman" w:hAnsi="Arial" w:cs="Arial"/>
          <w:b/>
          <w:bCs/>
          <w:u w:val="single"/>
          <w:lang w:eastAsia="en-GB"/>
        </w:rPr>
        <w:t xml:space="preserve">way to </w:t>
      </w:r>
      <w:r w:rsidR="007A5D73" w:rsidRPr="00D3479C">
        <w:rPr>
          <w:rFonts w:ascii="Arial" w:eastAsia="Times New Roman" w:hAnsi="Arial" w:cs="Arial"/>
          <w:b/>
          <w:bCs/>
          <w:u w:val="single"/>
          <w:lang w:eastAsia="en-GB"/>
        </w:rPr>
        <w:t xml:space="preserve">reach </w:t>
      </w:r>
      <w:r w:rsidR="008100A9" w:rsidRPr="00D3479C">
        <w:rPr>
          <w:rFonts w:ascii="Arial" w:eastAsia="Times New Roman" w:hAnsi="Arial" w:cs="Arial"/>
          <w:b/>
          <w:bCs/>
          <w:u w:val="single"/>
          <w:lang w:eastAsia="en-GB"/>
        </w:rPr>
        <w:t xml:space="preserve">groups or communities who </w:t>
      </w:r>
      <w:r w:rsidR="001725B0" w:rsidRPr="00D3479C">
        <w:rPr>
          <w:rFonts w:ascii="Arial" w:eastAsia="Times New Roman" w:hAnsi="Arial" w:cs="Arial"/>
          <w:b/>
          <w:bCs/>
          <w:u w:val="single"/>
          <w:lang w:eastAsia="en-GB"/>
        </w:rPr>
        <w:t>are</w:t>
      </w:r>
      <w:r w:rsidR="008100A9" w:rsidRPr="00D3479C">
        <w:rPr>
          <w:rFonts w:ascii="Arial" w:eastAsia="Times New Roman" w:hAnsi="Arial" w:cs="Arial"/>
          <w:b/>
          <w:bCs/>
          <w:u w:val="single"/>
          <w:lang w:eastAsia="en-GB"/>
        </w:rPr>
        <w:t xml:space="preserve"> less willing to engage with police?</w:t>
      </w:r>
      <w:r w:rsidR="00304CB2" w:rsidRPr="00D3479C">
        <w:rPr>
          <w:rFonts w:ascii="Arial" w:eastAsia="Times New Roman" w:hAnsi="Arial" w:cs="Arial"/>
          <w:b/>
          <w:bCs/>
          <w:u w:val="single"/>
          <w:lang w:eastAsia="en-GB"/>
        </w:rPr>
        <w:t xml:space="preserve"> </w:t>
      </w:r>
      <w:r w:rsidR="007A0D78" w:rsidRPr="00D3479C">
        <w:rPr>
          <w:rFonts w:ascii="Arial" w:eastAsia="Times New Roman" w:hAnsi="Arial" w:cs="Arial"/>
          <w:b/>
          <w:bCs/>
          <w:u w:val="single"/>
          <w:lang w:eastAsia="en-GB"/>
        </w:rPr>
        <w:t>You should</w:t>
      </w:r>
      <w:r w:rsidR="00304CB2" w:rsidRPr="00D3479C">
        <w:rPr>
          <w:rFonts w:ascii="Arial" w:eastAsia="Times New Roman" w:hAnsi="Arial" w:cs="Arial"/>
          <w:b/>
          <w:bCs/>
          <w:u w:val="single"/>
          <w:lang w:eastAsia="en-GB"/>
        </w:rPr>
        <w:t xml:space="preserve"> consider why certain groups are reluctant to engage with police, and the ways </w:t>
      </w:r>
      <w:r w:rsidR="00F7539A" w:rsidRPr="00D3479C">
        <w:rPr>
          <w:rFonts w:ascii="Arial" w:eastAsia="Times New Roman" w:hAnsi="Arial" w:cs="Arial"/>
          <w:b/>
          <w:bCs/>
          <w:u w:val="single"/>
          <w:lang w:eastAsia="en-GB"/>
        </w:rPr>
        <w:t>engagement can be achieved</w:t>
      </w:r>
      <w:r w:rsidR="00304CB2" w:rsidRPr="00D3479C">
        <w:rPr>
          <w:rFonts w:ascii="Arial" w:eastAsia="Times New Roman" w:hAnsi="Arial" w:cs="Arial"/>
          <w:b/>
          <w:bCs/>
          <w:u w:val="single"/>
          <w:lang w:eastAsia="en-GB"/>
        </w:rPr>
        <w:t>.</w:t>
      </w:r>
    </w:p>
    <w:p w14:paraId="2939378B" w14:textId="5BB68C09" w:rsidR="00457128" w:rsidRPr="00D3479C" w:rsidRDefault="00457128" w:rsidP="008100A9">
      <w:pPr>
        <w:pStyle w:val="ListParagraph"/>
        <w:spacing w:line="276" w:lineRule="auto"/>
        <w:ind w:left="567" w:right="531"/>
        <w:rPr>
          <w:rFonts w:ascii="Arial" w:eastAsia="Times New Roman" w:hAnsi="Arial" w:cs="Arial"/>
          <w:b/>
          <w:bCs/>
          <w:u w:val="single"/>
          <w:lang w:eastAsia="en-GB"/>
        </w:rPr>
      </w:pPr>
      <w:r w:rsidRPr="00D3479C">
        <w:rPr>
          <w:rFonts w:ascii="Arial" w:eastAsia="Times New Roman" w:hAnsi="Arial" w:cs="Arial"/>
          <w:b/>
          <w:bCs/>
          <w:u w:val="single"/>
          <w:lang w:eastAsia="en-GB"/>
        </w:rPr>
        <w:t>Your answer should be based on academic research, although you may make reference to relevant case studies.</w:t>
      </w:r>
    </w:p>
    <w:p w14:paraId="4D1E3226" w14:textId="77777777" w:rsidR="00BE545F" w:rsidRDefault="00BE545F" w:rsidP="008100A9">
      <w:pPr>
        <w:pStyle w:val="ListParagraph"/>
        <w:spacing w:line="276" w:lineRule="auto"/>
        <w:ind w:left="567" w:right="531"/>
        <w:rPr>
          <w:rFonts w:ascii="Arial" w:eastAsia="Times New Roman" w:hAnsi="Arial" w:cs="Arial"/>
          <w:lang w:eastAsia="en-GB"/>
        </w:rPr>
      </w:pPr>
    </w:p>
    <w:p w14:paraId="62183AF3" w14:textId="677DC2E2"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This academic essay is studying the partnership working and the approaches taken in engaging with diverse communities that are traditionally reluctant to interact with police forces. It will focus on building relationships with such groups of people, and it will examine the range of underlying reasons for this reluctance, which includes mistrust from historic and current interactions</w:t>
      </w:r>
      <w:r w:rsidR="00633992">
        <w:rPr>
          <w:rFonts w:ascii="Arial" w:eastAsia="Times New Roman" w:hAnsi="Arial" w:cs="Arial"/>
          <w:lang w:eastAsia="en-GB"/>
        </w:rPr>
        <w:t xml:space="preserve"> and </w:t>
      </w:r>
      <w:r w:rsidRPr="00BE545F">
        <w:rPr>
          <w:rFonts w:ascii="Arial" w:eastAsia="Times New Roman" w:hAnsi="Arial" w:cs="Arial"/>
          <w:lang w:eastAsia="en-GB"/>
        </w:rPr>
        <w:t xml:space="preserve">experiences of discrimination, and perceptions of police legitimacy. Using academic research and case studies, this essay will discuss all collaborative strategies involving community </w:t>
      </w:r>
      <w:r w:rsidRPr="00BE545F">
        <w:rPr>
          <w:rFonts w:ascii="Arial" w:eastAsia="Times New Roman" w:hAnsi="Arial" w:cs="Arial"/>
          <w:lang w:eastAsia="en-GB"/>
        </w:rPr>
        <w:lastRenderedPageBreak/>
        <w:t>members, social services, and others who can bridge the gap between law enforcement and groups who feel excluded. By gaining trust, enhancing communication, and addressing specific community needs, partnership approaches can lead to more effective policing and improved community relations. </w:t>
      </w:r>
      <w:r w:rsidR="00633992">
        <w:rPr>
          <w:rFonts w:ascii="Arial" w:eastAsia="Times New Roman" w:hAnsi="Arial" w:cs="Arial"/>
          <w:lang w:eastAsia="en-GB"/>
        </w:rPr>
        <w:t xml:space="preserve">Also by completing this, more people from diverse communities will speak openly with officers and feel that they can trust those by improving community engagement. </w:t>
      </w:r>
    </w:p>
    <w:p w14:paraId="1E73719A"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569A6F71" w14:textId="5EAA420C"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Policing relies on the capabilities of the law, policies and procedures but also on the assistance and trust from the members of the communities it serves. Certain groups within those communities remain hesitant or unwilling to engage with police service</w:t>
      </w:r>
      <w:r w:rsidR="00633992">
        <w:rPr>
          <w:rFonts w:ascii="Arial" w:eastAsia="Times New Roman" w:hAnsi="Arial" w:cs="Arial"/>
          <w:lang w:eastAsia="en-GB"/>
        </w:rPr>
        <w:t>s</w:t>
      </w:r>
      <w:r w:rsidRPr="00BE545F">
        <w:rPr>
          <w:rFonts w:ascii="Arial" w:eastAsia="Times New Roman" w:hAnsi="Arial" w:cs="Arial"/>
          <w:lang w:eastAsia="en-GB"/>
        </w:rPr>
        <w:t> due to various historical, social, and systemic failures. This reluctance brings significant challenges to public safety and community well-being. Partnership approaches, which promote collaboration between police and community members, have emerged as a promising strategy to overcome these barriers. This essay examines why certain communities are reluctant to engage with police in the UK and how partnership approaches which are developed for each area can effectively address these challenges. It investigates the root causes of community disengagement and assesses the ways in which collaborative frameworks can rebuild trust and improve outcomes. </w:t>
      </w:r>
    </w:p>
    <w:p w14:paraId="65469E96" w14:textId="77777777" w:rsidR="00633992" w:rsidRPr="00BE545F" w:rsidRDefault="00633992" w:rsidP="00BE545F">
      <w:pPr>
        <w:pStyle w:val="ListParagraph"/>
        <w:spacing w:line="276" w:lineRule="auto"/>
        <w:ind w:left="567" w:right="531"/>
        <w:rPr>
          <w:rFonts w:ascii="Arial" w:eastAsia="Times New Roman" w:hAnsi="Arial" w:cs="Arial"/>
          <w:lang w:eastAsia="en-GB"/>
        </w:rPr>
      </w:pPr>
    </w:p>
    <w:p w14:paraId="7DB222DB" w14:textId="79E476D2"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 xml:space="preserve">Communities of </w:t>
      </w:r>
      <w:r w:rsidR="00633992">
        <w:rPr>
          <w:rFonts w:ascii="Arial" w:eastAsia="Times New Roman" w:hAnsi="Arial" w:cs="Arial"/>
          <w:lang w:eastAsia="en-GB"/>
        </w:rPr>
        <w:t>ethnic minorities</w:t>
      </w:r>
      <w:r w:rsidRPr="00BE545F">
        <w:rPr>
          <w:rFonts w:ascii="Arial" w:eastAsia="Times New Roman" w:hAnsi="Arial" w:cs="Arial"/>
          <w:lang w:eastAsia="en-GB"/>
        </w:rPr>
        <w:t>, particularly Black and Asian</w:t>
      </w:r>
      <w:r w:rsidR="00633992">
        <w:rPr>
          <w:rFonts w:ascii="Arial" w:eastAsia="Times New Roman" w:hAnsi="Arial" w:cs="Arial"/>
          <w:lang w:eastAsia="en-GB"/>
        </w:rPr>
        <w:t xml:space="preserve"> communities</w:t>
      </w:r>
      <w:r w:rsidRPr="00BE545F">
        <w:rPr>
          <w:rFonts w:ascii="Arial" w:eastAsia="Times New Roman" w:hAnsi="Arial" w:cs="Arial"/>
          <w:lang w:eastAsia="en-GB"/>
        </w:rPr>
        <w:t>, have historically faced disproportionate and often discriminatory treatment following incidents reported and recorded previously. This has led to significant mistrust within the policing service. The policing of minority neighbourhoods, stop and search practices, and incidents of police brutality have contributed significantly to this distrust. For example, the Macpherson Report (1999), which investigated the murder of Stephen Lawrence, famously concluded that the Metropolitan Police was institutionally racist. As a result of the research conducted the findings have reinforced the perception that police officers do not act in the interest of minority communities and are more likely to cause harm than offer protection. </w:t>
      </w:r>
      <w:r w:rsidR="00633992">
        <w:rPr>
          <w:rFonts w:ascii="Arial" w:eastAsia="Times New Roman" w:hAnsi="Arial" w:cs="Arial"/>
          <w:lang w:eastAsia="en-GB"/>
        </w:rPr>
        <w:t xml:space="preserve">For several people within these communities, they still believe that they will be treated unjustly and believe that they will be discriminated against as it has occurred in the past. </w:t>
      </w:r>
    </w:p>
    <w:p w14:paraId="3877C7C1"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35F01F79" w14:textId="6E26E6E2"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Research results have shown that ethnic minority communities in the UK are less likely to report crimes or seek assistance from the police</w:t>
      </w:r>
      <w:r w:rsidR="00D3479C">
        <w:rPr>
          <w:rFonts w:ascii="Arial" w:eastAsia="Times New Roman" w:hAnsi="Arial" w:cs="Arial"/>
          <w:lang w:eastAsia="en-GB"/>
        </w:rPr>
        <w:t xml:space="preserve"> due to either previous dealings with the police or historic events that have occurred</w:t>
      </w:r>
      <w:r w:rsidRPr="00BE545F">
        <w:rPr>
          <w:rFonts w:ascii="Arial" w:eastAsia="Times New Roman" w:hAnsi="Arial" w:cs="Arial"/>
          <w:lang w:eastAsia="en-GB"/>
        </w:rPr>
        <w:t xml:space="preserve">. </w:t>
      </w:r>
      <w:r w:rsidR="001F121C">
        <w:rPr>
          <w:rFonts w:ascii="Arial" w:eastAsia="Times New Roman" w:hAnsi="Arial" w:cs="Arial"/>
          <w:lang w:eastAsia="en-GB"/>
        </w:rPr>
        <w:t xml:space="preserve">The Lammy Review is a review on the discrimination within the policing and criminal justice system in the UK. </w:t>
      </w:r>
      <w:r w:rsidRPr="00BE545F">
        <w:rPr>
          <w:rFonts w:ascii="Arial" w:eastAsia="Times New Roman" w:hAnsi="Arial" w:cs="Arial"/>
          <w:lang w:eastAsia="en-GB"/>
        </w:rPr>
        <w:t>The 2020 Lammy Review and subsequent Home Office data indicate that trust in policing is significantly lower among Black communities compared to White British populations (Lammy, 2017). </w:t>
      </w:r>
    </w:p>
    <w:p w14:paraId="57F43ECB" w14:textId="77777777" w:rsidR="00BE545F" w:rsidRPr="00BE545F" w:rsidRDefault="00BE545F" w:rsidP="00BE545F">
      <w:pPr>
        <w:pStyle w:val="ListParagraph"/>
        <w:spacing w:line="276" w:lineRule="auto"/>
        <w:ind w:left="567" w:right="531"/>
        <w:rPr>
          <w:rFonts w:ascii="Arial" w:eastAsia="Times New Roman" w:hAnsi="Arial" w:cs="Arial"/>
          <w:lang w:eastAsia="en-GB"/>
        </w:rPr>
      </w:pPr>
    </w:p>
    <w:p w14:paraId="137FA73F" w14:textId="23B14D48"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 xml:space="preserve">Police legitimacy is critical to understanding community cooperation and engagement with the police service. Legitimacy is referred to “the belief that the police have the right to exercise power and that their actions are justified and appropriate”. When communities have trust and confidence </w:t>
      </w:r>
      <w:r w:rsidR="00D3479C">
        <w:rPr>
          <w:rFonts w:ascii="Arial" w:eastAsia="Times New Roman" w:hAnsi="Arial" w:cs="Arial"/>
          <w:lang w:eastAsia="en-GB"/>
        </w:rPr>
        <w:t xml:space="preserve">within </w:t>
      </w:r>
      <w:r w:rsidRPr="00BE545F">
        <w:rPr>
          <w:rFonts w:ascii="Arial" w:eastAsia="Times New Roman" w:hAnsi="Arial" w:cs="Arial"/>
          <w:lang w:eastAsia="en-GB"/>
        </w:rPr>
        <w:t>the police service and view them as legitimate, they are more likely to comply with the law and cooperate with police officers (Tyler, 2006). </w:t>
      </w:r>
    </w:p>
    <w:p w14:paraId="7CA32D0B"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233FE7DE" w14:textId="616B652F"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 xml:space="preserve">However, in many marginalised communities in the UK, the police are viewed as agents of control rather than protectors. The theory of legal cynicism, which </w:t>
      </w:r>
      <w:r w:rsidR="000E09E6">
        <w:rPr>
          <w:rFonts w:ascii="Arial" w:eastAsia="Times New Roman" w:hAnsi="Arial" w:cs="Arial"/>
          <w:lang w:eastAsia="en-GB"/>
        </w:rPr>
        <w:t>poses</w:t>
      </w:r>
      <w:r w:rsidRPr="00BE545F">
        <w:rPr>
          <w:rFonts w:ascii="Arial" w:eastAsia="Times New Roman" w:hAnsi="Arial" w:cs="Arial"/>
          <w:lang w:eastAsia="en-GB"/>
        </w:rPr>
        <w:t xml:space="preserve"> that the law and legal authorities are viewed as illegitimate, unresponsive, and ill-equipped to ensure public safety, is particularly applicable here (Bradford &amp; Jackson, 2010). In areas characterised by poverty, high crime, and social disorganisation, residents often feel abandoned by formal institutions and thus become sceptical of police motives and effectiveness. </w:t>
      </w:r>
    </w:p>
    <w:p w14:paraId="04031209"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65AEEA2A" w14:textId="570D14B3"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 xml:space="preserve">Direct contact with the police service that are negative or disrespectful can significantly affect an individual's willingness to engage. This is enhanced by current or past experiences which have been relayed to the member of the community via their colleagues, friends, family, or through </w:t>
      </w:r>
      <w:r w:rsidRPr="00BE545F">
        <w:rPr>
          <w:rFonts w:ascii="Arial" w:eastAsia="Times New Roman" w:hAnsi="Arial" w:cs="Arial"/>
          <w:lang w:eastAsia="en-GB"/>
        </w:rPr>
        <w:lastRenderedPageBreak/>
        <w:t>social media regarding police misconduct. Research by Hohl, Bradford and Stanko (2010) found that perceptions of unfair treatment by the police negatively influenced future interaction and compliance between the police and members of the community. </w:t>
      </w:r>
      <w:r w:rsidR="000E09E6">
        <w:rPr>
          <w:rFonts w:ascii="Arial" w:eastAsia="Times New Roman" w:hAnsi="Arial" w:cs="Arial"/>
          <w:lang w:eastAsia="en-GB"/>
        </w:rPr>
        <w:t xml:space="preserve">However, due to there being good outcomes from police interactions the negative interactions are more memorable to those within marginalised and ethnic minority communities. </w:t>
      </w:r>
    </w:p>
    <w:p w14:paraId="5EA204D7"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025A4825" w14:textId="77777777"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These negative experiences significantly affect young people and those from minority backgrounds. For example, the Equality and Human Rights Commission (EHRC) has reported that Black people are nine times more likely to be stopped and searched by police than White people. This will result in alienation and resentment by the members of public (EHRC, 2019). </w:t>
      </w:r>
    </w:p>
    <w:p w14:paraId="1422255A"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5C8E62B8"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Community policing is an idea and process that promotes strategies within the policing organisation. It is designed to support the methodical use of partnerships and problem-solving techniques to deal with the immediate conditions that give concern to public safety issues. This approach promotes a proactive measure rather than reactive enforcement. </w:t>
      </w:r>
    </w:p>
    <w:p w14:paraId="5D6E1E49" w14:textId="181BA692"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Community and neighbourhood policing requires officers either being Police officers or Community Support Officers to build strong relationships with community members, they can achieve this by attending local meetings and working with community members to identify and address any concerns. For example, the Neighbourhood Policing Teams (NPTs) model adopted by many UK police forces seeks to integrate police into communities through visible, accessible, and responsive local policing (Innes, 2005). </w:t>
      </w:r>
      <w:r w:rsidR="00D3479C">
        <w:rPr>
          <w:rFonts w:ascii="Arial" w:eastAsia="Times New Roman" w:hAnsi="Arial" w:cs="Arial"/>
          <w:lang w:eastAsia="en-GB"/>
        </w:rPr>
        <w:t xml:space="preserve">This therefore strengthens community </w:t>
      </w:r>
      <w:r w:rsidR="002C1D4A">
        <w:rPr>
          <w:rFonts w:ascii="Arial" w:eastAsia="Times New Roman" w:hAnsi="Arial" w:cs="Arial"/>
          <w:lang w:eastAsia="en-GB"/>
        </w:rPr>
        <w:t>relationships,</w:t>
      </w:r>
      <w:r w:rsidR="00D3479C">
        <w:rPr>
          <w:rFonts w:ascii="Arial" w:eastAsia="Times New Roman" w:hAnsi="Arial" w:cs="Arial"/>
          <w:lang w:eastAsia="en-GB"/>
        </w:rPr>
        <w:t xml:space="preserve"> and the public are more willing to speak to officers in relation to any incidents rather than maintain their opinion from past incidents or experiences. </w:t>
      </w:r>
    </w:p>
    <w:p w14:paraId="648CC782" w14:textId="77777777" w:rsidR="00BE545F" w:rsidRPr="00BE545F" w:rsidRDefault="00BE545F" w:rsidP="00BE545F">
      <w:pPr>
        <w:pStyle w:val="ListParagraph"/>
        <w:spacing w:line="276" w:lineRule="auto"/>
        <w:ind w:left="567" w:right="531"/>
        <w:rPr>
          <w:rFonts w:ascii="Arial" w:eastAsia="Times New Roman" w:hAnsi="Arial" w:cs="Arial"/>
          <w:lang w:eastAsia="en-GB"/>
        </w:rPr>
      </w:pPr>
    </w:p>
    <w:p w14:paraId="07CEC323" w14:textId="09D79C35"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Multi-agency collaboration involves members of the police service working alongside other public services sectors such as health care, education, housing, and social services. This is to address the identified causes of crime patterns and ongoing community distress. This approach has identified that many issues facing communities are connected between all sectors and cannot be resolved through policing alone. </w:t>
      </w:r>
      <w:r w:rsidR="000E09E6">
        <w:rPr>
          <w:rFonts w:ascii="Arial" w:eastAsia="Times New Roman" w:hAnsi="Arial" w:cs="Arial"/>
          <w:lang w:eastAsia="en-GB"/>
        </w:rPr>
        <w:t xml:space="preserve">Hence, officers always collaborate with partner agencies in order to ensure public safety and improve the lives that may be surrounded by criminal activities. </w:t>
      </w:r>
    </w:p>
    <w:p w14:paraId="44000178" w14:textId="77777777" w:rsidR="00BE545F" w:rsidRDefault="00BE545F" w:rsidP="00BE545F">
      <w:pPr>
        <w:pStyle w:val="ListParagraph"/>
        <w:spacing w:line="276" w:lineRule="auto"/>
        <w:ind w:left="567" w:right="531"/>
        <w:rPr>
          <w:rFonts w:ascii="Arial" w:eastAsia="Times New Roman" w:hAnsi="Arial" w:cs="Arial"/>
          <w:lang w:eastAsia="en-GB"/>
        </w:rPr>
      </w:pPr>
    </w:p>
    <w:p w14:paraId="2BC942D4" w14:textId="7438D994"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The UK's Multi-Agency Safeguarding Hubs (MASH), for example, brings together representatives from police, social services, education, and health to ensure a coordinated approach to child protection and vulnerable adults. Evaluations of MASH have demonstrated improved outcomes through earlier interventions and more effective information sharing (Home Office, 2014). </w:t>
      </w:r>
    </w:p>
    <w:p w14:paraId="5A07D8D9"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63158C44" w14:textId="2F906350"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Working with further education and academic institutions allows the police service to use and develop evidence-based practices and conduct accurate evaluations of their current policy, procedures and strategies. Academic partnerships also help ensure accountability and transparency between both sectors. </w:t>
      </w:r>
      <w:r w:rsidR="002C1D4A">
        <w:rPr>
          <w:rFonts w:ascii="Arial" w:eastAsia="Times New Roman" w:hAnsi="Arial" w:cs="Arial"/>
          <w:lang w:eastAsia="en-GB"/>
        </w:rPr>
        <w:t>Therefore, all departments with MASH</w:t>
      </w:r>
      <w:r w:rsidR="000E09E6">
        <w:rPr>
          <w:rFonts w:ascii="Arial" w:eastAsia="Times New Roman" w:hAnsi="Arial" w:cs="Arial"/>
          <w:lang w:eastAsia="en-GB"/>
        </w:rPr>
        <w:t>,</w:t>
      </w:r>
      <w:r w:rsidR="002C1D4A">
        <w:rPr>
          <w:rFonts w:ascii="Arial" w:eastAsia="Times New Roman" w:hAnsi="Arial" w:cs="Arial"/>
          <w:lang w:eastAsia="en-GB"/>
        </w:rPr>
        <w:t xml:space="preserve"> work together in order to support the individual or group where necessary. </w:t>
      </w:r>
    </w:p>
    <w:p w14:paraId="20E705DA"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4CB2F0F5" w14:textId="513EC788" w:rsidR="00BE545F" w:rsidRDefault="00BE545F" w:rsidP="002C1D4A">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One example of this practice is the collaboration between the Metropolitan Police and the London School of Economics. This is through the Evidence-Based Policing</w:t>
      </w:r>
      <w:r w:rsidR="000E09E6">
        <w:rPr>
          <w:rFonts w:ascii="Arial" w:eastAsia="Times New Roman" w:hAnsi="Arial" w:cs="Arial"/>
          <w:lang w:eastAsia="en-GB"/>
        </w:rPr>
        <w:t>,</w:t>
      </w:r>
      <w:r w:rsidRPr="00BE545F">
        <w:rPr>
          <w:rFonts w:ascii="Arial" w:eastAsia="Times New Roman" w:hAnsi="Arial" w:cs="Arial"/>
          <w:lang w:eastAsia="en-GB"/>
        </w:rPr>
        <w:t xml:space="preserve"> College of Policing initiative. </w:t>
      </w:r>
      <w:r w:rsidR="002C1D4A">
        <w:rPr>
          <w:rFonts w:ascii="Arial" w:eastAsia="Times New Roman" w:hAnsi="Arial" w:cs="Arial"/>
          <w:lang w:eastAsia="en-GB"/>
        </w:rPr>
        <w:t>“</w:t>
      </w:r>
      <w:r w:rsidR="002C1D4A" w:rsidRPr="002C1D4A">
        <w:rPr>
          <w:rFonts w:ascii="Arial" w:eastAsia="Times New Roman" w:hAnsi="Arial" w:cs="Arial"/>
          <w:lang w:eastAsia="en-GB"/>
        </w:rPr>
        <w:t>Evidence-based policing (EBP) means that the best available evidence is used to inform and challenge policing policies, practices and decisions</w:t>
      </w:r>
      <w:r w:rsidR="002C1D4A">
        <w:rPr>
          <w:rFonts w:ascii="Arial" w:eastAsia="Times New Roman" w:hAnsi="Arial" w:cs="Arial"/>
          <w:lang w:eastAsia="en-GB"/>
        </w:rPr>
        <w:t>” (College of Policing, 2024)</w:t>
      </w:r>
      <w:r w:rsidR="002C1D4A" w:rsidRPr="002C1D4A">
        <w:rPr>
          <w:rFonts w:ascii="Arial" w:eastAsia="Times New Roman" w:hAnsi="Arial" w:cs="Arial"/>
          <w:lang w:eastAsia="en-GB"/>
        </w:rPr>
        <w:t>.</w:t>
      </w:r>
      <w:r w:rsidR="002C1D4A">
        <w:rPr>
          <w:rFonts w:ascii="Arial" w:eastAsia="Times New Roman" w:hAnsi="Arial" w:cs="Arial"/>
          <w:lang w:eastAsia="en-GB"/>
        </w:rPr>
        <w:t xml:space="preserve"> </w:t>
      </w:r>
      <w:r w:rsidRPr="002C1D4A">
        <w:rPr>
          <w:rFonts w:ascii="Arial" w:eastAsia="Times New Roman" w:hAnsi="Arial" w:cs="Arial"/>
          <w:lang w:eastAsia="en-GB"/>
        </w:rPr>
        <w:t>This partnership supports the development of policing strategies that are informed by empirical research and community feedback (Sherman, 2013). </w:t>
      </w:r>
    </w:p>
    <w:p w14:paraId="736A20D8" w14:textId="77777777" w:rsidR="00DE20D4" w:rsidRPr="002C1D4A" w:rsidRDefault="00DE20D4" w:rsidP="002C1D4A">
      <w:pPr>
        <w:pStyle w:val="ListParagraph"/>
        <w:spacing w:line="276" w:lineRule="auto"/>
        <w:ind w:left="567" w:right="531"/>
        <w:rPr>
          <w:rFonts w:ascii="Arial" w:eastAsia="Times New Roman" w:hAnsi="Arial" w:cs="Arial"/>
          <w:lang w:eastAsia="en-GB"/>
        </w:rPr>
      </w:pPr>
    </w:p>
    <w:p w14:paraId="07D2C232" w14:textId="2EE22DC1"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lastRenderedPageBreak/>
        <w:t>Greater Manchester Police (GMP) has implemented several youth engagement initiatives, including the Youth Combined Authority and youth-led scrutiny panels.</w:t>
      </w:r>
      <w:r w:rsidR="002C1D4A">
        <w:rPr>
          <w:rFonts w:ascii="Arial" w:eastAsia="Times New Roman" w:hAnsi="Arial" w:cs="Arial"/>
          <w:lang w:eastAsia="en-GB"/>
        </w:rPr>
        <w:t xml:space="preserve"> “</w:t>
      </w:r>
      <w:r w:rsidR="002C1D4A" w:rsidRPr="002C1D4A">
        <w:rPr>
          <w:rFonts w:ascii="Arial" w:eastAsia="Times New Roman" w:hAnsi="Arial" w:cs="Arial"/>
          <w:lang w:eastAsia="en-GB"/>
        </w:rPr>
        <w:t>The aim of the Youth Combined Authority is to give young people in Greater Manchester the opportunity to have their voices heard and influence GMCA policy and decision making</w:t>
      </w:r>
      <w:r w:rsidR="002C1D4A">
        <w:rPr>
          <w:rFonts w:ascii="Arial" w:eastAsia="Times New Roman" w:hAnsi="Arial" w:cs="Arial"/>
          <w:lang w:eastAsia="en-GB"/>
        </w:rPr>
        <w:t>”</w:t>
      </w:r>
      <w:r w:rsidR="002C1D4A" w:rsidRPr="002C1D4A">
        <w:rPr>
          <w:rFonts w:ascii="Arial" w:eastAsia="Times New Roman" w:hAnsi="Arial" w:cs="Arial"/>
          <w:lang w:eastAsia="en-GB"/>
        </w:rPr>
        <w:t xml:space="preserve"> (GMCA, 2017).</w:t>
      </w:r>
      <w:r w:rsidRPr="00BE545F">
        <w:rPr>
          <w:rFonts w:ascii="Arial" w:eastAsia="Times New Roman" w:hAnsi="Arial" w:cs="Arial"/>
          <w:lang w:eastAsia="en-GB"/>
        </w:rPr>
        <w:t> These program</w:t>
      </w:r>
      <w:r w:rsidR="002C1D4A">
        <w:rPr>
          <w:rFonts w:ascii="Arial" w:eastAsia="Times New Roman" w:hAnsi="Arial" w:cs="Arial"/>
          <w:lang w:eastAsia="en-GB"/>
        </w:rPr>
        <w:t>me</w:t>
      </w:r>
      <w:r w:rsidRPr="00BE545F">
        <w:rPr>
          <w:rFonts w:ascii="Arial" w:eastAsia="Times New Roman" w:hAnsi="Arial" w:cs="Arial"/>
          <w:lang w:eastAsia="en-GB"/>
        </w:rPr>
        <w:t>s allow young people to voice their concerns, suggest policy improvements, and participate in community policing strategies. Early evaluations indicate increased trust and reduce antisocial behaviour in areas where youth engagement has been prioritised (GMP, 2019). </w:t>
      </w:r>
    </w:p>
    <w:p w14:paraId="640B272F" w14:textId="77777777" w:rsidR="00DE20D4" w:rsidRPr="00BE545F" w:rsidRDefault="00DE20D4" w:rsidP="00BE545F">
      <w:pPr>
        <w:pStyle w:val="ListParagraph"/>
        <w:spacing w:line="276" w:lineRule="auto"/>
        <w:ind w:left="567" w:right="531"/>
        <w:rPr>
          <w:rFonts w:ascii="Arial" w:eastAsia="Times New Roman" w:hAnsi="Arial" w:cs="Arial"/>
          <w:lang w:eastAsia="en-GB"/>
        </w:rPr>
      </w:pPr>
    </w:p>
    <w:p w14:paraId="3B70ADD0" w14:textId="6925E526"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 xml:space="preserve">City of London Police had developed an operation which has now been adopted by many UK forces. The operation is named Project </w:t>
      </w:r>
      <w:r w:rsidR="000E09E6" w:rsidRPr="00BE545F">
        <w:rPr>
          <w:rFonts w:ascii="Arial" w:eastAsia="Times New Roman" w:hAnsi="Arial" w:cs="Arial"/>
          <w:lang w:eastAsia="en-GB"/>
        </w:rPr>
        <w:t>Serv</w:t>
      </w:r>
      <w:r w:rsidR="000E09E6">
        <w:rPr>
          <w:rFonts w:ascii="Arial" w:eastAsia="Times New Roman" w:hAnsi="Arial" w:cs="Arial"/>
          <w:lang w:eastAsia="en-GB"/>
        </w:rPr>
        <w:t>a</w:t>
      </w:r>
      <w:r w:rsidR="000E09E6" w:rsidRPr="00BE545F">
        <w:rPr>
          <w:rFonts w:ascii="Arial" w:eastAsia="Times New Roman" w:hAnsi="Arial" w:cs="Arial"/>
          <w:lang w:eastAsia="en-GB"/>
        </w:rPr>
        <w:t>tor</w:t>
      </w:r>
      <w:r w:rsidRPr="00BE545F">
        <w:rPr>
          <w:rFonts w:ascii="Arial" w:eastAsia="Times New Roman" w:hAnsi="Arial" w:cs="Arial"/>
          <w:lang w:eastAsia="en-GB"/>
        </w:rPr>
        <w:t>.</w:t>
      </w:r>
      <w:r w:rsidR="000E09E6">
        <w:rPr>
          <w:rFonts w:ascii="Arial" w:eastAsia="Times New Roman" w:hAnsi="Arial" w:cs="Arial"/>
          <w:lang w:eastAsia="en-GB"/>
        </w:rPr>
        <w:t xml:space="preserve"> </w:t>
      </w:r>
      <w:r w:rsidR="009E655D">
        <w:rPr>
          <w:rFonts w:ascii="Arial" w:eastAsia="Times New Roman" w:hAnsi="Arial" w:cs="Arial"/>
          <w:lang w:eastAsia="en-GB"/>
        </w:rPr>
        <w:t>“</w:t>
      </w:r>
      <w:r w:rsidR="000E09E6" w:rsidRPr="000E09E6">
        <w:rPr>
          <w:rFonts w:ascii="Arial" w:eastAsia="Times New Roman" w:hAnsi="Arial" w:cs="Arial"/>
          <w:lang w:eastAsia="en-GB"/>
        </w:rPr>
        <w:t>Project Servator is a policing tactic that aims to disrupt a range of criminal activity, including terrorism, while providing a reassuring presence for the public. It is used by a number of UK police forces and the Royal Gibraltar Police</w:t>
      </w:r>
      <w:r w:rsidR="009E655D">
        <w:rPr>
          <w:rFonts w:ascii="Arial" w:eastAsia="Times New Roman" w:hAnsi="Arial" w:cs="Arial"/>
          <w:lang w:eastAsia="en-GB"/>
        </w:rPr>
        <w:t>”</w:t>
      </w:r>
      <w:r w:rsidR="000E09E6">
        <w:rPr>
          <w:rFonts w:ascii="Arial" w:eastAsia="Times New Roman" w:hAnsi="Arial" w:cs="Arial"/>
          <w:lang w:eastAsia="en-GB"/>
        </w:rPr>
        <w:t xml:space="preserve"> (Counter Terrorism Policing, 2022)</w:t>
      </w:r>
      <w:r w:rsidR="000E09E6" w:rsidRPr="000E09E6">
        <w:rPr>
          <w:rFonts w:ascii="Arial" w:eastAsia="Times New Roman" w:hAnsi="Arial" w:cs="Arial"/>
          <w:lang w:eastAsia="en-GB"/>
        </w:rPr>
        <w:t>.</w:t>
      </w:r>
      <w:r w:rsidRPr="00BE545F">
        <w:rPr>
          <w:rFonts w:ascii="Arial" w:eastAsia="Times New Roman" w:hAnsi="Arial" w:cs="Arial"/>
          <w:lang w:eastAsia="en-GB"/>
        </w:rPr>
        <w:t xml:space="preserve"> This operation involves the use of high visibility and sporadic deployments which are designed to deter criminal activity, including terrorism. A key element of this project is community engagement. Officers are trained to engage positively with the public and local businesses to build trust and encourage members of public to provide information on a regular basis. Feedback from local communities has shown increased confidence in policing and willingness to report suspicious activity (City of London Police, 2020). </w:t>
      </w:r>
    </w:p>
    <w:p w14:paraId="7FABA831" w14:textId="77777777" w:rsidR="00B06A53" w:rsidRPr="00BE545F" w:rsidRDefault="00B06A53" w:rsidP="00BE545F">
      <w:pPr>
        <w:pStyle w:val="ListParagraph"/>
        <w:spacing w:line="276" w:lineRule="auto"/>
        <w:ind w:left="567" w:right="531"/>
        <w:rPr>
          <w:rFonts w:ascii="Arial" w:eastAsia="Times New Roman" w:hAnsi="Arial" w:cs="Arial"/>
          <w:lang w:eastAsia="en-GB"/>
        </w:rPr>
      </w:pPr>
    </w:p>
    <w:p w14:paraId="6CC8E07F" w14:textId="77777777"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The borough of Lewisham in London has developed Community Engagement Panels that involve residents in discussions with the police and other agencies on issues such as stop and search, youth violence, and public safety. These panels have provided a platform for concerns to be discussed and addressed and have led to critical changes in local policing practices (Mayor of London, 2020). </w:t>
      </w:r>
    </w:p>
    <w:p w14:paraId="1B9CCC4C"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71596377" w14:textId="0DBD135F"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Implementing partnership strategies requires adequate resources. Many UK police departments face budget constraints that make it difficult to allocate officers for community engagement activities or to invest in training and infrastructure necessary for collaborative work. The austerity measures following the 2008 financial crisis led to significant reductions in community policing capacity (HMICFRS, 2018). </w:t>
      </w:r>
      <w:r w:rsidR="00B06A53">
        <w:rPr>
          <w:rFonts w:ascii="Arial" w:eastAsia="Times New Roman" w:hAnsi="Arial" w:cs="Arial"/>
          <w:lang w:eastAsia="en-GB"/>
        </w:rPr>
        <w:t>Hence why Neighbourhood Policing Teams and Police Community Support Officers have the role to patrol communities and engage with the communities in order to improve community engagement.</w:t>
      </w:r>
    </w:p>
    <w:p w14:paraId="1FC02B97"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0D49CBD6"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For partnership approaches to be successful, police officers must be trained to engage respectfully and effectively with diverse populations. Cultural competence involves understanding and appreciating cultural differences, avoiding stereotypes, and </w:t>
      </w:r>
    </w:p>
    <w:p w14:paraId="47B5DA09" w14:textId="2C16F5A9"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practi</w:t>
      </w:r>
      <w:r w:rsidR="00633992">
        <w:rPr>
          <w:rFonts w:ascii="Arial" w:eastAsia="Times New Roman" w:hAnsi="Arial" w:cs="Arial"/>
          <w:lang w:eastAsia="en-GB"/>
        </w:rPr>
        <w:t>c</w:t>
      </w:r>
      <w:r w:rsidRPr="00BE545F">
        <w:rPr>
          <w:rFonts w:ascii="Arial" w:eastAsia="Times New Roman" w:hAnsi="Arial" w:cs="Arial"/>
          <w:lang w:eastAsia="en-GB"/>
        </w:rPr>
        <w:t>ing inclusive communication. Training programmes such as the College of Policing’s “Policing Diversity” curriculum are crucial in equipping officers with these skills (College of Policing, 2019). </w:t>
      </w:r>
    </w:p>
    <w:p w14:paraId="78076D6F"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267A7393" w14:textId="77777777"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True partnership requires that communities are not only involved but also empowered to shape policing priorities and strategies. This means moving beyond consultation to shared decision-making. Mechanisms such as Safer Neighbourhood Boards and Independent Advisory Groups provide platforms for community voices and hold police accountable to local needs (Mayor’s Office for Policing and Crime, 2020). </w:t>
      </w:r>
    </w:p>
    <w:p w14:paraId="677DB8F1" w14:textId="77777777" w:rsidR="006258EF" w:rsidRPr="00BE545F" w:rsidRDefault="006258EF" w:rsidP="00BE545F">
      <w:pPr>
        <w:pStyle w:val="ListParagraph"/>
        <w:spacing w:line="276" w:lineRule="auto"/>
        <w:ind w:left="567" w:right="531"/>
        <w:rPr>
          <w:rFonts w:ascii="Arial" w:eastAsia="Times New Roman" w:hAnsi="Arial" w:cs="Arial"/>
          <w:lang w:eastAsia="en-GB"/>
        </w:rPr>
      </w:pPr>
    </w:p>
    <w:p w14:paraId="42B08A45" w14:textId="77777777" w:rsidR="00BE545F" w:rsidRP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t>Communities’ reluctance to engage with police in the UK stems from a complex interplay of historical injustices, negative experiences, and perceptions of illegitimacy. Partnership approaches offer a viable and effective pathway to rebuild trust and foster cooperation. By involving community members, social services, academic institutions, and other stakeholders, these strategies address both the symptoms and root causes of community disengagement. </w:t>
      </w:r>
    </w:p>
    <w:p w14:paraId="09B557EE" w14:textId="65EE0C3F" w:rsidR="00BE545F" w:rsidRDefault="00BE545F" w:rsidP="00BE545F">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lang w:eastAsia="en-GB"/>
        </w:rPr>
        <w:lastRenderedPageBreak/>
        <w:t>The case studies and academic literature reviewed in this essay demonstrate that when implemented with sincerity, adequate resources, and cultural sensitivity, partnership approaches can lead to improved police-community relations, reduced crime, and more equitable public safety outcomes. Going forward, UK law enforcement agencies must prioritise these collaborative models as central to their mission of serving and protecting all communities</w:t>
      </w:r>
      <w:r w:rsidR="00615C3F">
        <w:rPr>
          <w:rFonts w:ascii="Arial" w:eastAsia="Times New Roman" w:hAnsi="Arial" w:cs="Arial"/>
          <w:lang w:eastAsia="en-GB"/>
        </w:rPr>
        <w:t xml:space="preserve"> in order for there to be more positive communities. </w:t>
      </w:r>
    </w:p>
    <w:p w14:paraId="1575FC4A" w14:textId="77777777" w:rsidR="00BE545F" w:rsidRPr="00BE545F" w:rsidRDefault="00BE545F" w:rsidP="00BE545F">
      <w:pPr>
        <w:pStyle w:val="ListParagraph"/>
        <w:spacing w:line="276" w:lineRule="auto"/>
        <w:ind w:left="567" w:right="531"/>
        <w:rPr>
          <w:rFonts w:ascii="Arial" w:eastAsia="Times New Roman" w:hAnsi="Arial" w:cs="Arial"/>
          <w:lang w:eastAsia="en-GB"/>
        </w:rPr>
      </w:pPr>
    </w:p>
    <w:p w14:paraId="7981490A" w14:textId="77777777" w:rsidR="002457E7" w:rsidRDefault="00BE545F" w:rsidP="002457E7">
      <w:pPr>
        <w:pStyle w:val="ListParagraph"/>
        <w:spacing w:line="276" w:lineRule="auto"/>
        <w:ind w:left="567" w:right="531"/>
        <w:rPr>
          <w:rFonts w:ascii="Arial" w:eastAsia="Times New Roman" w:hAnsi="Arial" w:cs="Arial"/>
          <w:lang w:eastAsia="en-GB"/>
        </w:rPr>
      </w:pPr>
      <w:r w:rsidRPr="00BE545F">
        <w:rPr>
          <w:rFonts w:ascii="Arial" w:eastAsia="Times New Roman" w:hAnsi="Arial" w:cs="Arial"/>
          <w:b/>
          <w:bCs/>
          <w:lang w:eastAsia="en-GB"/>
        </w:rPr>
        <w:t>References</w:t>
      </w:r>
    </w:p>
    <w:p w14:paraId="12EDA3B5" w14:textId="03942A2E" w:rsidR="00BE545F" w:rsidRPr="002457E7" w:rsidRDefault="002457E7" w:rsidP="002457E7">
      <w:pPr>
        <w:spacing w:line="276" w:lineRule="auto"/>
        <w:ind w:right="531"/>
        <w:rPr>
          <w:rFonts w:ascii="Arial" w:eastAsia="Times New Roman" w:hAnsi="Arial" w:cs="Arial"/>
          <w:lang w:eastAsia="en-GB"/>
        </w:rPr>
      </w:pPr>
      <w:r>
        <w:rPr>
          <w:rFonts w:ascii="Arial" w:eastAsia="Times New Roman" w:hAnsi="Arial" w:cs="Arial"/>
          <w:lang w:eastAsia="en-GB"/>
        </w:rPr>
        <w:t>B</w:t>
      </w:r>
      <w:r w:rsidR="00BE545F" w:rsidRPr="002457E7">
        <w:rPr>
          <w:rFonts w:ascii="Arial" w:eastAsia="Times New Roman" w:hAnsi="Arial" w:cs="Arial"/>
          <w:lang w:eastAsia="en-GB"/>
        </w:rPr>
        <w:t>radford, B., &amp; Jackson, J. (2010). Cooperating with the police: Social control and the reproduction of police legitimacy. </w:t>
      </w:r>
      <w:r w:rsidR="00BE545F" w:rsidRPr="002457E7">
        <w:rPr>
          <w:rFonts w:ascii="Arial" w:eastAsia="Times New Roman" w:hAnsi="Arial" w:cs="Arial"/>
          <w:i/>
          <w:iCs/>
          <w:lang w:eastAsia="en-GB"/>
        </w:rPr>
        <w:t>Policing and Society</w:t>
      </w:r>
      <w:r w:rsidR="00BE545F" w:rsidRPr="002457E7">
        <w:rPr>
          <w:rFonts w:ascii="Arial" w:eastAsia="Times New Roman" w:hAnsi="Arial" w:cs="Arial"/>
          <w:lang w:eastAsia="en-GB"/>
        </w:rPr>
        <w:t>, 20(4), 371–390. </w:t>
      </w:r>
    </w:p>
    <w:p w14:paraId="41AE17B8" w14:textId="77777777" w:rsidR="00BE545F" w:rsidRP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City of London Police. (2020). Project Servator. Retrieved from https://www.cityoflondon.police.uk </w:t>
      </w:r>
    </w:p>
    <w:p w14:paraId="4ED0B3D4" w14:textId="77777777" w:rsid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College of Policing. (2019). Policing Diversity: Training Manual. College of Policing. </w:t>
      </w:r>
    </w:p>
    <w:p w14:paraId="323F5CE4" w14:textId="173C5DE7" w:rsidR="002C1D4A" w:rsidRDefault="002C1D4A" w:rsidP="002C1D4A">
      <w:pPr>
        <w:pStyle w:val="NormalWeb"/>
        <w:numPr>
          <w:ilvl w:val="0"/>
          <w:numId w:val="24"/>
        </w:numPr>
        <w:spacing w:before="0" w:beforeAutospacing="0" w:after="240" w:afterAutospacing="0" w:line="360" w:lineRule="auto"/>
      </w:pPr>
      <w:r>
        <w:t xml:space="preserve">College of Policing (2024). </w:t>
      </w:r>
      <w:r>
        <w:rPr>
          <w:i/>
          <w:iCs/>
        </w:rPr>
        <w:t>Evidence-based policing</w:t>
      </w:r>
      <w:r>
        <w:t xml:space="preserve">. [online] College of Policing. Available at: </w:t>
      </w:r>
      <w:hyperlink r:id="rId13" w:history="1">
        <w:r w:rsidR="000E09E6" w:rsidRPr="003A0620">
          <w:rPr>
            <w:rStyle w:val="Hyperlink"/>
          </w:rPr>
          <w:t>https://www.college.police.uk/research/evidence-based-policing-EBP</w:t>
        </w:r>
      </w:hyperlink>
      <w:r>
        <w:t>.</w:t>
      </w:r>
    </w:p>
    <w:p w14:paraId="2CF94677" w14:textId="0132AD0B" w:rsidR="000E09E6" w:rsidRPr="002C1D4A" w:rsidRDefault="000E09E6" w:rsidP="000E09E6">
      <w:pPr>
        <w:pStyle w:val="NormalWeb"/>
        <w:numPr>
          <w:ilvl w:val="0"/>
          <w:numId w:val="24"/>
        </w:numPr>
        <w:spacing w:before="0" w:beforeAutospacing="0" w:after="240" w:afterAutospacing="0" w:line="360" w:lineRule="auto"/>
      </w:pPr>
      <w:r>
        <w:t xml:space="preserve">Counter Terrorism Policing (2022). </w:t>
      </w:r>
      <w:r>
        <w:rPr>
          <w:i/>
          <w:iCs/>
        </w:rPr>
        <w:t>Project Servator</w:t>
      </w:r>
      <w:r>
        <w:t>. [online] Counter Terrorism Policing. Available at: https://www.counterterrorism.police.uk/servator/.</w:t>
      </w:r>
    </w:p>
    <w:p w14:paraId="378F9885" w14:textId="77777777" w:rsidR="00BE545F" w:rsidRP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Equality and Human Rights Commission (EHRC). (2019). Stop and think again: Towards race equality in police PACE stop and search. EHRC. </w:t>
      </w:r>
    </w:p>
    <w:p w14:paraId="1ADAEB41" w14:textId="77777777" w:rsidR="00BE545F" w:rsidRP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GMP. (2019). Youth Engagement Strategy. Greater Manchester Police. </w:t>
      </w:r>
    </w:p>
    <w:p w14:paraId="5B7FD449" w14:textId="77777777" w:rsidR="00BE545F" w:rsidRP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HMICFRS. (2018). Policing and austerity: One year on. Her Majesty’s Inspectorate of Constabulary and Fire &amp; Rescue Services. </w:t>
      </w:r>
    </w:p>
    <w:p w14:paraId="51FFCCC9" w14:textId="77777777" w:rsidR="00BE545F" w:rsidRP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Home Office. (2014). Multi-Agency Safeguarding Hubs (MASH): Guidance. Home Office. </w:t>
      </w:r>
    </w:p>
    <w:p w14:paraId="5D6013CF" w14:textId="77777777" w:rsidR="00BE545F" w:rsidRPr="00BE545F" w:rsidRDefault="00BE545F" w:rsidP="00BE545F">
      <w:pPr>
        <w:pStyle w:val="ListParagraph"/>
        <w:numPr>
          <w:ilvl w:val="0"/>
          <w:numId w:val="24"/>
        </w:numPr>
        <w:spacing w:line="276" w:lineRule="auto"/>
        <w:ind w:right="531"/>
        <w:rPr>
          <w:rFonts w:ascii="Arial" w:eastAsia="Times New Roman" w:hAnsi="Arial" w:cs="Arial"/>
          <w:lang w:eastAsia="en-GB"/>
        </w:rPr>
      </w:pPr>
      <w:r w:rsidRPr="00BE545F">
        <w:rPr>
          <w:rFonts w:ascii="Arial" w:eastAsia="Times New Roman" w:hAnsi="Arial" w:cs="Arial"/>
          <w:lang w:eastAsia="en-GB"/>
        </w:rPr>
        <w:t>· Hohl, K., Bradford, B., &amp; Stanko, E. A. (2010). Influencing trust and confidence in the London Metropolitan Police: Results from an experiment testing the effect of leaflet drops on public opinion. </w:t>
      </w:r>
      <w:r w:rsidRPr="00BE545F">
        <w:rPr>
          <w:rFonts w:ascii="Arial" w:eastAsia="Times New Roman" w:hAnsi="Arial" w:cs="Arial"/>
          <w:i/>
          <w:iCs/>
          <w:lang w:eastAsia="en-GB"/>
        </w:rPr>
        <w:t>British Journal of Criminology</w:t>
      </w:r>
      <w:r w:rsidRPr="00BE545F">
        <w:rPr>
          <w:rFonts w:ascii="Arial" w:eastAsia="Times New Roman" w:hAnsi="Arial" w:cs="Arial"/>
          <w:lang w:eastAsia="en-GB"/>
        </w:rPr>
        <w:t>, 50(3), 491–513. </w:t>
      </w:r>
    </w:p>
    <w:p w14:paraId="0C812110" w14:textId="77777777" w:rsidR="00BE545F" w:rsidRP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Innes, M. (2005). Why ‘soft’ policing is hard: On the curious development of reassurance policing, how it became neighbourhood policing and what this signifies about the politics of police reform. </w:t>
      </w:r>
      <w:r w:rsidRPr="00BE545F">
        <w:rPr>
          <w:rFonts w:ascii="Arial" w:eastAsia="Times New Roman" w:hAnsi="Arial" w:cs="Arial"/>
          <w:i/>
          <w:iCs/>
          <w:lang w:eastAsia="en-GB"/>
        </w:rPr>
        <w:t>Journal of Community &amp; Applied Social Psychology</w:t>
      </w:r>
      <w:r w:rsidRPr="00BE545F">
        <w:rPr>
          <w:rFonts w:ascii="Arial" w:eastAsia="Times New Roman" w:hAnsi="Arial" w:cs="Arial"/>
          <w:lang w:eastAsia="en-GB"/>
        </w:rPr>
        <w:t>, 15(2), 156–169. </w:t>
      </w:r>
    </w:p>
    <w:p w14:paraId="50DE1324" w14:textId="77777777" w:rsidR="00BE545F" w:rsidRP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Lammy, D. (2017). The Lammy Review: An independent review into the treatment of, and outcomes for, Black, Asian and Minority Ethnic individuals in the Criminal Justice System. Ministry of Justice. </w:t>
      </w:r>
    </w:p>
    <w:p w14:paraId="72912BFC" w14:textId="77777777" w:rsid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Macpherson, W. (1999). The Stephen Lawrence Inquiry. London: Home Office. </w:t>
      </w:r>
    </w:p>
    <w:p w14:paraId="18892742" w14:textId="6C60C368" w:rsidR="002C1D4A" w:rsidRPr="002C1D4A" w:rsidRDefault="002C1D4A" w:rsidP="002C1D4A">
      <w:pPr>
        <w:pStyle w:val="NormalWeb"/>
        <w:numPr>
          <w:ilvl w:val="0"/>
          <w:numId w:val="25"/>
        </w:numPr>
        <w:spacing w:before="0" w:beforeAutospacing="0" w:after="240" w:afterAutospacing="0" w:line="360" w:lineRule="auto"/>
      </w:pPr>
      <w:r>
        <w:t xml:space="preserve">Manchester, G. (2017). </w:t>
      </w:r>
      <w:r>
        <w:rPr>
          <w:i/>
          <w:iCs/>
        </w:rPr>
        <w:t>Home</w:t>
      </w:r>
      <w:r>
        <w:t>. [online] Greater Manchester Combined Authority. Available at: https://greatermanchester-ca.gov.uk/what-we-do/children-and-young-people/youth-combined-authority/ [Accessed 22 May 2025].</w:t>
      </w:r>
    </w:p>
    <w:p w14:paraId="46514F91" w14:textId="77777777" w:rsidR="00BE545F" w:rsidRP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Mayor of London. (2020). Community Engagement and Accountability. Retrieved from https://www.london.gov.uk </w:t>
      </w:r>
    </w:p>
    <w:p w14:paraId="3866529B" w14:textId="77777777" w:rsidR="00BE545F" w:rsidRP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Mayor’s Office for Policing and Crime. (2020). Safer Neighbourhood Boards. Retrieved from https://www.london.gov.uk/what-we-do/mayors-office-policing-and-crime-mopac </w:t>
      </w:r>
    </w:p>
    <w:p w14:paraId="487BD17C" w14:textId="77777777" w:rsidR="00BE545F" w:rsidRP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Sherman, L. W. (2013). The rise of evidence-based policing: Targeting, testing, and tracking. </w:t>
      </w:r>
      <w:r w:rsidRPr="00BE545F">
        <w:rPr>
          <w:rFonts w:ascii="Arial" w:eastAsia="Times New Roman" w:hAnsi="Arial" w:cs="Arial"/>
          <w:i/>
          <w:iCs/>
          <w:lang w:eastAsia="en-GB"/>
        </w:rPr>
        <w:t>Crime and Justice</w:t>
      </w:r>
      <w:r w:rsidRPr="00BE545F">
        <w:rPr>
          <w:rFonts w:ascii="Arial" w:eastAsia="Times New Roman" w:hAnsi="Arial" w:cs="Arial"/>
          <w:lang w:eastAsia="en-GB"/>
        </w:rPr>
        <w:t>, 42(1), 377–451. </w:t>
      </w:r>
    </w:p>
    <w:p w14:paraId="51205F55" w14:textId="77777777" w:rsidR="00BE545F" w:rsidRPr="00BE545F" w:rsidRDefault="00BE545F" w:rsidP="00BE545F">
      <w:pPr>
        <w:pStyle w:val="ListParagraph"/>
        <w:numPr>
          <w:ilvl w:val="0"/>
          <w:numId w:val="25"/>
        </w:numPr>
        <w:spacing w:line="276" w:lineRule="auto"/>
        <w:ind w:right="531"/>
        <w:rPr>
          <w:rFonts w:ascii="Arial" w:eastAsia="Times New Roman" w:hAnsi="Arial" w:cs="Arial"/>
          <w:lang w:eastAsia="en-GB"/>
        </w:rPr>
      </w:pPr>
      <w:r w:rsidRPr="00BE545F">
        <w:rPr>
          <w:rFonts w:ascii="Arial" w:eastAsia="Times New Roman" w:hAnsi="Arial" w:cs="Arial"/>
          <w:lang w:eastAsia="en-GB"/>
        </w:rPr>
        <w:t>· Tyler, T. R. (2006). Why people obey the law. Princeton University Press.</w:t>
      </w:r>
    </w:p>
    <w:p w14:paraId="57CA051C" w14:textId="77777777" w:rsidR="00BE545F" w:rsidRPr="00884FAB" w:rsidRDefault="00BE545F" w:rsidP="008100A9">
      <w:pPr>
        <w:pStyle w:val="ListParagraph"/>
        <w:spacing w:line="276" w:lineRule="auto"/>
        <w:ind w:left="567" w:right="531"/>
        <w:rPr>
          <w:rFonts w:ascii="Arial" w:eastAsia="Times New Roman" w:hAnsi="Arial" w:cs="Arial"/>
          <w:lang w:eastAsia="en-GB"/>
        </w:rPr>
      </w:pPr>
    </w:p>
    <w:p w14:paraId="4DD39F8A" w14:textId="7209713E" w:rsidR="000963AC" w:rsidRDefault="000963AC" w:rsidP="009A0667">
      <w:pPr>
        <w:spacing w:after="0" w:line="276" w:lineRule="auto"/>
        <w:ind w:left="567" w:right="531" w:firstLine="294"/>
        <w:rPr>
          <w:rFonts w:ascii="Arial" w:eastAsia="Times New Roman" w:hAnsi="Arial" w:cs="Arial"/>
          <w:lang w:eastAsia="en-GB"/>
        </w:rPr>
      </w:pPr>
    </w:p>
    <w:p w14:paraId="464F88F8" w14:textId="5560AF8C" w:rsidR="00BD7229" w:rsidRPr="008B513D" w:rsidRDefault="00615C3F" w:rsidP="00DD43DB">
      <w:pPr>
        <w:spacing w:after="0" w:line="276" w:lineRule="auto"/>
        <w:ind w:right="531"/>
        <w:rPr>
          <w:rFonts w:ascii="Arial" w:eastAsia="Times New Roman" w:hAnsi="Arial" w:cs="Arial"/>
          <w:b/>
          <w:bCs/>
          <w:lang w:eastAsia="en-GB"/>
        </w:rPr>
      </w:pPr>
      <w:r w:rsidRPr="008B513D">
        <w:rPr>
          <w:rFonts w:ascii="Arial" w:eastAsia="Times New Roman" w:hAnsi="Arial" w:cs="Arial"/>
          <w:b/>
          <w:bCs/>
          <w:lang w:eastAsia="en-GB"/>
        </w:rPr>
        <w:t>Word count: 1</w:t>
      </w:r>
      <w:r w:rsidR="000E09E6" w:rsidRPr="008B513D">
        <w:rPr>
          <w:rFonts w:ascii="Arial" w:eastAsia="Times New Roman" w:hAnsi="Arial" w:cs="Arial"/>
          <w:b/>
          <w:bCs/>
          <w:lang w:eastAsia="en-GB"/>
        </w:rPr>
        <w:t>819</w:t>
      </w:r>
    </w:p>
    <w:p w14:paraId="6C255F66" w14:textId="77777777" w:rsidR="000963AC" w:rsidRDefault="000963AC" w:rsidP="009A0667">
      <w:pPr>
        <w:spacing w:after="0" w:line="276" w:lineRule="auto"/>
        <w:ind w:left="567" w:right="531" w:firstLine="294"/>
        <w:rPr>
          <w:rFonts w:ascii="Arial" w:eastAsia="Times New Roman" w:hAnsi="Arial" w:cs="Arial"/>
          <w:lang w:eastAsia="en-GB"/>
        </w:rPr>
      </w:pPr>
    </w:p>
    <w:p w14:paraId="3D2CA030" w14:textId="740A1E16"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43312B3A" w14:textId="22C76749"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56D21789" w14:textId="7CD4340A" w:rsidR="00D4674B" w:rsidRDefault="00D4674B" w:rsidP="009A0667">
      <w:pPr>
        <w:spacing w:after="0" w:line="240" w:lineRule="auto"/>
        <w:ind w:left="567" w:right="531"/>
        <w:jc w:val="center"/>
        <w:rPr>
          <w:rFonts w:ascii="Arial" w:eastAsia="Times New Roman" w:hAnsi="Arial" w:cs="Arial"/>
          <w:b/>
          <w:sz w:val="24"/>
          <w:szCs w:val="24"/>
          <w:lang w:eastAsia="en-GB"/>
        </w:rPr>
      </w:pPr>
    </w:p>
    <w:p w14:paraId="2182847A" w14:textId="2721072D" w:rsidR="00FE4224" w:rsidRDefault="00FE4224" w:rsidP="009A0667">
      <w:pPr>
        <w:spacing w:after="0" w:line="240" w:lineRule="auto"/>
        <w:ind w:left="567" w:right="531"/>
        <w:jc w:val="center"/>
        <w:rPr>
          <w:rFonts w:ascii="Arial" w:eastAsia="Times New Roman" w:hAnsi="Arial" w:cs="Arial"/>
          <w:b/>
          <w:sz w:val="24"/>
          <w:szCs w:val="24"/>
          <w:lang w:eastAsia="en-GB"/>
        </w:rPr>
      </w:pPr>
    </w:p>
    <w:sectPr w:rsidR="00FE4224" w:rsidSect="00CC69AD">
      <w:pgSz w:w="11894" w:h="16834"/>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2359B" w14:textId="77777777" w:rsidR="00EC289D" w:rsidRDefault="00EC289D">
      <w:pPr>
        <w:spacing w:after="0" w:line="240" w:lineRule="auto"/>
      </w:pPr>
      <w:r>
        <w:separator/>
      </w:r>
    </w:p>
  </w:endnote>
  <w:endnote w:type="continuationSeparator" w:id="0">
    <w:p w14:paraId="318A4BA6" w14:textId="77777777" w:rsidR="00EC289D" w:rsidRDefault="00EC2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F8BB0" w14:textId="77777777" w:rsidR="00EC289D" w:rsidRDefault="00EC289D">
      <w:pPr>
        <w:spacing w:after="0" w:line="240" w:lineRule="auto"/>
      </w:pPr>
      <w:r>
        <w:separator/>
      </w:r>
    </w:p>
  </w:footnote>
  <w:footnote w:type="continuationSeparator" w:id="0">
    <w:p w14:paraId="076FE3A8" w14:textId="77777777" w:rsidR="00EC289D" w:rsidRDefault="00EC2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04EB5BF3"/>
    <w:multiLevelType w:val="multilevel"/>
    <w:tmpl w:val="ABAA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57E5A"/>
    <w:multiLevelType w:val="multilevel"/>
    <w:tmpl w:val="128E5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88205A"/>
    <w:multiLevelType w:val="hybridMultilevel"/>
    <w:tmpl w:val="148ECD98"/>
    <w:lvl w:ilvl="0" w:tplc="08090001">
      <w:start w:val="1"/>
      <w:numFmt w:val="bullet"/>
      <w:lvlText w:val=""/>
      <w:lvlJc w:val="left"/>
      <w:pPr>
        <w:ind w:left="1287" w:hanging="360"/>
      </w:pPr>
      <w:rPr>
        <w:rFonts w:ascii="Symbol" w:hAnsi="Symbol" w:hint="default"/>
      </w:rPr>
    </w:lvl>
    <w:lvl w:ilvl="1" w:tplc="B54CB342">
      <w:numFmt w:val="bullet"/>
      <w:lvlText w:val="·"/>
      <w:lvlJc w:val="left"/>
      <w:pPr>
        <w:ind w:left="2007" w:hanging="360"/>
      </w:pPr>
      <w:rPr>
        <w:rFonts w:ascii="Arial" w:eastAsia="Times New Roman" w:hAnsi="Arial" w:cs="Arial"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D0333F"/>
    <w:multiLevelType w:val="multilevel"/>
    <w:tmpl w:val="7CA0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2E5FFC"/>
    <w:multiLevelType w:val="hybridMultilevel"/>
    <w:tmpl w:val="0AEE9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A93042"/>
    <w:multiLevelType w:val="multilevel"/>
    <w:tmpl w:val="128E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69129335">
    <w:abstractNumId w:val="24"/>
  </w:num>
  <w:num w:numId="2" w16cid:durableId="702360742">
    <w:abstractNumId w:val="25"/>
  </w:num>
  <w:num w:numId="3" w16cid:durableId="2113044208">
    <w:abstractNumId w:val="14"/>
  </w:num>
  <w:num w:numId="4" w16cid:durableId="2052411688">
    <w:abstractNumId w:val="18"/>
  </w:num>
  <w:num w:numId="5" w16cid:durableId="1018000403">
    <w:abstractNumId w:val="0"/>
  </w:num>
  <w:num w:numId="6" w16cid:durableId="1816795765">
    <w:abstractNumId w:val="9"/>
  </w:num>
  <w:num w:numId="7" w16cid:durableId="56051950">
    <w:abstractNumId w:val="3"/>
  </w:num>
  <w:num w:numId="8" w16cid:durableId="272592004">
    <w:abstractNumId w:val="16"/>
  </w:num>
  <w:num w:numId="9" w16cid:durableId="750395832">
    <w:abstractNumId w:val="11"/>
  </w:num>
  <w:num w:numId="10" w16cid:durableId="1716612438">
    <w:abstractNumId w:val="20"/>
  </w:num>
  <w:num w:numId="11" w16cid:durableId="543634635">
    <w:abstractNumId w:val="2"/>
  </w:num>
  <w:num w:numId="12" w16cid:durableId="1409305896">
    <w:abstractNumId w:val="15"/>
  </w:num>
  <w:num w:numId="13" w16cid:durableId="1751082022">
    <w:abstractNumId w:val="5"/>
  </w:num>
  <w:num w:numId="14" w16cid:durableId="1077753718">
    <w:abstractNumId w:val="21"/>
  </w:num>
  <w:num w:numId="15" w16cid:durableId="877742396">
    <w:abstractNumId w:val="23"/>
  </w:num>
  <w:num w:numId="16" w16cid:durableId="2142767297">
    <w:abstractNumId w:val="22"/>
  </w:num>
  <w:num w:numId="17" w16cid:durableId="242767546">
    <w:abstractNumId w:val="7"/>
  </w:num>
  <w:num w:numId="18" w16cid:durableId="2031758593">
    <w:abstractNumId w:val="17"/>
  </w:num>
  <w:num w:numId="19" w16cid:durableId="1570848256">
    <w:abstractNumId w:val="10"/>
  </w:num>
  <w:num w:numId="20" w16cid:durableId="640231255">
    <w:abstractNumId w:val="8"/>
  </w:num>
  <w:num w:numId="21" w16cid:durableId="1079910369">
    <w:abstractNumId w:val="26"/>
  </w:num>
  <w:num w:numId="22" w16cid:durableId="633369791">
    <w:abstractNumId w:val="4"/>
  </w:num>
  <w:num w:numId="23" w16cid:durableId="205607401">
    <w:abstractNumId w:val="12"/>
  </w:num>
  <w:num w:numId="24" w16cid:durableId="2107529203">
    <w:abstractNumId w:val="19"/>
  </w:num>
  <w:num w:numId="25" w16cid:durableId="326907019">
    <w:abstractNumId w:val="1"/>
  </w:num>
  <w:num w:numId="26" w16cid:durableId="1378314584">
    <w:abstractNumId w:val="6"/>
  </w:num>
  <w:num w:numId="27" w16cid:durableId="8278634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A1B"/>
    <w:rsid w:val="00011280"/>
    <w:rsid w:val="00012FF4"/>
    <w:rsid w:val="000230EA"/>
    <w:rsid w:val="0003157C"/>
    <w:rsid w:val="00033009"/>
    <w:rsid w:val="00043F77"/>
    <w:rsid w:val="000540F8"/>
    <w:rsid w:val="000541B3"/>
    <w:rsid w:val="00063E9B"/>
    <w:rsid w:val="00071D99"/>
    <w:rsid w:val="0009487D"/>
    <w:rsid w:val="000963AC"/>
    <w:rsid w:val="000A3F02"/>
    <w:rsid w:val="000D7142"/>
    <w:rsid w:val="000D7AFA"/>
    <w:rsid w:val="000E09E6"/>
    <w:rsid w:val="000E27B5"/>
    <w:rsid w:val="000F209E"/>
    <w:rsid w:val="0010352E"/>
    <w:rsid w:val="0012297C"/>
    <w:rsid w:val="0012390F"/>
    <w:rsid w:val="00134CC0"/>
    <w:rsid w:val="001351C3"/>
    <w:rsid w:val="0014198A"/>
    <w:rsid w:val="001473E7"/>
    <w:rsid w:val="0015038E"/>
    <w:rsid w:val="00157265"/>
    <w:rsid w:val="001725B0"/>
    <w:rsid w:val="00174D4C"/>
    <w:rsid w:val="00175177"/>
    <w:rsid w:val="00180632"/>
    <w:rsid w:val="00181173"/>
    <w:rsid w:val="001952BF"/>
    <w:rsid w:val="001A2C72"/>
    <w:rsid w:val="001A580B"/>
    <w:rsid w:val="001A7057"/>
    <w:rsid w:val="001B022F"/>
    <w:rsid w:val="001B2568"/>
    <w:rsid w:val="001B3E3D"/>
    <w:rsid w:val="001B7D3D"/>
    <w:rsid w:val="001C7092"/>
    <w:rsid w:val="001C7AA4"/>
    <w:rsid w:val="001C7C57"/>
    <w:rsid w:val="001D43E3"/>
    <w:rsid w:val="001D4B6F"/>
    <w:rsid w:val="001E4661"/>
    <w:rsid w:val="001E5985"/>
    <w:rsid w:val="001F121C"/>
    <w:rsid w:val="00203763"/>
    <w:rsid w:val="0020697E"/>
    <w:rsid w:val="00210E55"/>
    <w:rsid w:val="002161A0"/>
    <w:rsid w:val="00221929"/>
    <w:rsid w:val="00223A86"/>
    <w:rsid w:val="00225504"/>
    <w:rsid w:val="00231472"/>
    <w:rsid w:val="0023477D"/>
    <w:rsid w:val="00236EB7"/>
    <w:rsid w:val="00244641"/>
    <w:rsid w:val="002457E7"/>
    <w:rsid w:val="00245B25"/>
    <w:rsid w:val="00252DDE"/>
    <w:rsid w:val="002560D6"/>
    <w:rsid w:val="00260E86"/>
    <w:rsid w:val="00273703"/>
    <w:rsid w:val="00280131"/>
    <w:rsid w:val="00283305"/>
    <w:rsid w:val="002840DD"/>
    <w:rsid w:val="00285011"/>
    <w:rsid w:val="002930F7"/>
    <w:rsid w:val="002A5B13"/>
    <w:rsid w:val="002B51B7"/>
    <w:rsid w:val="002C1D4A"/>
    <w:rsid w:val="002C3B45"/>
    <w:rsid w:val="002C458D"/>
    <w:rsid w:val="002D086E"/>
    <w:rsid w:val="002D313C"/>
    <w:rsid w:val="002D3B1D"/>
    <w:rsid w:val="002E1F09"/>
    <w:rsid w:val="002E4A0E"/>
    <w:rsid w:val="002E5409"/>
    <w:rsid w:val="002F3C23"/>
    <w:rsid w:val="002F4DB0"/>
    <w:rsid w:val="002F605E"/>
    <w:rsid w:val="00302FAF"/>
    <w:rsid w:val="00304CB2"/>
    <w:rsid w:val="003071ED"/>
    <w:rsid w:val="003109DF"/>
    <w:rsid w:val="00312B79"/>
    <w:rsid w:val="00324328"/>
    <w:rsid w:val="00336692"/>
    <w:rsid w:val="003557C6"/>
    <w:rsid w:val="0036092E"/>
    <w:rsid w:val="00366D66"/>
    <w:rsid w:val="0037241F"/>
    <w:rsid w:val="003726D0"/>
    <w:rsid w:val="00372D15"/>
    <w:rsid w:val="00373516"/>
    <w:rsid w:val="00374931"/>
    <w:rsid w:val="00387459"/>
    <w:rsid w:val="00387E8F"/>
    <w:rsid w:val="0039280E"/>
    <w:rsid w:val="003B0700"/>
    <w:rsid w:val="003B1315"/>
    <w:rsid w:val="003B272B"/>
    <w:rsid w:val="003B331D"/>
    <w:rsid w:val="003B3DEB"/>
    <w:rsid w:val="003B3E1B"/>
    <w:rsid w:val="003C296B"/>
    <w:rsid w:val="003D3AC0"/>
    <w:rsid w:val="003D5C1E"/>
    <w:rsid w:val="003D7494"/>
    <w:rsid w:val="003E2408"/>
    <w:rsid w:val="003E260E"/>
    <w:rsid w:val="003E27F7"/>
    <w:rsid w:val="003E3980"/>
    <w:rsid w:val="003E4592"/>
    <w:rsid w:val="003E4E77"/>
    <w:rsid w:val="003F223F"/>
    <w:rsid w:val="003F3B7F"/>
    <w:rsid w:val="0040217D"/>
    <w:rsid w:val="00420B22"/>
    <w:rsid w:val="00423173"/>
    <w:rsid w:val="004339CB"/>
    <w:rsid w:val="00436811"/>
    <w:rsid w:val="00436D5B"/>
    <w:rsid w:val="00436F68"/>
    <w:rsid w:val="00437502"/>
    <w:rsid w:val="00444A33"/>
    <w:rsid w:val="00445AC1"/>
    <w:rsid w:val="00452C7A"/>
    <w:rsid w:val="00455480"/>
    <w:rsid w:val="00455DBB"/>
    <w:rsid w:val="00456E72"/>
    <w:rsid w:val="00457128"/>
    <w:rsid w:val="00461123"/>
    <w:rsid w:val="00461E0B"/>
    <w:rsid w:val="0046426A"/>
    <w:rsid w:val="00465812"/>
    <w:rsid w:val="0048458D"/>
    <w:rsid w:val="0048528E"/>
    <w:rsid w:val="00486575"/>
    <w:rsid w:val="004A200B"/>
    <w:rsid w:val="004A315A"/>
    <w:rsid w:val="004A33E6"/>
    <w:rsid w:val="004A341E"/>
    <w:rsid w:val="004A791B"/>
    <w:rsid w:val="004B0CA6"/>
    <w:rsid w:val="004B22EE"/>
    <w:rsid w:val="004B2B44"/>
    <w:rsid w:val="004B5178"/>
    <w:rsid w:val="004D3173"/>
    <w:rsid w:val="004E0A81"/>
    <w:rsid w:val="004E622B"/>
    <w:rsid w:val="004E6749"/>
    <w:rsid w:val="004E7AC0"/>
    <w:rsid w:val="0050132B"/>
    <w:rsid w:val="0050788C"/>
    <w:rsid w:val="005320B5"/>
    <w:rsid w:val="00533DEC"/>
    <w:rsid w:val="00536896"/>
    <w:rsid w:val="0056047D"/>
    <w:rsid w:val="00560956"/>
    <w:rsid w:val="005721DA"/>
    <w:rsid w:val="00580883"/>
    <w:rsid w:val="00581064"/>
    <w:rsid w:val="00585E18"/>
    <w:rsid w:val="00590326"/>
    <w:rsid w:val="00597294"/>
    <w:rsid w:val="005977FB"/>
    <w:rsid w:val="005A6331"/>
    <w:rsid w:val="005A7BF7"/>
    <w:rsid w:val="005B2679"/>
    <w:rsid w:val="005B3439"/>
    <w:rsid w:val="005C02B3"/>
    <w:rsid w:val="005C438F"/>
    <w:rsid w:val="005D1C5D"/>
    <w:rsid w:val="005D23F7"/>
    <w:rsid w:val="005D6A0C"/>
    <w:rsid w:val="005D6E5F"/>
    <w:rsid w:val="005F4E0D"/>
    <w:rsid w:val="005F6D09"/>
    <w:rsid w:val="00615C3F"/>
    <w:rsid w:val="0061600C"/>
    <w:rsid w:val="0062506D"/>
    <w:rsid w:val="006258EF"/>
    <w:rsid w:val="00626851"/>
    <w:rsid w:val="00633992"/>
    <w:rsid w:val="00635FDB"/>
    <w:rsid w:val="00645E26"/>
    <w:rsid w:val="00660533"/>
    <w:rsid w:val="00664C99"/>
    <w:rsid w:val="00672AD6"/>
    <w:rsid w:val="006739BE"/>
    <w:rsid w:val="006744A5"/>
    <w:rsid w:val="00677009"/>
    <w:rsid w:val="0068434A"/>
    <w:rsid w:val="006843D3"/>
    <w:rsid w:val="00684AB2"/>
    <w:rsid w:val="00692A54"/>
    <w:rsid w:val="00692B58"/>
    <w:rsid w:val="00696613"/>
    <w:rsid w:val="006A0DA9"/>
    <w:rsid w:val="006A4C01"/>
    <w:rsid w:val="006A51C8"/>
    <w:rsid w:val="006A60A5"/>
    <w:rsid w:val="006B4E44"/>
    <w:rsid w:val="006C11DA"/>
    <w:rsid w:val="006C60FA"/>
    <w:rsid w:val="006D3DFB"/>
    <w:rsid w:val="006D664E"/>
    <w:rsid w:val="006E22FC"/>
    <w:rsid w:val="006F16F8"/>
    <w:rsid w:val="006F26D1"/>
    <w:rsid w:val="007029F2"/>
    <w:rsid w:val="0070748E"/>
    <w:rsid w:val="007162C5"/>
    <w:rsid w:val="0073113F"/>
    <w:rsid w:val="007403D0"/>
    <w:rsid w:val="00756776"/>
    <w:rsid w:val="007569EC"/>
    <w:rsid w:val="007600DC"/>
    <w:rsid w:val="00763CB3"/>
    <w:rsid w:val="007654C5"/>
    <w:rsid w:val="00765F18"/>
    <w:rsid w:val="00767AF4"/>
    <w:rsid w:val="00783C9D"/>
    <w:rsid w:val="00795C11"/>
    <w:rsid w:val="00797DBD"/>
    <w:rsid w:val="007A0D78"/>
    <w:rsid w:val="007A154E"/>
    <w:rsid w:val="007A2C9B"/>
    <w:rsid w:val="007A4484"/>
    <w:rsid w:val="007A5D73"/>
    <w:rsid w:val="007B1C20"/>
    <w:rsid w:val="007B63C3"/>
    <w:rsid w:val="007B7E0B"/>
    <w:rsid w:val="007C06EC"/>
    <w:rsid w:val="007E1884"/>
    <w:rsid w:val="007E3073"/>
    <w:rsid w:val="007E40E0"/>
    <w:rsid w:val="007F356F"/>
    <w:rsid w:val="007F7F5C"/>
    <w:rsid w:val="00801108"/>
    <w:rsid w:val="00801C29"/>
    <w:rsid w:val="008035CF"/>
    <w:rsid w:val="008063E9"/>
    <w:rsid w:val="008100A9"/>
    <w:rsid w:val="00810ADD"/>
    <w:rsid w:val="0081177D"/>
    <w:rsid w:val="00817872"/>
    <w:rsid w:val="008214FC"/>
    <w:rsid w:val="008247AC"/>
    <w:rsid w:val="00832B54"/>
    <w:rsid w:val="008428B4"/>
    <w:rsid w:val="00846F01"/>
    <w:rsid w:val="00853CC1"/>
    <w:rsid w:val="00853D31"/>
    <w:rsid w:val="008617FB"/>
    <w:rsid w:val="00863E73"/>
    <w:rsid w:val="00866227"/>
    <w:rsid w:val="00871C4A"/>
    <w:rsid w:val="00872AD2"/>
    <w:rsid w:val="00877BE2"/>
    <w:rsid w:val="00881959"/>
    <w:rsid w:val="008825EE"/>
    <w:rsid w:val="00884FAB"/>
    <w:rsid w:val="00890697"/>
    <w:rsid w:val="00897227"/>
    <w:rsid w:val="008A27A7"/>
    <w:rsid w:val="008A2A6A"/>
    <w:rsid w:val="008A5D7C"/>
    <w:rsid w:val="008B513D"/>
    <w:rsid w:val="008C2658"/>
    <w:rsid w:val="008D7E5A"/>
    <w:rsid w:val="008E0CAF"/>
    <w:rsid w:val="008E2255"/>
    <w:rsid w:val="008E77E4"/>
    <w:rsid w:val="008F46A7"/>
    <w:rsid w:val="009037C0"/>
    <w:rsid w:val="00906B53"/>
    <w:rsid w:val="00912CC0"/>
    <w:rsid w:val="00912EA1"/>
    <w:rsid w:val="00913D13"/>
    <w:rsid w:val="00930619"/>
    <w:rsid w:val="0094501F"/>
    <w:rsid w:val="0094756E"/>
    <w:rsid w:val="009747E5"/>
    <w:rsid w:val="00976033"/>
    <w:rsid w:val="00983A53"/>
    <w:rsid w:val="00985D35"/>
    <w:rsid w:val="00997D3B"/>
    <w:rsid w:val="009A0667"/>
    <w:rsid w:val="009A2996"/>
    <w:rsid w:val="009A5453"/>
    <w:rsid w:val="009C6A43"/>
    <w:rsid w:val="009D536C"/>
    <w:rsid w:val="009E655D"/>
    <w:rsid w:val="009E7091"/>
    <w:rsid w:val="009F4B3E"/>
    <w:rsid w:val="009F60F1"/>
    <w:rsid w:val="009F69F1"/>
    <w:rsid w:val="00A01189"/>
    <w:rsid w:val="00A01AEE"/>
    <w:rsid w:val="00A054C0"/>
    <w:rsid w:val="00A206CD"/>
    <w:rsid w:val="00A20B36"/>
    <w:rsid w:val="00A30745"/>
    <w:rsid w:val="00A52CC5"/>
    <w:rsid w:val="00A57E3A"/>
    <w:rsid w:val="00A611B9"/>
    <w:rsid w:val="00A70B55"/>
    <w:rsid w:val="00A935E4"/>
    <w:rsid w:val="00AA19DB"/>
    <w:rsid w:val="00AB2AC9"/>
    <w:rsid w:val="00AC265A"/>
    <w:rsid w:val="00AD68C8"/>
    <w:rsid w:val="00AD7925"/>
    <w:rsid w:val="00AF08F9"/>
    <w:rsid w:val="00AF44EA"/>
    <w:rsid w:val="00B025F3"/>
    <w:rsid w:val="00B05382"/>
    <w:rsid w:val="00B05A0E"/>
    <w:rsid w:val="00B06A53"/>
    <w:rsid w:val="00B06C49"/>
    <w:rsid w:val="00B1033A"/>
    <w:rsid w:val="00B21003"/>
    <w:rsid w:val="00B324D1"/>
    <w:rsid w:val="00B32675"/>
    <w:rsid w:val="00B42C5D"/>
    <w:rsid w:val="00B43F3C"/>
    <w:rsid w:val="00B45192"/>
    <w:rsid w:val="00B52393"/>
    <w:rsid w:val="00B547BE"/>
    <w:rsid w:val="00B54CAB"/>
    <w:rsid w:val="00B54D04"/>
    <w:rsid w:val="00B640A6"/>
    <w:rsid w:val="00B67557"/>
    <w:rsid w:val="00B7496A"/>
    <w:rsid w:val="00B8650A"/>
    <w:rsid w:val="00B86E0B"/>
    <w:rsid w:val="00B94B34"/>
    <w:rsid w:val="00BA240A"/>
    <w:rsid w:val="00BA2DF8"/>
    <w:rsid w:val="00BA680C"/>
    <w:rsid w:val="00BA6F1D"/>
    <w:rsid w:val="00BB18E4"/>
    <w:rsid w:val="00BC461A"/>
    <w:rsid w:val="00BC755D"/>
    <w:rsid w:val="00BD7229"/>
    <w:rsid w:val="00BE2F4B"/>
    <w:rsid w:val="00BE5412"/>
    <w:rsid w:val="00BE545F"/>
    <w:rsid w:val="00BF4C98"/>
    <w:rsid w:val="00BF5574"/>
    <w:rsid w:val="00C055AD"/>
    <w:rsid w:val="00C1053D"/>
    <w:rsid w:val="00C12AE8"/>
    <w:rsid w:val="00C156B3"/>
    <w:rsid w:val="00C2084A"/>
    <w:rsid w:val="00C20DE3"/>
    <w:rsid w:val="00C32FB2"/>
    <w:rsid w:val="00C42F92"/>
    <w:rsid w:val="00C61A5D"/>
    <w:rsid w:val="00C73E9A"/>
    <w:rsid w:val="00C768B5"/>
    <w:rsid w:val="00C76A9D"/>
    <w:rsid w:val="00C80E91"/>
    <w:rsid w:val="00C821A1"/>
    <w:rsid w:val="00C85BD9"/>
    <w:rsid w:val="00C87769"/>
    <w:rsid w:val="00C94F63"/>
    <w:rsid w:val="00C974C6"/>
    <w:rsid w:val="00CA2950"/>
    <w:rsid w:val="00CA7975"/>
    <w:rsid w:val="00CB0CE8"/>
    <w:rsid w:val="00CB7B19"/>
    <w:rsid w:val="00CC40C5"/>
    <w:rsid w:val="00CC587C"/>
    <w:rsid w:val="00CC69AD"/>
    <w:rsid w:val="00CD199C"/>
    <w:rsid w:val="00CF1F07"/>
    <w:rsid w:val="00CF4AC3"/>
    <w:rsid w:val="00CF7B26"/>
    <w:rsid w:val="00D01964"/>
    <w:rsid w:val="00D0525B"/>
    <w:rsid w:val="00D068B7"/>
    <w:rsid w:val="00D07955"/>
    <w:rsid w:val="00D17668"/>
    <w:rsid w:val="00D1782D"/>
    <w:rsid w:val="00D225E9"/>
    <w:rsid w:val="00D3479C"/>
    <w:rsid w:val="00D357BD"/>
    <w:rsid w:val="00D43B41"/>
    <w:rsid w:val="00D4674B"/>
    <w:rsid w:val="00D50B12"/>
    <w:rsid w:val="00D53E82"/>
    <w:rsid w:val="00D67DFB"/>
    <w:rsid w:val="00D718EB"/>
    <w:rsid w:val="00D73BEF"/>
    <w:rsid w:val="00D75E4B"/>
    <w:rsid w:val="00D879C2"/>
    <w:rsid w:val="00D91490"/>
    <w:rsid w:val="00D97422"/>
    <w:rsid w:val="00DA0AC4"/>
    <w:rsid w:val="00DA29E7"/>
    <w:rsid w:val="00DA7102"/>
    <w:rsid w:val="00DB5AF9"/>
    <w:rsid w:val="00DB65E1"/>
    <w:rsid w:val="00DC3BB4"/>
    <w:rsid w:val="00DC5E58"/>
    <w:rsid w:val="00DC6E46"/>
    <w:rsid w:val="00DD38C5"/>
    <w:rsid w:val="00DD3C88"/>
    <w:rsid w:val="00DD43DB"/>
    <w:rsid w:val="00DE20D4"/>
    <w:rsid w:val="00DE2D5D"/>
    <w:rsid w:val="00DE6C1E"/>
    <w:rsid w:val="00DF0CC9"/>
    <w:rsid w:val="00DF1520"/>
    <w:rsid w:val="00DF199C"/>
    <w:rsid w:val="00DF56DF"/>
    <w:rsid w:val="00DF6FFF"/>
    <w:rsid w:val="00E06C76"/>
    <w:rsid w:val="00E10503"/>
    <w:rsid w:val="00E12A39"/>
    <w:rsid w:val="00E210E2"/>
    <w:rsid w:val="00E2197C"/>
    <w:rsid w:val="00E26A14"/>
    <w:rsid w:val="00E33D35"/>
    <w:rsid w:val="00E36969"/>
    <w:rsid w:val="00E443C6"/>
    <w:rsid w:val="00E5500B"/>
    <w:rsid w:val="00E57026"/>
    <w:rsid w:val="00E61014"/>
    <w:rsid w:val="00E6328A"/>
    <w:rsid w:val="00E63D94"/>
    <w:rsid w:val="00E64D50"/>
    <w:rsid w:val="00E65DA3"/>
    <w:rsid w:val="00E70527"/>
    <w:rsid w:val="00E70F18"/>
    <w:rsid w:val="00E80B03"/>
    <w:rsid w:val="00E810B1"/>
    <w:rsid w:val="00E835BC"/>
    <w:rsid w:val="00E8527E"/>
    <w:rsid w:val="00E85BF0"/>
    <w:rsid w:val="00E8648A"/>
    <w:rsid w:val="00E93227"/>
    <w:rsid w:val="00E95250"/>
    <w:rsid w:val="00EB51AC"/>
    <w:rsid w:val="00EB73C7"/>
    <w:rsid w:val="00EC0700"/>
    <w:rsid w:val="00EC0CF9"/>
    <w:rsid w:val="00EC171D"/>
    <w:rsid w:val="00EC289D"/>
    <w:rsid w:val="00EC389B"/>
    <w:rsid w:val="00EC5AFC"/>
    <w:rsid w:val="00EC67FC"/>
    <w:rsid w:val="00EC7B86"/>
    <w:rsid w:val="00EC7E2A"/>
    <w:rsid w:val="00ED11B0"/>
    <w:rsid w:val="00ED3ACA"/>
    <w:rsid w:val="00ED7181"/>
    <w:rsid w:val="00EE11E6"/>
    <w:rsid w:val="00EE2FDE"/>
    <w:rsid w:val="00EF24FE"/>
    <w:rsid w:val="00EF3353"/>
    <w:rsid w:val="00EF530F"/>
    <w:rsid w:val="00EF7AA8"/>
    <w:rsid w:val="00F02054"/>
    <w:rsid w:val="00F11745"/>
    <w:rsid w:val="00F1240E"/>
    <w:rsid w:val="00F13E9E"/>
    <w:rsid w:val="00F17099"/>
    <w:rsid w:val="00F32B49"/>
    <w:rsid w:val="00F43C4D"/>
    <w:rsid w:val="00F53DDD"/>
    <w:rsid w:val="00F614B0"/>
    <w:rsid w:val="00F703F7"/>
    <w:rsid w:val="00F7539A"/>
    <w:rsid w:val="00F82B91"/>
    <w:rsid w:val="00F84916"/>
    <w:rsid w:val="00F85F14"/>
    <w:rsid w:val="00F8625E"/>
    <w:rsid w:val="00F914DF"/>
    <w:rsid w:val="00FB32CF"/>
    <w:rsid w:val="00FB51E2"/>
    <w:rsid w:val="00FB6C83"/>
    <w:rsid w:val="00FB7E72"/>
    <w:rsid w:val="00FC083A"/>
    <w:rsid w:val="00FD4629"/>
    <w:rsid w:val="00FD47F0"/>
    <w:rsid w:val="00FE3542"/>
    <w:rsid w:val="00FE4224"/>
    <w:rsid w:val="00FE518D"/>
    <w:rsid w:val="00FF00BB"/>
    <w:rsid w:val="00FF5B39"/>
    <w:rsid w:val="00FF695C"/>
    <w:rsid w:val="07278B60"/>
    <w:rsid w:val="0B4505FB"/>
    <w:rsid w:val="11968AA8"/>
    <w:rsid w:val="12E78548"/>
    <w:rsid w:val="1B9A43F5"/>
    <w:rsid w:val="208AB0B7"/>
    <w:rsid w:val="2095750C"/>
    <w:rsid w:val="230DF93C"/>
    <w:rsid w:val="25628269"/>
    <w:rsid w:val="2D4F8166"/>
    <w:rsid w:val="2ED03A9B"/>
    <w:rsid w:val="31B6DC26"/>
    <w:rsid w:val="33AAE973"/>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Hyperlink">
    <w:name w:val="Hyperlink"/>
    <w:basedOn w:val="DefaultParagraphFont"/>
    <w:uiPriority w:val="99"/>
    <w:unhideWhenUsed/>
    <w:rsid w:val="00692B58"/>
    <w:rPr>
      <w:color w:val="0563C1" w:themeColor="hyperlink"/>
      <w:u w:val="single"/>
    </w:rPr>
  </w:style>
  <w:style w:type="character" w:styleId="UnresolvedMention">
    <w:name w:val="Unresolved Mention"/>
    <w:basedOn w:val="DefaultParagraphFont"/>
    <w:uiPriority w:val="99"/>
    <w:semiHidden/>
    <w:unhideWhenUsed/>
    <w:rsid w:val="00692B58"/>
    <w:rPr>
      <w:color w:val="605E5C"/>
      <w:shd w:val="clear" w:color="auto" w:fill="E1DFDD"/>
    </w:rPr>
  </w:style>
  <w:style w:type="paragraph" w:styleId="NormalWeb">
    <w:name w:val="Normal (Web)"/>
    <w:basedOn w:val="Normal"/>
    <w:uiPriority w:val="99"/>
    <w:unhideWhenUsed/>
    <w:rsid w:val="002C1D4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4918">
      <w:bodyDiv w:val="1"/>
      <w:marLeft w:val="0"/>
      <w:marRight w:val="0"/>
      <w:marTop w:val="0"/>
      <w:marBottom w:val="0"/>
      <w:divBdr>
        <w:top w:val="none" w:sz="0" w:space="0" w:color="auto"/>
        <w:left w:val="none" w:sz="0" w:space="0" w:color="auto"/>
        <w:bottom w:val="none" w:sz="0" w:space="0" w:color="auto"/>
        <w:right w:val="none" w:sz="0" w:space="0" w:color="auto"/>
      </w:divBdr>
      <w:divsChild>
        <w:div w:id="1060788957">
          <w:marLeft w:val="0"/>
          <w:marRight w:val="0"/>
          <w:marTop w:val="0"/>
          <w:marBottom w:val="0"/>
          <w:divBdr>
            <w:top w:val="none" w:sz="0" w:space="0" w:color="auto"/>
            <w:left w:val="none" w:sz="0" w:space="0" w:color="auto"/>
            <w:bottom w:val="none" w:sz="0" w:space="0" w:color="auto"/>
            <w:right w:val="none" w:sz="0" w:space="0" w:color="auto"/>
          </w:divBdr>
        </w:div>
      </w:divsChild>
    </w:div>
    <w:div w:id="47267002">
      <w:bodyDiv w:val="1"/>
      <w:marLeft w:val="0"/>
      <w:marRight w:val="0"/>
      <w:marTop w:val="0"/>
      <w:marBottom w:val="0"/>
      <w:divBdr>
        <w:top w:val="none" w:sz="0" w:space="0" w:color="auto"/>
        <w:left w:val="none" w:sz="0" w:space="0" w:color="auto"/>
        <w:bottom w:val="none" w:sz="0" w:space="0" w:color="auto"/>
        <w:right w:val="none" w:sz="0" w:space="0" w:color="auto"/>
      </w:divBdr>
      <w:divsChild>
        <w:div w:id="1996183568">
          <w:marLeft w:val="0"/>
          <w:marRight w:val="0"/>
          <w:marTop w:val="0"/>
          <w:marBottom w:val="0"/>
          <w:divBdr>
            <w:top w:val="none" w:sz="0" w:space="0" w:color="auto"/>
            <w:left w:val="none" w:sz="0" w:space="0" w:color="auto"/>
            <w:bottom w:val="none" w:sz="0" w:space="0" w:color="auto"/>
            <w:right w:val="none" w:sz="0" w:space="0" w:color="auto"/>
          </w:divBdr>
        </w:div>
      </w:divsChild>
    </w:div>
    <w:div w:id="61678974">
      <w:bodyDiv w:val="1"/>
      <w:marLeft w:val="0"/>
      <w:marRight w:val="0"/>
      <w:marTop w:val="0"/>
      <w:marBottom w:val="0"/>
      <w:divBdr>
        <w:top w:val="none" w:sz="0" w:space="0" w:color="auto"/>
        <w:left w:val="none" w:sz="0" w:space="0" w:color="auto"/>
        <w:bottom w:val="none" w:sz="0" w:space="0" w:color="auto"/>
        <w:right w:val="none" w:sz="0" w:space="0" w:color="auto"/>
      </w:divBdr>
      <w:divsChild>
        <w:div w:id="642007584">
          <w:marLeft w:val="0"/>
          <w:marRight w:val="0"/>
          <w:marTop w:val="0"/>
          <w:marBottom w:val="0"/>
          <w:divBdr>
            <w:top w:val="none" w:sz="0" w:space="0" w:color="auto"/>
            <w:left w:val="none" w:sz="0" w:space="0" w:color="auto"/>
            <w:bottom w:val="none" w:sz="0" w:space="0" w:color="auto"/>
            <w:right w:val="none" w:sz="0" w:space="0" w:color="auto"/>
          </w:divBdr>
          <w:divsChild>
            <w:div w:id="1917743256">
              <w:marLeft w:val="0"/>
              <w:marRight w:val="0"/>
              <w:marTop w:val="0"/>
              <w:marBottom w:val="0"/>
              <w:divBdr>
                <w:top w:val="none" w:sz="0" w:space="0" w:color="auto"/>
                <w:left w:val="none" w:sz="0" w:space="0" w:color="auto"/>
                <w:bottom w:val="none" w:sz="0" w:space="0" w:color="auto"/>
                <w:right w:val="none" w:sz="0" w:space="0" w:color="auto"/>
              </w:divBdr>
              <w:divsChild>
                <w:div w:id="1305429950">
                  <w:marLeft w:val="0"/>
                  <w:marRight w:val="0"/>
                  <w:marTop w:val="75"/>
                  <w:marBottom w:val="0"/>
                  <w:divBdr>
                    <w:top w:val="none" w:sz="0" w:space="0" w:color="auto"/>
                    <w:left w:val="none" w:sz="0" w:space="0" w:color="auto"/>
                    <w:bottom w:val="none" w:sz="0" w:space="0" w:color="auto"/>
                    <w:right w:val="none" w:sz="0" w:space="0" w:color="auto"/>
                  </w:divBdr>
                </w:div>
                <w:div w:id="1940945937">
                  <w:marLeft w:val="0"/>
                  <w:marRight w:val="0"/>
                  <w:marTop w:val="75"/>
                  <w:marBottom w:val="0"/>
                  <w:divBdr>
                    <w:top w:val="none" w:sz="0" w:space="0" w:color="auto"/>
                    <w:left w:val="none" w:sz="0" w:space="0" w:color="auto"/>
                    <w:bottom w:val="none" w:sz="0" w:space="0" w:color="auto"/>
                    <w:right w:val="none" w:sz="0" w:space="0" w:color="auto"/>
                  </w:divBdr>
                </w:div>
                <w:div w:id="1292244529">
                  <w:marLeft w:val="0"/>
                  <w:marRight w:val="0"/>
                  <w:marTop w:val="75"/>
                  <w:marBottom w:val="0"/>
                  <w:divBdr>
                    <w:top w:val="none" w:sz="0" w:space="0" w:color="auto"/>
                    <w:left w:val="none" w:sz="0" w:space="0" w:color="auto"/>
                    <w:bottom w:val="none" w:sz="0" w:space="0" w:color="auto"/>
                    <w:right w:val="none" w:sz="0" w:space="0" w:color="auto"/>
                  </w:divBdr>
                </w:div>
                <w:div w:id="1495681126">
                  <w:marLeft w:val="0"/>
                  <w:marRight w:val="0"/>
                  <w:marTop w:val="75"/>
                  <w:marBottom w:val="0"/>
                  <w:divBdr>
                    <w:top w:val="none" w:sz="0" w:space="0" w:color="auto"/>
                    <w:left w:val="none" w:sz="0" w:space="0" w:color="auto"/>
                    <w:bottom w:val="none" w:sz="0" w:space="0" w:color="auto"/>
                    <w:right w:val="none" w:sz="0" w:space="0" w:color="auto"/>
                  </w:divBdr>
                </w:div>
                <w:div w:id="10230611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42876778">
          <w:marLeft w:val="0"/>
          <w:marRight w:val="0"/>
          <w:marTop w:val="0"/>
          <w:marBottom w:val="0"/>
          <w:divBdr>
            <w:top w:val="none" w:sz="0" w:space="0" w:color="auto"/>
            <w:left w:val="none" w:sz="0" w:space="0" w:color="auto"/>
            <w:bottom w:val="none" w:sz="0" w:space="0" w:color="auto"/>
            <w:right w:val="none" w:sz="0" w:space="0" w:color="auto"/>
          </w:divBdr>
          <w:divsChild>
            <w:div w:id="1735663041">
              <w:marLeft w:val="0"/>
              <w:marRight w:val="0"/>
              <w:marTop w:val="150"/>
              <w:marBottom w:val="150"/>
              <w:divBdr>
                <w:top w:val="none" w:sz="0" w:space="0" w:color="auto"/>
                <w:left w:val="none" w:sz="0" w:space="0" w:color="auto"/>
                <w:bottom w:val="none" w:sz="0" w:space="0" w:color="auto"/>
                <w:right w:val="none" w:sz="0" w:space="0" w:color="auto"/>
              </w:divBdr>
            </w:div>
            <w:div w:id="1083338690">
              <w:marLeft w:val="0"/>
              <w:marRight w:val="0"/>
              <w:marTop w:val="0"/>
              <w:marBottom w:val="0"/>
              <w:divBdr>
                <w:top w:val="none" w:sz="0" w:space="0" w:color="auto"/>
                <w:left w:val="none" w:sz="0" w:space="0" w:color="auto"/>
                <w:bottom w:val="none" w:sz="0" w:space="0" w:color="auto"/>
                <w:right w:val="none" w:sz="0" w:space="0" w:color="auto"/>
              </w:divBdr>
              <w:divsChild>
                <w:div w:id="2081518401">
                  <w:marLeft w:val="0"/>
                  <w:marRight w:val="0"/>
                  <w:marTop w:val="75"/>
                  <w:marBottom w:val="0"/>
                  <w:divBdr>
                    <w:top w:val="none" w:sz="0" w:space="0" w:color="auto"/>
                    <w:left w:val="none" w:sz="0" w:space="0" w:color="auto"/>
                    <w:bottom w:val="none" w:sz="0" w:space="0" w:color="auto"/>
                    <w:right w:val="none" w:sz="0" w:space="0" w:color="auto"/>
                  </w:divBdr>
                </w:div>
                <w:div w:id="919363484">
                  <w:marLeft w:val="0"/>
                  <w:marRight w:val="0"/>
                  <w:marTop w:val="75"/>
                  <w:marBottom w:val="0"/>
                  <w:divBdr>
                    <w:top w:val="none" w:sz="0" w:space="0" w:color="auto"/>
                    <w:left w:val="none" w:sz="0" w:space="0" w:color="auto"/>
                    <w:bottom w:val="none" w:sz="0" w:space="0" w:color="auto"/>
                    <w:right w:val="none" w:sz="0" w:space="0" w:color="auto"/>
                  </w:divBdr>
                </w:div>
                <w:div w:id="363945700">
                  <w:marLeft w:val="0"/>
                  <w:marRight w:val="0"/>
                  <w:marTop w:val="75"/>
                  <w:marBottom w:val="0"/>
                  <w:divBdr>
                    <w:top w:val="none" w:sz="0" w:space="0" w:color="auto"/>
                    <w:left w:val="none" w:sz="0" w:space="0" w:color="auto"/>
                    <w:bottom w:val="none" w:sz="0" w:space="0" w:color="auto"/>
                    <w:right w:val="none" w:sz="0" w:space="0" w:color="auto"/>
                  </w:divBdr>
                </w:div>
                <w:div w:id="1714231106">
                  <w:marLeft w:val="0"/>
                  <w:marRight w:val="0"/>
                  <w:marTop w:val="75"/>
                  <w:marBottom w:val="0"/>
                  <w:divBdr>
                    <w:top w:val="none" w:sz="0" w:space="0" w:color="auto"/>
                    <w:left w:val="none" w:sz="0" w:space="0" w:color="auto"/>
                    <w:bottom w:val="none" w:sz="0" w:space="0" w:color="auto"/>
                    <w:right w:val="none" w:sz="0" w:space="0" w:color="auto"/>
                  </w:divBdr>
                </w:div>
                <w:div w:id="1212957706">
                  <w:marLeft w:val="0"/>
                  <w:marRight w:val="0"/>
                  <w:marTop w:val="75"/>
                  <w:marBottom w:val="0"/>
                  <w:divBdr>
                    <w:top w:val="none" w:sz="0" w:space="0" w:color="auto"/>
                    <w:left w:val="none" w:sz="0" w:space="0" w:color="auto"/>
                    <w:bottom w:val="none" w:sz="0" w:space="0" w:color="auto"/>
                    <w:right w:val="none" w:sz="0" w:space="0" w:color="auto"/>
                  </w:divBdr>
                </w:div>
                <w:div w:id="1615289502">
                  <w:marLeft w:val="0"/>
                  <w:marRight w:val="0"/>
                  <w:marTop w:val="75"/>
                  <w:marBottom w:val="0"/>
                  <w:divBdr>
                    <w:top w:val="none" w:sz="0" w:space="0" w:color="auto"/>
                    <w:left w:val="none" w:sz="0" w:space="0" w:color="auto"/>
                    <w:bottom w:val="none" w:sz="0" w:space="0" w:color="auto"/>
                    <w:right w:val="none" w:sz="0" w:space="0" w:color="auto"/>
                  </w:divBdr>
                </w:div>
                <w:div w:id="1669626464">
                  <w:marLeft w:val="0"/>
                  <w:marRight w:val="0"/>
                  <w:marTop w:val="0"/>
                  <w:marBottom w:val="0"/>
                  <w:divBdr>
                    <w:top w:val="none" w:sz="0" w:space="0" w:color="auto"/>
                    <w:left w:val="none" w:sz="0" w:space="0" w:color="auto"/>
                    <w:bottom w:val="none" w:sz="0" w:space="0" w:color="auto"/>
                    <w:right w:val="none" w:sz="0" w:space="0" w:color="auto"/>
                  </w:divBdr>
                </w:div>
                <w:div w:id="1819808048">
                  <w:marLeft w:val="0"/>
                  <w:marRight w:val="0"/>
                  <w:marTop w:val="0"/>
                  <w:marBottom w:val="0"/>
                  <w:divBdr>
                    <w:top w:val="none" w:sz="0" w:space="0" w:color="auto"/>
                    <w:left w:val="none" w:sz="0" w:space="0" w:color="auto"/>
                    <w:bottom w:val="none" w:sz="0" w:space="0" w:color="auto"/>
                    <w:right w:val="none" w:sz="0" w:space="0" w:color="auto"/>
                  </w:divBdr>
                </w:div>
                <w:div w:id="184609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967704">
          <w:marLeft w:val="0"/>
          <w:marRight w:val="0"/>
          <w:marTop w:val="0"/>
          <w:marBottom w:val="0"/>
          <w:divBdr>
            <w:top w:val="none" w:sz="0" w:space="0" w:color="auto"/>
            <w:left w:val="none" w:sz="0" w:space="0" w:color="auto"/>
            <w:bottom w:val="none" w:sz="0" w:space="0" w:color="auto"/>
            <w:right w:val="none" w:sz="0" w:space="0" w:color="auto"/>
          </w:divBdr>
          <w:divsChild>
            <w:div w:id="1302685691">
              <w:marLeft w:val="0"/>
              <w:marRight w:val="0"/>
              <w:marTop w:val="150"/>
              <w:marBottom w:val="150"/>
              <w:divBdr>
                <w:top w:val="none" w:sz="0" w:space="0" w:color="auto"/>
                <w:left w:val="none" w:sz="0" w:space="0" w:color="auto"/>
                <w:bottom w:val="none" w:sz="0" w:space="0" w:color="auto"/>
                <w:right w:val="none" w:sz="0" w:space="0" w:color="auto"/>
              </w:divBdr>
            </w:div>
            <w:div w:id="783766399">
              <w:marLeft w:val="0"/>
              <w:marRight w:val="0"/>
              <w:marTop w:val="0"/>
              <w:marBottom w:val="0"/>
              <w:divBdr>
                <w:top w:val="none" w:sz="0" w:space="0" w:color="auto"/>
                <w:left w:val="none" w:sz="0" w:space="0" w:color="auto"/>
                <w:bottom w:val="none" w:sz="0" w:space="0" w:color="auto"/>
                <w:right w:val="none" w:sz="0" w:space="0" w:color="auto"/>
              </w:divBdr>
              <w:divsChild>
                <w:div w:id="611400858">
                  <w:marLeft w:val="0"/>
                  <w:marRight w:val="0"/>
                  <w:marTop w:val="0"/>
                  <w:marBottom w:val="0"/>
                  <w:divBdr>
                    <w:top w:val="none" w:sz="0" w:space="0" w:color="auto"/>
                    <w:left w:val="none" w:sz="0" w:space="0" w:color="auto"/>
                    <w:bottom w:val="none" w:sz="0" w:space="0" w:color="auto"/>
                    <w:right w:val="none" w:sz="0" w:space="0" w:color="auto"/>
                  </w:divBdr>
                </w:div>
                <w:div w:id="2005084773">
                  <w:marLeft w:val="0"/>
                  <w:marRight w:val="0"/>
                  <w:marTop w:val="0"/>
                  <w:marBottom w:val="0"/>
                  <w:divBdr>
                    <w:top w:val="none" w:sz="0" w:space="0" w:color="auto"/>
                    <w:left w:val="none" w:sz="0" w:space="0" w:color="auto"/>
                    <w:bottom w:val="none" w:sz="0" w:space="0" w:color="auto"/>
                    <w:right w:val="none" w:sz="0" w:space="0" w:color="auto"/>
                  </w:divBdr>
                </w:div>
                <w:div w:id="103306421">
                  <w:marLeft w:val="0"/>
                  <w:marRight w:val="0"/>
                  <w:marTop w:val="75"/>
                  <w:marBottom w:val="0"/>
                  <w:divBdr>
                    <w:top w:val="none" w:sz="0" w:space="0" w:color="auto"/>
                    <w:left w:val="none" w:sz="0" w:space="0" w:color="auto"/>
                    <w:bottom w:val="none" w:sz="0" w:space="0" w:color="auto"/>
                    <w:right w:val="none" w:sz="0" w:space="0" w:color="auto"/>
                  </w:divBdr>
                </w:div>
                <w:div w:id="1013801735">
                  <w:marLeft w:val="0"/>
                  <w:marRight w:val="0"/>
                  <w:marTop w:val="75"/>
                  <w:marBottom w:val="0"/>
                  <w:divBdr>
                    <w:top w:val="none" w:sz="0" w:space="0" w:color="auto"/>
                    <w:left w:val="none" w:sz="0" w:space="0" w:color="auto"/>
                    <w:bottom w:val="none" w:sz="0" w:space="0" w:color="auto"/>
                    <w:right w:val="none" w:sz="0" w:space="0" w:color="auto"/>
                  </w:divBdr>
                </w:div>
                <w:div w:id="1007053408">
                  <w:marLeft w:val="0"/>
                  <w:marRight w:val="0"/>
                  <w:marTop w:val="75"/>
                  <w:marBottom w:val="0"/>
                  <w:divBdr>
                    <w:top w:val="none" w:sz="0" w:space="0" w:color="auto"/>
                    <w:left w:val="none" w:sz="0" w:space="0" w:color="auto"/>
                    <w:bottom w:val="none" w:sz="0" w:space="0" w:color="auto"/>
                    <w:right w:val="none" w:sz="0" w:space="0" w:color="auto"/>
                  </w:divBdr>
                </w:div>
                <w:div w:id="97145089">
                  <w:marLeft w:val="0"/>
                  <w:marRight w:val="0"/>
                  <w:marTop w:val="75"/>
                  <w:marBottom w:val="0"/>
                  <w:divBdr>
                    <w:top w:val="none" w:sz="0" w:space="0" w:color="auto"/>
                    <w:left w:val="none" w:sz="0" w:space="0" w:color="auto"/>
                    <w:bottom w:val="none" w:sz="0" w:space="0" w:color="auto"/>
                    <w:right w:val="none" w:sz="0" w:space="0" w:color="auto"/>
                  </w:divBdr>
                </w:div>
                <w:div w:id="600795472">
                  <w:marLeft w:val="0"/>
                  <w:marRight w:val="0"/>
                  <w:marTop w:val="75"/>
                  <w:marBottom w:val="0"/>
                  <w:divBdr>
                    <w:top w:val="none" w:sz="0" w:space="0" w:color="auto"/>
                    <w:left w:val="none" w:sz="0" w:space="0" w:color="auto"/>
                    <w:bottom w:val="none" w:sz="0" w:space="0" w:color="auto"/>
                    <w:right w:val="none" w:sz="0" w:space="0" w:color="auto"/>
                  </w:divBdr>
                </w:div>
                <w:div w:id="946497204">
                  <w:marLeft w:val="0"/>
                  <w:marRight w:val="0"/>
                  <w:marTop w:val="75"/>
                  <w:marBottom w:val="0"/>
                  <w:divBdr>
                    <w:top w:val="none" w:sz="0" w:space="0" w:color="auto"/>
                    <w:left w:val="none" w:sz="0" w:space="0" w:color="auto"/>
                    <w:bottom w:val="none" w:sz="0" w:space="0" w:color="auto"/>
                    <w:right w:val="none" w:sz="0" w:space="0" w:color="auto"/>
                  </w:divBdr>
                </w:div>
                <w:div w:id="55458466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479231894">
          <w:marLeft w:val="0"/>
          <w:marRight w:val="0"/>
          <w:marTop w:val="0"/>
          <w:marBottom w:val="0"/>
          <w:divBdr>
            <w:top w:val="none" w:sz="0" w:space="0" w:color="auto"/>
            <w:left w:val="none" w:sz="0" w:space="0" w:color="auto"/>
            <w:bottom w:val="none" w:sz="0" w:space="0" w:color="auto"/>
            <w:right w:val="none" w:sz="0" w:space="0" w:color="auto"/>
          </w:divBdr>
          <w:divsChild>
            <w:div w:id="472527669">
              <w:marLeft w:val="0"/>
              <w:marRight w:val="0"/>
              <w:marTop w:val="150"/>
              <w:marBottom w:val="150"/>
              <w:divBdr>
                <w:top w:val="none" w:sz="0" w:space="0" w:color="auto"/>
                <w:left w:val="none" w:sz="0" w:space="0" w:color="auto"/>
                <w:bottom w:val="none" w:sz="0" w:space="0" w:color="auto"/>
                <w:right w:val="none" w:sz="0" w:space="0" w:color="auto"/>
              </w:divBdr>
            </w:div>
            <w:div w:id="1922715631">
              <w:marLeft w:val="0"/>
              <w:marRight w:val="0"/>
              <w:marTop w:val="0"/>
              <w:marBottom w:val="0"/>
              <w:divBdr>
                <w:top w:val="none" w:sz="0" w:space="0" w:color="auto"/>
                <w:left w:val="none" w:sz="0" w:space="0" w:color="auto"/>
                <w:bottom w:val="none" w:sz="0" w:space="0" w:color="auto"/>
                <w:right w:val="none" w:sz="0" w:space="0" w:color="auto"/>
              </w:divBdr>
              <w:divsChild>
                <w:div w:id="305669224">
                  <w:marLeft w:val="0"/>
                  <w:marRight w:val="0"/>
                  <w:marTop w:val="75"/>
                  <w:marBottom w:val="0"/>
                  <w:divBdr>
                    <w:top w:val="none" w:sz="0" w:space="0" w:color="auto"/>
                    <w:left w:val="none" w:sz="0" w:space="0" w:color="auto"/>
                    <w:bottom w:val="none" w:sz="0" w:space="0" w:color="auto"/>
                    <w:right w:val="none" w:sz="0" w:space="0" w:color="auto"/>
                  </w:divBdr>
                </w:div>
                <w:div w:id="977342296">
                  <w:marLeft w:val="0"/>
                  <w:marRight w:val="0"/>
                  <w:marTop w:val="75"/>
                  <w:marBottom w:val="0"/>
                  <w:divBdr>
                    <w:top w:val="none" w:sz="0" w:space="0" w:color="auto"/>
                    <w:left w:val="none" w:sz="0" w:space="0" w:color="auto"/>
                    <w:bottom w:val="none" w:sz="0" w:space="0" w:color="auto"/>
                    <w:right w:val="none" w:sz="0" w:space="0" w:color="auto"/>
                  </w:divBdr>
                </w:div>
                <w:div w:id="530802783">
                  <w:marLeft w:val="0"/>
                  <w:marRight w:val="0"/>
                  <w:marTop w:val="75"/>
                  <w:marBottom w:val="0"/>
                  <w:divBdr>
                    <w:top w:val="none" w:sz="0" w:space="0" w:color="auto"/>
                    <w:left w:val="none" w:sz="0" w:space="0" w:color="auto"/>
                    <w:bottom w:val="none" w:sz="0" w:space="0" w:color="auto"/>
                    <w:right w:val="none" w:sz="0" w:space="0" w:color="auto"/>
                  </w:divBdr>
                </w:div>
                <w:div w:id="590624548">
                  <w:marLeft w:val="0"/>
                  <w:marRight w:val="0"/>
                  <w:marTop w:val="75"/>
                  <w:marBottom w:val="0"/>
                  <w:divBdr>
                    <w:top w:val="none" w:sz="0" w:space="0" w:color="auto"/>
                    <w:left w:val="none" w:sz="0" w:space="0" w:color="auto"/>
                    <w:bottom w:val="none" w:sz="0" w:space="0" w:color="auto"/>
                    <w:right w:val="none" w:sz="0" w:space="0" w:color="auto"/>
                  </w:divBdr>
                </w:div>
                <w:div w:id="1780297531">
                  <w:marLeft w:val="0"/>
                  <w:marRight w:val="0"/>
                  <w:marTop w:val="75"/>
                  <w:marBottom w:val="0"/>
                  <w:divBdr>
                    <w:top w:val="none" w:sz="0" w:space="0" w:color="auto"/>
                    <w:left w:val="none" w:sz="0" w:space="0" w:color="auto"/>
                    <w:bottom w:val="none" w:sz="0" w:space="0" w:color="auto"/>
                    <w:right w:val="none" w:sz="0" w:space="0" w:color="auto"/>
                  </w:divBdr>
                </w:div>
                <w:div w:id="6306614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274747536">
          <w:marLeft w:val="0"/>
          <w:marRight w:val="0"/>
          <w:marTop w:val="0"/>
          <w:marBottom w:val="0"/>
          <w:divBdr>
            <w:top w:val="none" w:sz="0" w:space="0" w:color="auto"/>
            <w:left w:val="none" w:sz="0" w:space="0" w:color="auto"/>
            <w:bottom w:val="none" w:sz="0" w:space="0" w:color="auto"/>
            <w:right w:val="none" w:sz="0" w:space="0" w:color="auto"/>
          </w:divBdr>
          <w:divsChild>
            <w:div w:id="1123887531">
              <w:marLeft w:val="0"/>
              <w:marRight w:val="0"/>
              <w:marTop w:val="150"/>
              <w:marBottom w:val="150"/>
              <w:divBdr>
                <w:top w:val="none" w:sz="0" w:space="0" w:color="auto"/>
                <w:left w:val="none" w:sz="0" w:space="0" w:color="auto"/>
                <w:bottom w:val="none" w:sz="0" w:space="0" w:color="auto"/>
                <w:right w:val="none" w:sz="0" w:space="0" w:color="auto"/>
              </w:divBdr>
            </w:div>
            <w:div w:id="1931503575">
              <w:marLeft w:val="0"/>
              <w:marRight w:val="0"/>
              <w:marTop w:val="0"/>
              <w:marBottom w:val="0"/>
              <w:divBdr>
                <w:top w:val="none" w:sz="0" w:space="0" w:color="auto"/>
                <w:left w:val="none" w:sz="0" w:space="0" w:color="auto"/>
                <w:bottom w:val="none" w:sz="0" w:space="0" w:color="auto"/>
                <w:right w:val="none" w:sz="0" w:space="0" w:color="auto"/>
              </w:divBdr>
              <w:divsChild>
                <w:div w:id="301812887">
                  <w:marLeft w:val="0"/>
                  <w:marRight w:val="0"/>
                  <w:marTop w:val="75"/>
                  <w:marBottom w:val="0"/>
                  <w:divBdr>
                    <w:top w:val="none" w:sz="0" w:space="0" w:color="auto"/>
                    <w:left w:val="none" w:sz="0" w:space="0" w:color="auto"/>
                    <w:bottom w:val="none" w:sz="0" w:space="0" w:color="auto"/>
                    <w:right w:val="none" w:sz="0" w:space="0" w:color="auto"/>
                  </w:divBdr>
                </w:div>
                <w:div w:id="1396780584">
                  <w:marLeft w:val="0"/>
                  <w:marRight w:val="0"/>
                  <w:marTop w:val="75"/>
                  <w:marBottom w:val="0"/>
                  <w:divBdr>
                    <w:top w:val="none" w:sz="0" w:space="0" w:color="auto"/>
                    <w:left w:val="none" w:sz="0" w:space="0" w:color="auto"/>
                    <w:bottom w:val="none" w:sz="0" w:space="0" w:color="auto"/>
                    <w:right w:val="none" w:sz="0" w:space="0" w:color="auto"/>
                  </w:divBdr>
                </w:div>
                <w:div w:id="1532381255">
                  <w:marLeft w:val="0"/>
                  <w:marRight w:val="0"/>
                  <w:marTop w:val="75"/>
                  <w:marBottom w:val="0"/>
                  <w:divBdr>
                    <w:top w:val="none" w:sz="0" w:space="0" w:color="auto"/>
                    <w:left w:val="none" w:sz="0" w:space="0" w:color="auto"/>
                    <w:bottom w:val="none" w:sz="0" w:space="0" w:color="auto"/>
                    <w:right w:val="none" w:sz="0" w:space="0" w:color="auto"/>
                  </w:divBdr>
                </w:div>
                <w:div w:id="1927572226">
                  <w:marLeft w:val="0"/>
                  <w:marRight w:val="0"/>
                  <w:marTop w:val="75"/>
                  <w:marBottom w:val="0"/>
                  <w:divBdr>
                    <w:top w:val="none" w:sz="0" w:space="0" w:color="auto"/>
                    <w:left w:val="none" w:sz="0" w:space="0" w:color="auto"/>
                    <w:bottom w:val="none" w:sz="0" w:space="0" w:color="auto"/>
                    <w:right w:val="none" w:sz="0" w:space="0" w:color="auto"/>
                  </w:divBdr>
                </w:div>
                <w:div w:id="1578705800">
                  <w:marLeft w:val="0"/>
                  <w:marRight w:val="0"/>
                  <w:marTop w:val="75"/>
                  <w:marBottom w:val="0"/>
                  <w:divBdr>
                    <w:top w:val="none" w:sz="0" w:space="0" w:color="auto"/>
                    <w:left w:val="none" w:sz="0" w:space="0" w:color="auto"/>
                    <w:bottom w:val="none" w:sz="0" w:space="0" w:color="auto"/>
                    <w:right w:val="none" w:sz="0" w:space="0" w:color="auto"/>
                  </w:divBdr>
                </w:div>
                <w:div w:id="913784457">
                  <w:marLeft w:val="0"/>
                  <w:marRight w:val="0"/>
                  <w:marTop w:val="75"/>
                  <w:marBottom w:val="0"/>
                  <w:divBdr>
                    <w:top w:val="none" w:sz="0" w:space="0" w:color="auto"/>
                    <w:left w:val="none" w:sz="0" w:space="0" w:color="auto"/>
                    <w:bottom w:val="none" w:sz="0" w:space="0" w:color="auto"/>
                    <w:right w:val="none" w:sz="0" w:space="0" w:color="auto"/>
                  </w:divBdr>
                </w:div>
                <w:div w:id="55640544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91947012">
      <w:bodyDiv w:val="1"/>
      <w:marLeft w:val="0"/>
      <w:marRight w:val="0"/>
      <w:marTop w:val="0"/>
      <w:marBottom w:val="0"/>
      <w:divBdr>
        <w:top w:val="none" w:sz="0" w:space="0" w:color="auto"/>
        <w:left w:val="none" w:sz="0" w:space="0" w:color="auto"/>
        <w:bottom w:val="none" w:sz="0" w:space="0" w:color="auto"/>
        <w:right w:val="none" w:sz="0" w:space="0" w:color="auto"/>
      </w:divBdr>
      <w:divsChild>
        <w:div w:id="579096175">
          <w:marLeft w:val="0"/>
          <w:marRight w:val="0"/>
          <w:marTop w:val="0"/>
          <w:marBottom w:val="0"/>
          <w:divBdr>
            <w:top w:val="none" w:sz="0" w:space="0" w:color="auto"/>
            <w:left w:val="none" w:sz="0" w:space="0" w:color="auto"/>
            <w:bottom w:val="none" w:sz="0" w:space="0" w:color="auto"/>
            <w:right w:val="none" w:sz="0" w:space="0" w:color="auto"/>
          </w:divBdr>
        </w:div>
      </w:divsChild>
    </w:div>
    <w:div w:id="460465411">
      <w:bodyDiv w:val="1"/>
      <w:marLeft w:val="0"/>
      <w:marRight w:val="0"/>
      <w:marTop w:val="0"/>
      <w:marBottom w:val="0"/>
      <w:divBdr>
        <w:top w:val="none" w:sz="0" w:space="0" w:color="auto"/>
        <w:left w:val="none" w:sz="0" w:space="0" w:color="auto"/>
        <w:bottom w:val="none" w:sz="0" w:space="0" w:color="auto"/>
        <w:right w:val="none" w:sz="0" w:space="0" w:color="auto"/>
      </w:divBdr>
      <w:divsChild>
        <w:div w:id="848953648">
          <w:marLeft w:val="0"/>
          <w:marRight w:val="0"/>
          <w:marTop w:val="0"/>
          <w:marBottom w:val="0"/>
          <w:divBdr>
            <w:top w:val="none" w:sz="0" w:space="0" w:color="auto"/>
            <w:left w:val="none" w:sz="0" w:space="0" w:color="auto"/>
            <w:bottom w:val="none" w:sz="0" w:space="0" w:color="auto"/>
            <w:right w:val="none" w:sz="0" w:space="0" w:color="auto"/>
          </w:divBdr>
        </w:div>
      </w:divsChild>
    </w:div>
    <w:div w:id="719941221">
      <w:bodyDiv w:val="1"/>
      <w:marLeft w:val="0"/>
      <w:marRight w:val="0"/>
      <w:marTop w:val="0"/>
      <w:marBottom w:val="0"/>
      <w:divBdr>
        <w:top w:val="none" w:sz="0" w:space="0" w:color="auto"/>
        <w:left w:val="none" w:sz="0" w:space="0" w:color="auto"/>
        <w:bottom w:val="none" w:sz="0" w:space="0" w:color="auto"/>
        <w:right w:val="none" w:sz="0" w:space="0" w:color="auto"/>
      </w:divBdr>
      <w:divsChild>
        <w:div w:id="2022853718">
          <w:marLeft w:val="0"/>
          <w:marRight w:val="0"/>
          <w:marTop w:val="0"/>
          <w:marBottom w:val="0"/>
          <w:divBdr>
            <w:top w:val="none" w:sz="0" w:space="0" w:color="auto"/>
            <w:left w:val="none" w:sz="0" w:space="0" w:color="auto"/>
            <w:bottom w:val="none" w:sz="0" w:space="0" w:color="auto"/>
            <w:right w:val="none" w:sz="0" w:space="0" w:color="auto"/>
          </w:divBdr>
        </w:div>
      </w:divsChild>
    </w:div>
    <w:div w:id="1032266593">
      <w:bodyDiv w:val="1"/>
      <w:marLeft w:val="0"/>
      <w:marRight w:val="0"/>
      <w:marTop w:val="0"/>
      <w:marBottom w:val="0"/>
      <w:divBdr>
        <w:top w:val="none" w:sz="0" w:space="0" w:color="auto"/>
        <w:left w:val="none" w:sz="0" w:space="0" w:color="auto"/>
        <w:bottom w:val="none" w:sz="0" w:space="0" w:color="auto"/>
        <w:right w:val="none" w:sz="0" w:space="0" w:color="auto"/>
      </w:divBdr>
      <w:divsChild>
        <w:div w:id="1562402113">
          <w:marLeft w:val="0"/>
          <w:marRight w:val="0"/>
          <w:marTop w:val="0"/>
          <w:marBottom w:val="0"/>
          <w:divBdr>
            <w:top w:val="none" w:sz="0" w:space="0" w:color="auto"/>
            <w:left w:val="none" w:sz="0" w:space="0" w:color="auto"/>
            <w:bottom w:val="none" w:sz="0" w:space="0" w:color="auto"/>
            <w:right w:val="none" w:sz="0" w:space="0" w:color="auto"/>
          </w:divBdr>
        </w:div>
      </w:divsChild>
    </w:div>
    <w:div w:id="1172641749">
      <w:bodyDiv w:val="1"/>
      <w:marLeft w:val="0"/>
      <w:marRight w:val="0"/>
      <w:marTop w:val="0"/>
      <w:marBottom w:val="0"/>
      <w:divBdr>
        <w:top w:val="none" w:sz="0" w:space="0" w:color="auto"/>
        <w:left w:val="none" w:sz="0" w:space="0" w:color="auto"/>
        <w:bottom w:val="none" w:sz="0" w:space="0" w:color="auto"/>
        <w:right w:val="none" w:sz="0" w:space="0" w:color="auto"/>
      </w:divBdr>
      <w:divsChild>
        <w:div w:id="1298103971">
          <w:marLeft w:val="0"/>
          <w:marRight w:val="0"/>
          <w:marTop w:val="0"/>
          <w:marBottom w:val="0"/>
          <w:divBdr>
            <w:top w:val="none" w:sz="0" w:space="0" w:color="auto"/>
            <w:left w:val="none" w:sz="0" w:space="0" w:color="auto"/>
            <w:bottom w:val="none" w:sz="0" w:space="0" w:color="auto"/>
            <w:right w:val="none" w:sz="0" w:space="0" w:color="auto"/>
          </w:divBdr>
        </w:div>
        <w:div w:id="1707631609">
          <w:marLeft w:val="0"/>
          <w:marRight w:val="0"/>
          <w:marTop w:val="0"/>
          <w:marBottom w:val="160"/>
          <w:divBdr>
            <w:top w:val="none" w:sz="0" w:space="0" w:color="auto"/>
            <w:left w:val="none" w:sz="0" w:space="0" w:color="auto"/>
            <w:bottom w:val="none" w:sz="0" w:space="0" w:color="auto"/>
            <w:right w:val="none" w:sz="0" w:space="0" w:color="auto"/>
          </w:divBdr>
        </w:div>
        <w:div w:id="1790780542">
          <w:marLeft w:val="0"/>
          <w:marRight w:val="0"/>
          <w:marTop w:val="0"/>
          <w:marBottom w:val="160"/>
          <w:divBdr>
            <w:top w:val="none" w:sz="0" w:space="0" w:color="auto"/>
            <w:left w:val="none" w:sz="0" w:space="0" w:color="auto"/>
            <w:bottom w:val="none" w:sz="0" w:space="0" w:color="auto"/>
            <w:right w:val="none" w:sz="0" w:space="0" w:color="auto"/>
          </w:divBdr>
        </w:div>
        <w:div w:id="405223927">
          <w:marLeft w:val="0"/>
          <w:marRight w:val="0"/>
          <w:marTop w:val="0"/>
          <w:marBottom w:val="160"/>
          <w:divBdr>
            <w:top w:val="none" w:sz="0" w:space="0" w:color="auto"/>
            <w:left w:val="none" w:sz="0" w:space="0" w:color="auto"/>
            <w:bottom w:val="none" w:sz="0" w:space="0" w:color="auto"/>
            <w:right w:val="none" w:sz="0" w:space="0" w:color="auto"/>
          </w:divBdr>
        </w:div>
        <w:div w:id="1635477474">
          <w:marLeft w:val="0"/>
          <w:marRight w:val="0"/>
          <w:marTop w:val="0"/>
          <w:marBottom w:val="160"/>
          <w:divBdr>
            <w:top w:val="none" w:sz="0" w:space="0" w:color="auto"/>
            <w:left w:val="none" w:sz="0" w:space="0" w:color="auto"/>
            <w:bottom w:val="none" w:sz="0" w:space="0" w:color="auto"/>
            <w:right w:val="none" w:sz="0" w:space="0" w:color="auto"/>
          </w:divBdr>
        </w:div>
        <w:div w:id="1796606297">
          <w:marLeft w:val="0"/>
          <w:marRight w:val="0"/>
          <w:marTop w:val="0"/>
          <w:marBottom w:val="160"/>
          <w:divBdr>
            <w:top w:val="none" w:sz="0" w:space="0" w:color="auto"/>
            <w:left w:val="none" w:sz="0" w:space="0" w:color="auto"/>
            <w:bottom w:val="none" w:sz="0" w:space="0" w:color="auto"/>
            <w:right w:val="none" w:sz="0" w:space="0" w:color="auto"/>
          </w:divBdr>
        </w:div>
        <w:div w:id="795296998">
          <w:marLeft w:val="0"/>
          <w:marRight w:val="0"/>
          <w:marTop w:val="0"/>
          <w:marBottom w:val="160"/>
          <w:divBdr>
            <w:top w:val="none" w:sz="0" w:space="0" w:color="auto"/>
            <w:left w:val="none" w:sz="0" w:space="0" w:color="auto"/>
            <w:bottom w:val="none" w:sz="0" w:space="0" w:color="auto"/>
            <w:right w:val="none" w:sz="0" w:space="0" w:color="auto"/>
          </w:divBdr>
        </w:div>
        <w:div w:id="986667869">
          <w:marLeft w:val="0"/>
          <w:marRight w:val="0"/>
          <w:marTop w:val="0"/>
          <w:marBottom w:val="160"/>
          <w:divBdr>
            <w:top w:val="none" w:sz="0" w:space="0" w:color="auto"/>
            <w:left w:val="none" w:sz="0" w:space="0" w:color="auto"/>
            <w:bottom w:val="none" w:sz="0" w:space="0" w:color="auto"/>
            <w:right w:val="none" w:sz="0" w:space="0" w:color="auto"/>
          </w:divBdr>
        </w:div>
        <w:div w:id="767459310">
          <w:marLeft w:val="0"/>
          <w:marRight w:val="0"/>
          <w:marTop w:val="0"/>
          <w:marBottom w:val="160"/>
          <w:divBdr>
            <w:top w:val="none" w:sz="0" w:space="0" w:color="auto"/>
            <w:left w:val="none" w:sz="0" w:space="0" w:color="auto"/>
            <w:bottom w:val="none" w:sz="0" w:space="0" w:color="auto"/>
            <w:right w:val="none" w:sz="0" w:space="0" w:color="auto"/>
          </w:divBdr>
        </w:div>
        <w:div w:id="1812794100">
          <w:marLeft w:val="0"/>
          <w:marRight w:val="0"/>
          <w:marTop w:val="0"/>
          <w:marBottom w:val="160"/>
          <w:divBdr>
            <w:top w:val="none" w:sz="0" w:space="0" w:color="auto"/>
            <w:left w:val="none" w:sz="0" w:space="0" w:color="auto"/>
            <w:bottom w:val="none" w:sz="0" w:space="0" w:color="auto"/>
            <w:right w:val="none" w:sz="0" w:space="0" w:color="auto"/>
          </w:divBdr>
        </w:div>
        <w:div w:id="1096756365">
          <w:marLeft w:val="0"/>
          <w:marRight w:val="0"/>
          <w:marTop w:val="0"/>
          <w:marBottom w:val="160"/>
          <w:divBdr>
            <w:top w:val="none" w:sz="0" w:space="0" w:color="auto"/>
            <w:left w:val="none" w:sz="0" w:space="0" w:color="auto"/>
            <w:bottom w:val="none" w:sz="0" w:space="0" w:color="auto"/>
            <w:right w:val="none" w:sz="0" w:space="0" w:color="auto"/>
          </w:divBdr>
        </w:div>
        <w:div w:id="707994946">
          <w:marLeft w:val="0"/>
          <w:marRight w:val="0"/>
          <w:marTop w:val="0"/>
          <w:marBottom w:val="160"/>
          <w:divBdr>
            <w:top w:val="none" w:sz="0" w:space="0" w:color="auto"/>
            <w:left w:val="none" w:sz="0" w:space="0" w:color="auto"/>
            <w:bottom w:val="none" w:sz="0" w:space="0" w:color="auto"/>
            <w:right w:val="none" w:sz="0" w:space="0" w:color="auto"/>
          </w:divBdr>
        </w:div>
        <w:div w:id="2052411790">
          <w:marLeft w:val="0"/>
          <w:marRight w:val="0"/>
          <w:marTop w:val="0"/>
          <w:marBottom w:val="160"/>
          <w:divBdr>
            <w:top w:val="none" w:sz="0" w:space="0" w:color="auto"/>
            <w:left w:val="none" w:sz="0" w:space="0" w:color="auto"/>
            <w:bottom w:val="none" w:sz="0" w:space="0" w:color="auto"/>
            <w:right w:val="none" w:sz="0" w:space="0" w:color="auto"/>
          </w:divBdr>
        </w:div>
        <w:div w:id="1274556544">
          <w:marLeft w:val="0"/>
          <w:marRight w:val="0"/>
          <w:marTop w:val="0"/>
          <w:marBottom w:val="160"/>
          <w:divBdr>
            <w:top w:val="none" w:sz="0" w:space="0" w:color="auto"/>
            <w:left w:val="none" w:sz="0" w:space="0" w:color="auto"/>
            <w:bottom w:val="none" w:sz="0" w:space="0" w:color="auto"/>
            <w:right w:val="none" w:sz="0" w:space="0" w:color="auto"/>
          </w:divBdr>
        </w:div>
        <w:div w:id="1175878473">
          <w:marLeft w:val="0"/>
          <w:marRight w:val="0"/>
          <w:marTop w:val="0"/>
          <w:marBottom w:val="160"/>
          <w:divBdr>
            <w:top w:val="none" w:sz="0" w:space="0" w:color="auto"/>
            <w:left w:val="none" w:sz="0" w:space="0" w:color="auto"/>
            <w:bottom w:val="none" w:sz="0" w:space="0" w:color="auto"/>
            <w:right w:val="none" w:sz="0" w:space="0" w:color="auto"/>
          </w:divBdr>
        </w:div>
        <w:div w:id="1576815139">
          <w:marLeft w:val="0"/>
          <w:marRight w:val="0"/>
          <w:marTop w:val="0"/>
          <w:marBottom w:val="160"/>
          <w:divBdr>
            <w:top w:val="none" w:sz="0" w:space="0" w:color="auto"/>
            <w:left w:val="none" w:sz="0" w:space="0" w:color="auto"/>
            <w:bottom w:val="none" w:sz="0" w:space="0" w:color="auto"/>
            <w:right w:val="none" w:sz="0" w:space="0" w:color="auto"/>
          </w:divBdr>
        </w:div>
        <w:div w:id="800419970">
          <w:marLeft w:val="0"/>
          <w:marRight w:val="0"/>
          <w:marTop w:val="0"/>
          <w:marBottom w:val="160"/>
          <w:divBdr>
            <w:top w:val="none" w:sz="0" w:space="0" w:color="auto"/>
            <w:left w:val="none" w:sz="0" w:space="0" w:color="auto"/>
            <w:bottom w:val="none" w:sz="0" w:space="0" w:color="auto"/>
            <w:right w:val="none" w:sz="0" w:space="0" w:color="auto"/>
          </w:divBdr>
        </w:div>
        <w:div w:id="1709332512">
          <w:marLeft w:val="0"/>
          <w:marRight w:val="0"/>
          <w:marTop w:val="0"/>
          <w:marBottom w:val="160"/>
          <w:divBdr>
            <w:top w:val="none" w:sz="0" w:space="0" w:color="auto"/>
            <w:left w:val="none" w:sz="0" w:space="0" w:color="auto"/>
            <w:bottom w:val="none" w:sz="0" w:space="0" w:color="auto"/>
            <w:right w:val="none" w:sz="0" w:space="0" w:color="auto"/>
          </w:divBdr>
        </w:div>
        <w:div w:id="1518498046">
          <w:marLeft w:val="0"/>
          <w:marRight w:val="0"/>
          <w:marTop w:val="0"/>
          <w:marBottom w:val="160"/>
          <w:divBdr>
            <w:top w:val="none" w:sz="0" w:space="0" w:color="auto"/>
            <w:left w:val="none" w:sz="0" w:space="0" w:color="auto"/>
            <w:bottom w:val="none" w:sz="0" w:space="0" w:color="auto"/>
            <w:right w:val="none" w:sz="0" w:space="0" w:color="auto"/>
          </w:divBdr>
        </w:div>
        <w:div w:id="1881621720">
          <w:marLeft w:val="0"/>
          <w:marRight w:val="0"/>
          <w:marTop w:val="0"/>
          <w:marBottom w:val="160"/>
          <w:divBdr>
            <w:top w:val="none" w:sz="0" w:space="0" w:color="auto"/>
            <w:left w:val="none" w:sz="0" w:space="0" w:color="auto"/>
            <w:bottom w:val="none" w:sz="0" w:space="0" w:color="auto"/>
            <w:right w:val="none" w:sz="0" w:space="0" w:color="auto"/>
          </w:divBdr>
        </w:div>
        <w:div w:id="743071700">
          <w:marLeft w:val="0"/>
          <w:marRight w:val="0"/>
          <w:marTop w:val="0"/>
          <w:marBottom w:val="160"/>
          <w:divBdr>
            <w:top w:val="none" w:sz="0" w:space="0" w:color="auto"/>
            <w:left w:val="none" w:sz="0" w:space="0" w:color="auto"/>
            <w:bottom w:val="none" w:sz="0" w:space="0" w:color="auto"/>
            <w:right w:val="none" w:sz="0" w:space="0" w:color="auto"/>
          </w:divBdr>
        </w:div>
        <w:div w:id="2020158996">
          <w:marLeft w:val="0"/>
          <w:marRight w:val="0"/>
          <w:marTop w:val="0"/>
          <w:marBottom w:val="160"/>
          <w:divBdr>
            <w:top w:val="none" w:sz="0" w:space="0" w:color="auto"/>
            <w:left w:val="none" w:sz="0" w:space="0" w:color="auto"/>
            <w:bottom w:val="none" w:sz="0" w:space="0" w:color="auto"/>
            <w:right w:val="none" w:sz="0" w:space="0" w:color="auto"/>
          </w:divBdr>
        </w:div>
        <w:div w:id="1473134144">
          <w:marLeft w:val="0"/>
          <w:marRight w:val="0"/>
          <w:marTop w:val="0"/>
          <w:marBottom w:val="160"/>
          <w:divBdr>
            <w:top w:val="none" w:sz="0" w:space="0" w:color="auto"/>
            <w:left w:val="none" w:sz="0" w:space="0" w:color="auto"/>
            <w:bottom w:val="none" w:sz="0" w:space="0" w:color="auto"/>
            <w:right w:val="none" w:sz="0" w:space="0" w:color="auto"/>
          </w:divBdr>
        </w:div>
        <w:div w:id="956714705">
          <w:marLeft w:val="0"/>
          <w:marRight w:val="0"/>
          <w:marTop w:val="0"/>
          <w:marBottom w:val="160"/>
          <w:divBdr>
            <w:top w:val="none" w:sz="0" w:space="0" w:color="auto"/>
            <w:left w:val="none" w:sz="0" w:space="0" w:color="auto"/>
            <w:bottom w:val="none" w:sz="0" w:space="0" w:color="auto"/>
            <w:right w:val="none" w:sz="0" w:space="0" w:color="auto"/>
          </w:divBdr>
        </w:div>
        <w:div w:id="1089959998">
          <w:marLeft w:val="0"/>
          <w:marRight w:val="0"/>
          <w:marTop w:val="0"/>
          <w:marBottom w:val="160"/>
          <w:divBdr>
            <w:top w:val="none" w:sz="0" w:space="0" w:color="auto"/>
            <w:left w:val="none" w:sz="0" w:space="0" w:color="auto"/>
            <w:bottom w:val="none" w:sz="0" w:space="0" w:color="auto"/>
            <w:right w:val="none" w:sz="0" w:space="0" w:color="auto"/>
          </w:divBdr>
        </w:div>
        <w:div w:id="509419477">
          <w:marLeft w:val="0"/>
          <w:marRight w:val="0"/>
          <w:marTop w:val="0"/>
          <w:marBottom w:val="160"/>
          <w:divBdr>
            <w:top w:val="none" w:sz="0" w:space="0" w:color="auto"/>
            <w:left w:val="none" w:sz="0" w:space="0" w:color="auto"/>
            <w:bottom w:val="none" w:sz="0" w:space="0" w:color="auto"/>
            <w:right w:val="none" w:sz="0" w:space="0" w:color="auto"/>
          </w:divBdr>
        </w:div>
        <w:div w:id="1067193011">
          <w:marLeft w:val="0"/>
          <w:marRight w:val="0"/>
          <w:marTop w:val="0"/>
          <w:marBottom w:val="160"/>
          <w:divBdr>
            <w:top w:val="none" w:sz="0" w:space="0" w:color="auto"/>
            <w:left w:val="none" w:sz="0" w:space="0" w:color="auto"/>
            <w:bottom w:val="none" w:sz="0" w:space="0" w:color="auto"/>
            <w:right w:val="none" w:sz="0" w:space="0" w:color="auto"/>
          </w:divBdr>
        </w:div>
        <w:div w:id="1886868611">
          <w:marLeft w:val="0"/>
          <w:marRight w:val="0"/>
          <w:marTop w:val="0"/>
          <w:marBottom w:val="160"/>
          <w:divBdr>
            <w:top w:val="none" w:sz="0" w:space="0" w:color="auto"/>
            <w:left w:val="none" w:sz="0" w:space="0" w:color="auto"/>
            <w:bottom w:val="none" w:sz="0" w:space="0" w:color="auto"/>
            <w:right w:val="none" w:sz="0" w:space="0" w:color="auto"/>
          </w:divBdr>
        </w:div>
        <w:div w:id="1311518280">
          <w:marLeft w:val="0"/>
          <w:marRight w:val="0"/>
          <w:marTop w:val="0"/>
          <w:marBottom w:val="160"/>
          <w:divBdr>
            <w:top w:val="none" w:sz="0" w:space="0" w:color="auto"/>
            <w:left w:val="none" w:sz="0" w:space="0" w:color="auto"/>
            <w:bottom w:val="none" w:sz="0" w:space="0" w:color="auto"/>
            <w:right w:val="none" w:sz="0" w:space="0" w:color="auto"/>
          </w:divBdr>
        </w:div>
        <w:div w:id="353043601">
          <w:marLeft w:val="0"/>
          <w:marRight w:val="0"/>
          <w:marTop w:val="0"/>
          <w:marBottom w:val="160"/>
          <w:divBdr>
            <w:top w:val="none" w:sz="0" w:space="0" w:color="auto"/>
            <w:left w:val="none" w:sz="0" w:space="0" w:color="auto"/>
            <w:bottom w:val="none" w:sz="0" w:space="0" w:color="auto"/>
            <w:right w:val="none" w:sz="0" w:space="0" w:color="auto"/>
          </w:divBdr>
        </w:div>
        <w:div w:id="709494868">
          <w:marLeft w:val="0"/>
          <w:marRight w:val="0"/>
          <w:marTop w:val="0"/>
          <w:marBottom w:val="160"/>
          <w:divBdr>
            <w:top w:val="none" w:sz="0" w:space="0" w:color="auto"/>
            <w:left w:val="none" w:sz="0" w:space="0" w:color="auto"/>
            <w:bottom w:val="none" w:sz="0" w:space="0" w:color="auto"/>
            <w:right w:val="none" w:sz="0" w:space="0" w:color="auto"/>
          </w:divBdr>
        </w:div>
        <w:div w:id="271668627">
          <w:marLeft w:val="0"/>
          <w:marRight w:val="0"/>
          <w:marTop w:val="0"/>
          <w:marBottom w:val="160"/>
          <w:divBdr>
            <w:top w:val="none" w:sz="0" w:space="0" w:color="auto"/>
            <w:left w:val="none" w:sz="0" w:space="0" w:color="auto"/>
            <w:bottom w:val="none" w:sz="0" w:space="0" w:color="auto"/>
            <w:right w:val="none" w:sz="0" w:space="0" w:color="auto"/>
          </w:divBdr>
        </w:div>
        <w:div w:id="160464543">
          <w:marLeft w:val="0"/>
          <w:marRight w:val="0"/>
          <w:marTop w:val="0"/>
          <w:marBottom w:val="160"/>
          <w:divBdr>
            <w:top w:val="none" w:sz="0" w:space="0" w:color="auto"/>
            <w:left w:val="none" w:sz="0" w:space="0" w:color="auto"/>
            <w:bottom w:val="none" w:sz="0" w:space="0" w:color="auto"/>
            <w:right w:val="none" w:sz="0" w:space="0" w:color="auto"/>
          </w:divBdr>
        </w:div>
        <w:div w:id="1172180412">
          <w:marLeft w:val="0"/>
          <w:marRight w:val="0"/>
          <w:marTop w:val="0"/>
          <w:marBottom w:val="160"/>
          <w:divBdr>
            <w:top w:val="none" w:sz="0" w:space="0" w:color="auto"/>
            <w:left w:val="none" w:sz="0" w:space="0" w:color="auto"/>
            <w:bottom w:val="none" w:sz="0" w:space="0" w:color="auto"/>
            <w:right w:val="none" w:sz="0" w:space="0" w:color="auto"/>
          </w:divBdr>
        </w:div>
        <w:div w:id="1581401245">
          <w:marLeft w:val="0"/>
          <w:marRight w:val="0"/>
          <w:marTop w:val="0"/>
          <w:marBottom w:val="0"/>
          <w:divBdr>
            <w:top w:val="none" w:sz="0" w:space="0" w:color="auto"/>
            <w:left w:val="none" w:sz="0" w:space="0" w:color="auto"/>
            <w:bottom w:val="none" w:sz="0" w:space="0" w:color="auto"/>
            <w:right w:val="none" w:sz="0" w:space="0" w:color="auto"/>
          </w:divBdr>
        </w:div>
      </w:divsChild>
    </w:div>
    <w:div w:id="1255362475">
      <w:bodyDiv w:val="1"/>
      <w:marLeft w:val="0"/>
      <w:marRight w:val="0"/>
      <w:marTop w:val="0"/>
      <w:marBottom w:val="0"/>
      <w:divBdr>
        <w:top w:val="none" w:sz="0" w:space="0" w:color="auto"/>
        <w:left w:val="none" w:sz="0" w:space="0" w:color="auto"/>
        <w:bottom w:val="none" w:sz="0" w:space="0" w:color="auto"/>
        <w:right w:val="none" w:sz="0" w:space="0" w:color="auto"/>
      </w:divBdr>
      <w:divsChild>
        <w:div w:id="1921406870">
          <w:marLeft w:val="0"/>
          <w:marRight w:val="0"/>
          <w:marTop w:val="0"/>
          <w:marBottom w:val="0"/>
          <w:divBdr>
            <w:top w:val="none" w:sz="0" w:space="0" w:color="auto"/>
            <w:left w:val="none" w:sz="0" w:space="0" w:color="auto"/>
            <w:bottom w:val="none" w:sz="0" w:space="0" w:color="auto"/>
            <w:right w:val="none" w:sz="0" w:space="0" w:color="auto"/>
          </w:divBdr>
          <w:divsChild>
            <w:div w:id="2126341674">
              <w:marLeft w:val="0"/>
              <w:marRight w:val="0"/>
              <w:marTop w:val="0"/>
              <w:marBottom w:val="0"/>
              <w:divBdr>
                <w:top w:val="none" w:sz="0" w:space="0" w:color="auto"/>
                <w:left w:val="none" w:sz="0" w:space="0" w:color="auto"/>
                <w:bottom w:val="none" w:sz="0" w:space="0" w:color="auto"/>
                <w:right w:val="none" w:sz="0" w:space="0" w:color="auto"/>
              </w:divBdr>
              <w:divsChild>
                <w:div w:id="1859663219">
                  <w:marLeft w:val="0"/>
                  <w:marRight w:val="0"/>
                  <w:marTop w:val="75"/>
                  <w:marBottom w:val="0"/>
                  <w:divBdr>
                    <w:top w:val="none" w:sz="0" w:space="0" w:color="auto"/>
                    <w:left w:val="none" w:sz="0" w:space="0" w:color="auto"/>
                    <w:bottom w:val="none" w:sz="0" w:space="0" w:color="auto"/>
                    <w:right w:val="none" w:sz="0" w:space="0" w:color="auto"/>
                  </w:divBdr>
                </w:div>
                <w:div w:id="640571959">
                  <w:marLeft w:val="0"/>
                  <w:marRight w:val="0"/>
                  <w:marTop w:val="75"/>
                  <w:marBottom w:val="0"/>
                  <w:divBdr>
                    <w:top w:val="none" w:sz="0" w:space="0" w:color="auto"/>
                    <w:left w:val="none" w:sz="0" w:space="0" w:color="auto"/>
                    <w:bottom w:val="none" w:sz="0" w:space="0" w:color="auto"/>
                    <w:right w:val="none" w:sz="0" w:space="0" w:color="auto"/>
                  </w:divBdr>
                </w:div>
                <w:div w:id="21514755">
                  <w:marLeft w:val="0"/>
                  <w:marRight w:val="0"/>
                  <w:marTop w:val="75"/>
                  <w:marBottom w:val="0"/>
                  <w:divBdr>
                    <w:top w:val="none" w:sz="0" w:space="0" w:color="auto"/>
                    <w:left w:val="none" w:sz="0" w:space="0" w:color="auto"/>
                    <w:bottom w:val="none" w:sz="0" w:space="0" w:color="auto"/>
                    <w:right w:val="none" w:sz="0" w:space="0" w:color="auto"/>
                  </w:divBdr>
                </w:div>
                <w:div w:id="1943145364">
                  <w:marLeft w:val="0"/>
                  <w:marRight w:val="0"/>
                  <w:marTop w:val="75"/>
                  <w:marBottom w:val="0"/>
                  <w:divBdr>
                    <w:top w:val="none" w:sz="0" w:space="0" w:color="auto"/>
                    <w:left w:val="none" w:sz="0" w:space="0" w:color="auto"/>
                    <w:bottom w:val="none" w:sz="0" w:space="0" w:color="auto"/>
                    <w:right w:val="none" w:sz="0" w:space="0" w:color="auto"/>
                  </w:divBdr>
                </w:div>
                <w:div w:id="124009798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590118187">
          <w:marLeft w:val="0"/>
          <w:marRight w:val="0"/>
          <w:marTop w:val="0"/>
          <w:marBottom w:val="0"/>
          <w:divBdr>
            <w:top w:val="none" w:sz="0" w:space="0" w:color="auto"/>
            <w:left w:val="none" w:sz="0" w:space="0" w:color="auto"/>
            <w:bottom w:val="none" w:sz="0" w:space="0" w:color="auto"/>
            <w:right w:val="none" w:sz="0" w:space="0" w:color="auto"/>
          </w:divBdr>
          <w:divsChild>
            <w:div w:id="1206794446">
              <w:marLeft w:val="0"/>
              <w:marRight w:val="0"/>
              <w:marTop w:val="150"/>
              <w:marBottom w:val="150"/>
              <w:divBdr>
                <w:top w:val="none" w:sz="0" w:space="0" w:color="auto"/>
                <w:left w:val="none" w:sz="0" w:space="0" w:color="auto"/>
                <w:bottom w:val="none" w:sz="0" w:space="0" w:color="auto"/>
                <w:right w:val="none" w:sz="0" w:space="0" w:color="auto"/>
              </w:divBdr>
            </w:div>
            <w:div w:id="497959034">
              <w:marLeft w:val="0"/>
              <w:marRight w:val="0"/>
              <w:marTop w:val="0"/>
              <w:marBottom w:val="0"/>
              <w:divBdr>
                <w:top w:val="none" w:sz="0" w:space="0" w:color="auto"/>
                <w:left w:val="none" w:sz="0" w:space="0" w:color="auto"/>
                <w:bottom w:val="none" w:sz="0" w:space="0" w:color="auto"/>
                <w:right w:val="none" w:sz="0" w:space="0" w:color="auto"/>
              </w:divBdr>
              <w:divsChild>
                <w:div w:id="1223255867">
                  <w:marLeft w:val="0"/>
                  <w:marRight w:val="0"/>
                  <w:marTop w:val="75"/>
                  <w:marBottom w:val="0"/>
                  <w:divBdr>
                    <w:top w:val="none" w:sz="0" w:space="0" w:color="auto"/>
                    <w:left w:val="none" w:sz="0" w:space="0" w:color="auto"/>
                    <w:bottom w:val="none" w:sz="0" w:space="0" w:color="auto"/>
                    <w:right w:val="none" w:sz="0" w:space="0" w:color="auto"/>
                  </w:divBdr>
                </w:div>
                <w:div w:id="1961911832">
                  <w:marLeft w:val="0"/>
                  <w:marRight w:val="0"/>
                  <w:marTop w:val="75"/>
                  <w:marBottom w:val="0"/>
                  <w:divBdr>
                    <w:top w:val="none" w:sz="0" w:space="0" w:color="auto"/>
                    <w:left w:val="none" w:sz="0" w:space="0" w:color="auto"/>
                    <w:bottom w:val="none" w:sz="0" w:space="0" w:color="auto"/>
                    <w:right w:val="none" w:sz="0" w:space="0" w:color="auto"/>
                  </w:divBdr>
                </w:div>
                <w:div w:id="1479149327">
                  <w:marLeft w:val="0"/>
                  <w:marRight w:val="0"/>
                  <w:marTop w:val="75"/>
                  <w:marBottom w:val="0"/>
                  <w:divBdr>
                    <w:top w:val="none" w:sz="0" w:space="0" w:color="auto"/>
                    <w:left w:val="none" w:sz="0" w:space="0" w:color="auto"/>
                    <w:bottom w:val="none" w:sz="0" w:space="0" w:color="auto"/>
                    <w:right w:val="none" w:sz="0" w:space="0" w:color="auto"/>
                  </w:divBdr>
                </w:div>
                <w:div w:id="1154830946">
                  <w:marLeft w:val="0"/>
                  <w:marRight w:val="0"/>
                  <w:marTop w:val="75"/>
                  <w:marBottom w:val="0"/>
                  <w:divBdr>
                    <w:top w:val="none" w:sz="0" w:space="0" w:color="auto"/>
                    <w:left w:val="none" w:sz="0" w:space="0" w:color="auto"/>
                    <w:bottom w:val="none" w:sz="0" w:space="0" w:color="auto"/>
                    <w:right w:val="none" w:sz="0" w:space="0" w:color="auto"/>
                  </w:divBdr>
                </w:div>
                <w:div w:id="529227870">
                  <w:marLeft w:val="0"/>
                  <w:marRight w:val="0"/>
                  <w:marTop w:val="75"/>
                  <w:marBottom w:val="0"/>
                  <w:divBdr>
                    <w:top w:val="none" w:sz="0" w:space="0" w:color="auto"/>
                    <w:left w:val="none" w:sz="0" w:space="0" w:color="auto"/>
                    <w:bottom w:val="none" w:sz="0" w:space="0" w:color="auto"/>
                    <w:right w:val="none" w:sz="0" w:space="0" w:color="auto"/>
                  </w:divBdr>
                </w:div>
                <w:div w:id="595134165">
                  <w:marLeft w:val="0"/>
                  <w:marRight w:val="0"/>
                  <w:marTop w:val="75"/>
                  <w:marBottom w:val="0"/>
                  <w:divBdr>
                    <w:top w:val="none" w:sz="0" w:space="0" w:color="auto"/>
                    <w:left w:val="none" w:sz="0" w:space="0" w:color="auto"/>
                    <w:bottom w:val="none" w:sz="0" w:space="0" w:color="auto"/>
                    <w:right w:val="none" w:sz="0" w:space="0" w:color="auto"/>
                  </w:divBdr>
                </w:div>
                <w:div w:id="31391844">
                  <w:marLeft w:val="0"/>
                  <w:marRight w:val="0"/>
                  <w:marTop w:val="0"/>
                  <w:marBottom w:val="0"/>
                  <w:divBdr>
                    <w:top w:val="none" w:sz="0" w:space="0" w:color="auto"/>
                    <w:left w:val="none" w:sz="0" w:space="0" w:color="auto"/>
                    <w:bottom w:val="none" w:sz="0" w:space="0" w:color="auto"/>
                    <w:right w:val="none" w:sz="0" w:space="0" w:color="auto"/>
                  </w:divBdr>
                </w:div>
                <w:div w:id="337780026">
                  <w:marLeft w:val="0"/>
                  <w:marRight w:val="0"/>
                  <w:marTop w:val="0"/>
                  <w:marBottom w:val="0"/>
                  <w:divBdr>
                    <w:top w:val="none" w:sz="0" w:space="0" w:color="auto"/>
                    <w:left w:val="none" w:sz="0" w:space="0" w:color="auto"/>
                    <w:bottom w:val="none" w:sz="0" w:space="0" w:color="auto"/>
                    <w:right w:val="none" w:sz="0" w:space="0" w:color="auto"/>
                  </w:divBdr>
                </w:div>
                <w:div w:id="138178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391205">
          <w:marLeft w:val="0"/>
          <w:marRight w:val="0"/>
          <w:marTop w:val="0"/>
          <w:marBottom w:val="0"/>
          <w:divBdr>
            <w:top w:val="none" w:sz="0" w:space="0" w:color="auto"/>
            <w:left w:val="none" w:sz="0" w:space="0" w:color="auto"/>
            <w:bottom w:val="none" w:sz="0" w:space="0" w:color="auto"/>
            <w:right w:val="none" w:sz="0" w:space="0" w:color="auto"/>
          </w:divBdr>
          <w:divsChild>
            <w:div w:id="407727000">
              <w:marLeft w:val="0"/>
              <w:marRight w:val="0"/>
              <w:marTop w:val="150"/>
              <w:marBottom w:val="150"/>
              <w:divBdr>
                <w:top w:val="none" w:sz="0" w:space="0" w:color="auto"/>
                <w:left w:val="none" w:sz="0" w:space="0" w:color="auto"/>
                <w:bottom w:val="none" w:sz="0" w:space="0" w:color="auto"/>
                <w:right w:val="none" w:sz="0" w:space="0" w:color="auto"/>
              </w:divBdr>
            </w:div>
            <w:div w:id="1632900501">
              <w:marLeft w:val="0"/>
              <w:marRight w:val="0"/>
              <w:marTop w:val="0"/>
              <w:marBottom w:val="0"/>
              <w:divBdr>
                <w:top w:val="none" w:sz="0" w:space="0" w:color="auto"/>
                <w:left w:val="none" w:sz="0" w:space="0" w:color="auto"/>
                <w:bottom w:val="none" w:sz="0" w:space="0" w:color="auto"/>
                <w:right w:val="none" w:sz="0" w:space="0" w:color="auto"/>
              </w:divBdr>
              <w:divsChild>
                <w:div w:id="267277842">
                  <w:marLeft w:val="0"/>
                  <w:marRight w:val="0"/>
                  <w:marTop w:val="0"/>
                  <w:marBottom w:val="0"/>
                  <w:divBdr>
                    <w:top w:val="none" w:sz="0" w:space="0" w:color="auto"/>
                    <w:left w:val="none" w:sz="0" w:space="0" w:color="auto"/>
                    <w:bottom w:val="none" w:sz="0" w:space="0" w:color="auto"/>
                    <w:right w:val="none" w:sz="0" w:space="0" w:color="auto"/>
                  </w:divBdr>
                </w:div>
                <w:div w:id="554199378">
                  <w:marLeft w:val="0"/>
                  <w:marRight w:val="0"/>
                  <w:marTop w:val="0"/>
                  <w:marBottom w:val="0"/>
                  <w:divBdr>
                    <w:top w:val="none" w:sz="0" w:space="0" w:color="auto"/>
                    <w:left w:val="none" w:sz="0" w:space="0" w:color="auto"/>
                    <w:bottom w:val="none" w:sz="0" w:space="0" w:color="auto"/>
                    <w:right w:val="none" w:sz="0" w:space="0" w:color="auto"/>
                  </w:divBdr>
                </w:div>
                <w:div w:id="572740782">
                  <w:marLeft w:val="0"/>
                  <w:marRight w:val="0"/>
                  <w:marTop w:val="75"/>
                  <w:marBottom w:val="0"/>
                  <w:divBdr>
                    <w:top w:val="none" w:sz="0" w:space="0" w:color="auto"/>
                    <w:left w:val="none" w:sz="0" w:space="0" w:color="auto"/>
                    <w:bottom w:val="none" w:sz="0" w:space="0" w:color="auto"/>
                    <w:right w:val="none" w:sz="0" w:space="0" w:color="auto"/>
                  </w:divBdr>
                </w:div>
                <w:div w:id="1207596487">
                  <w:marLeft w:val="0"/>
                  <w:marRight w:val="0"/>
                  <w:marTop w:val="75"/>
                  <w:marBottom w:val="0"/>
                  <w:divBdr>
                    <w:top w:val="none" w:sz="0" w:space="0" w:color="auto"/>
                    <w:left w:val="none" w:sz="0" w:space="0" w:color="auto"/>
                    <w:bottom w:val="none" w:sz="0" w:space="0" w:color="auto"/>
                    <w:right w:val="none" w:sz="0" w:space="0" w:color="auto"/>
                  </w:divBdr>
                </w:div>
                <w:div w:id="63725330">
                  <w:marLeft w:val="0"/>
                  <w:marRight w:val="0"/>
                  <w:marTop w:val="75"/>
                  <w:marBottom w:val="0"/>
                  <w:divBdr>
                    <w:top w:val="none" w:sz="0" w:space="0" w:color="auto"/>
                    <w:left w:val="none" w:sz="0" w:space="0" w:color="auto"/>
                    <w:bottom w:val="none" w:sz="0" w:space="0" w:color="auto"/>
                    <w:right w:val="none" w:sz="0" w:space="0" w:color="auto"/>
                  </w:divBdr>
                </w:div>
                <w:div w:id="1262910643">
                  <w:marLeft w:val="0"/>
                  <w:marRight w:val="0"/>
                  <w:marTop w:val="75"/>
                  <w:marBottom w:val="0"/>
                  <w:divBdr>
                    <w:top w:val="none" w:sz="0" w:space="0" w:color="auto"/>
                    <w:left w:val="none" w:sz="0" w:space="0" w:color="auto"/>
                    <w:bottom w:val="none" w:sz="0" w:space="0" w:color="auto"/>
                    <w:right w:val="none" w:sz="0" w:space="0" w:color="auto"/>
                  </w:divBdr>
                </w:div>
                <w:div w:id="2140102432">
                  <w:marLeft w:val="0"/>
                  <w:marRight w:val="0"/>
                  <w:marTop w:val="75"/>
                  <w:marBottom w:val="0"/>
                  <w:divBdr>
                    <w:top w:val="none" w:sz="0" w:space="0" w:color="auto"/>
                    <w:left w:val="none" w:sz="0" w:space="0" w:color="auto"/>
                    <w:bottom w:val="none" w:sz="0" w:space="0" w:color="auto"/>
                    <w:right w:val="none" w:sz="0" w:space="0" w:color="auto"/>
                  </w:divBdr>
                </w:div>
                <w:div w:id="22024409">
                  <w:marLeft w:val="0"/>
                  <w:marRight w:val="0"/>
                  <w:marTop w:val="75"/>
                  <w:marBottom w:val="0"/>
                  <w:divBdr>
                    <w:top w:val="none" w:sz="0" w:space="0" w:color="auto"/>
                    <w:left w:val="none" w:sz="0" w:space="0" w:color="auto"/>
                    <w:bottom w:val="none" w:sz="0" w:space="0" w:color="auto"/>
                    <w:right w:val="none" w:sz="0" w:space="0" w:color="auto"/>
                  </w:divBdr>
                </w:div>
                <w:div w:id="179170470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40994904">
          <w:marLeft w:val="0"/>
          <w:marRight w:val="0"/>
          <w:marTop w:val="0"/>
          <w:marBottom w:val="0"/>
          <w:divBdr>
            <w:top w:val="none" w:sz="0" w:space="0" w:color="auto"/>
            <w:left w:val="none" w:sz="0" w:space="0" w:color="auto"/>
            <w:bottom w:val="none" w:sz="0" w:space="0" w:color="auto"/>
            <w:right w:val="none" w:sz="0" w:space="0" w:color="auto"/>
          </w:divBdr>
          <w:divsChild>
            <w:div w:id="301614943">
              <w:marLeft w:val="0"/>
              <w:marRight w:val="0"/>
              <w:marTop w:val="150"/>
              <w:marBottom w:val="150"/>
              <w:divBdr>
                <w:top w:val="none" w:sz="0" w:space="0" w:color="auto"/>
                <w:left w:val="none" w:sz="0" w:space="0" w:color="auto"/>
                <w:bottom w:val="none" w:sz="0" w:space="0" w:color="auto"/>
                <w:right w:val="none" w:sz="0" w:space="0" w:color="auto"/>
              </w:divBdr>
            </w:div>
            <w:div w:id="1611086966">
              <w:marLeft w:val="0"/>
              <w:marRight w:val="0"/>
              <w:marTop w:val="0"/>
              <w:marBottom w:val="0"/>
              <w:divBdr>
                <w:top w:val="none" w:sz="0" w:space="0" w:color="auto"/>
                <w:left w:val="none" w:sz="0" w:space="0" w:color="auto"/>
                <w:bottom w:val="none" w:sz="0" w:space="0" w:color="auto"/>
                <w:right w:val="none" w:sz="0" w:space="0" w:color="auto"/>
              </w:divBdr>
              <w:divsChild>
                <w:div w:id="821580991">
                  <w:marLeft w:val="0"/>
                  <w:marRight w:val="0"/>
                  <w:marTop w:val="75"/>
                  <w:marBottom w:val="0"/>
                  <w:divBdr>
                    <w:top w:val="none" w:sz="0" w:space="0" w:color="auto"/>
                    <w:left w:val="none" w:sz="0" w:space="0" w:color="auto"/>
                    <w:bottom w:val="none" w:sz="0" w:space="0" w:color="auto"/>
                    <w:right w:val="none" w:sz="0" w:space="0" w:color="auto"/>
                  </w:divBdr>
                </w:div>
                <w:div w:id="1350178023">
                  <w:marLeft w:val="0"/>
                  <w:marRight w:val="0"/>
                  <w:marTop w:val="75"/>
                  <w:marBottom w:val="0"/>
                  <w:divBdr>
                    <w:top w:val="none" w:sz="0" w:space="0" w:color="auto"/>
                    <w:left w:val="none" w:sz="0" w:space="0" w:color="auto"/>
                    <w:bottom w:val="none" w:sz="0" w:space="0" w:color="auto"/>
                    <w:right w:val="none" w:sz="0" w:space="0" w:color="auto"/>
                  </w:divBdr>
                </w:div>
                <w:div w:id="2069456895">
                  <w:marLeft w:val="0"/>
                  <w:marRight w:val="0"/>
                  <w:marTop w:val="75"/>
                  <w:marBottom w:val="0"/>
                  <w:divBdr>
                    <w:top w:val="none" w:sz="0" w:space="0" w:color="auto"/>
                    <w:left w:val="none" w:sz="0" w:space="0" w:color="auto"/>
                    <w:bottom w:val="none" w:sz="0" w:space="0" w:color="auto"/>
                    <w:right w:val="none" w:sz="0" w:space="0" w:color="auto"/>
                  </w:divBdr>
                </w:div>
                <w:div w:id="972444010">
                  <w:marLeft w:val="0"/>
                  <w:marRight w:val="0"/>
                  <w:marTop w:val="75"/>
                  <w:marBottom w:val="0"/>
                  <w:divBdr>
                    <w:top w:val="none" w:sz="0" w:space="0" w:color="auto"/>
                    <w:left w:val="none" w:sz="0" w:space="0" w:color="auto"/>
                    <w:bottom w:val="none" w:sz="0" w:space="0" w:color="auto"/>
                    <w:right w:val="none" w:sz="0" w:space="0" w:color="auto"/>
                  </w:divBdr>
                </w:div>
                <w:div w:id="1619146063">
                  <w:marLeft w:val="0"/>
                  <w:marRight w:val="0"/>
                  <w:marTop w:val="75"/>
                  <w:marBottom w:val="0"/>
                  <w:divBdr>
                    <w:top w:val="none" w:sz="0" w:space="0" w:color="auto"/>
                    <w:left w:val="none" w:sz="0" w:space="0" w:color="auto"/>
                    <w:bottom w:val="none" w:sz="0" w:space="0" w:color="auto"/>
                    <w:right w:val="none" w:sz="0" w:space="0" w:color="auto"/>
                  </w:divBdr>
                </w:div>
                <w:div w:id="53801472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22693680">
          <w:marLeft w:val="0"/>
          <w:marRight w:val="0"/>
          <w:marTop w:val="0"/>
          <w:marBottom w:val="0"/>
          <w:divBdr>
            <w:top w:val="none" w:sz="0" w:space="0" w:color="auto"/>
            <w:left w:val="none" w:sz="0" w:space="0" w:color="auto"/>
            <w:bottom w:val="none" w:sz="0" w:space="0" w:color="auto"/>
            <w:right w:val="none" w:sz="0" w:space="0" w:color="auto"/>
          </w:divBdr>
          <w:divsChild>
            <w:div w:id="880946701">
              <w:marLeft w:val="0"/>
              <w:marRight w:val="0"/>
              <w:marTop w:val="150"/>
              <w:marBottom w:val="150"/>
              <w:divBdr>
                <w:top w:val="none" w:sz="0" w:space="0" w:color="auto"/>
                <w:left w:val="none" w:sz="0" w:space="0" w:color="auto"/>
                <w:bottom w:val="none" w:sz="0" w:space="0" w:color="auto"/>
                <w:right w:val="none" w:sz="0" w:space="0" w:color="auto"/>
              </w:divBdr>
            </w:div>
            <w:div w:id="1135489935">
              <w:marLeft w:val="0"/>
              <w:marRight w:val="0"/>
              <w:marTop w:val="0"/>
              <w:marBottom w:val="0"/>
              <w:divBdr>
                <w:top w:val="none" w:sz="0" w:space="0" w:color="auto"/>
                <w:left w:val="none" w:sz="0" w:space="0" w:color="auto"/>
                <w:bottom w:val="none" w:sz="0" w:space="0" w:color="auto"/>
                <w:right w:val="none" w:sz="0" w:space="0" w:color="auto"/>
              </w:divBdr>
              <w:divsChild>
                <w:div w:id="928198571">
                  <w:marLeft w:val="0"/>
                  <w:marRight w:val="0"/>
                  <w:marTop w:val="75"/>
                  <w:marBottom w:val="0"/>
                  <w:divBdr>
                    <w:top w:val="none" w:sz="0" w:space="0" w:color="auto"/>
                    <w:left w:val="none" w:sz="0" w:space="0" w:color="auto"/>
                    <w:bottom w:val="none" w:sz="0" w:space="0" w:color="auto"/>
                    <w:right w:val="none" w:sz="0" w:space="0" w:color="auto"/>
                  </w:divBdr>
                </w:div>
                <w:div w:id="1549149487">
                  <w:marLeft w:val="0"/>
                  <w:marRight w:val="0"/>
                  <w:marTop w:val="75"/>
                  <w:marBottom w:val="0"/>
                  <w:divBdr>
                    <w:top w:val="none" w:sz="0" w:space="0" w:color="auto"/>
                    <w:left w:val="none" w:sz="0" w:space="0" w:color="auto"/>
                    <w:bottom w:val="none" w:sz="0" w:space="0" w:color="auto"/>
                    <w:right w:val="none" w:sz="0" w:space="0" w:color="auto"/>
                  </w:divBdr>
                </w:div>
                <w:div w:id="471143516">
                  <w:marLeft w:val="0"/>
                  <w:marRight w:val="0"/>
                  <w:marTop w:val="75"/>
                  <w:marBottom w:val="0"/>
                  <w:divBdr>
                    <w:top w:val="none" w:sz="0" w:space="0" w:color="auto"/>
                    <w:left w:val="none" w:sz="0" w:space="0" w:color="auto"/>
                    <w:bottom w:val="none" w:sz="0" w:space="0" w:color="auto"/>
                    <w:right w:val="none" w:sz="0" w:space="0" w:color="auto"/>
                  </w:divBdr>
                </w:div>
                <w:div w:id="624042298">
                  <w:marLeft w:val="0"/>
                  <w:marRight w:val="0"/>
                  <w:marTop w:val="75"/>
                  <w:marBottom w:val="0"/>
                  <w:divBdr>
                    <w:top w:val="none" w:sz="0" w:space="0" w:color="auto"/>
                    <w:left w:val="none" w:sz="0" w:space="0" w:color="auto"/>
                    <w:bottom w:val="none" w:sz="0" w:space="0" w:color="auto"/>
                    <w:right w:val="none" w:sz="0" w:space="0" w:color="auto"/>
                  </w:divBdr>
                </w:div>
                <w:div w:id="1106122296">
                  <w:marLeft w:val="0"/>
                  <w:marRight w:val="0"/>
                  <w:marTop w:val="75"/>
                  <w:marBottom w:val="0"/>
                  <w:divBdr>
                    <w:top w:val="none" w:sz="0" w:space="0" w:color="auto"/>
                    <w:left w:val="none" w:sz="0" w:space="0" w:color="auto"/>
                    <w:bottom w:val="none" w:sz="0" w:space="0" w:color="auto"/>
                    <w:right w:val="none" w:sz="0" w:space="0" w:color="auto"/>
                  </w:divBdr>
                </w:div>
                <w:div w:id="1922830296">
                  <w:marLeft w:val="0"/>
                  <w:marRight w:val="0"/>
                  <w:marTop w:val="75"/>
                  <w:marBottom w:val="0"/>
                  <w:divBdr>
                    <w:top w:val="none" w:sz="0" w:space="0" w:color="auto"/>
                    <w:left w:val="none" w:sz="0" w:space="0" w:color="auto"/>
                    <w:bottom w:val="none" w:sz="0" w:space="0" w:color="auto"/>
                    <w:right w:val="none" w:sz="0" w:space="0" w:color="auto"/>
                  </w:divBdr>
                </w:div>
                <w:div w:id="170212532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365791235">
      <w:bodyDiv w:val="1"/>
      <w:marLeft w:val="0"/>
      <w:marRight w:val="0"/>
      <w:marTop w:val="0"/>
      <w:marBottom w:val="0"/>
      <w:divBdr>
        <w:top w:val="none" w:sz="0" w:space="0" w:color="auto"/>
        <w:left w:val="none" w:sz="0" w:space="0" w:color="auto"/>
        <w:bottom w:val="none" w:sz="0" w:space="0" w:color="auto"/>
        <w:right w:val="none" w:sz="0" w:space="0" w:color="auto"/>
      </w:divBdr>
      <w:divsChild>
        <w:div w:id="2112048382">
          <w:marLeft w:val="0"/>
          <w:marRight w:val="0"/>
          <w:marTop w:val="0"/>
          <w:marBottom w:val="0"/>
          <w:divBdr>
            <w:top w:val="none" w:sz="0" w:space="0" w:color="auto"/>
            <w:left w:val="none" w:sz="0" w:space="0" w:color="auto"/>
            <w:bottom w:val="none" w:sz="0" w:space="0" w:color="auto"/>
            <w:right w:val="none" w:sz="0" w:space="0" w:color="auto"/>
          </w:divBdr>
        </w:div>
        <w:div w:id="1324969830">
          <w:marLeft w:val="0"/>
          <w:marRight w:val="0"/>
          <w:marTop w:val="75"/>
          <w:marBottom w:val="0"/>
          <w:divBdr>
            <w:top w:val="none" w:sz="0" w:space="0" w:color="auto"/>
            <w:left w:val="none" w:sz="0" w:space="0" w:color="auto"/>
            <w:bottom w:val="none" w:sz="0" w:space="0" w:color="auto"/>
            <w:right w:val="none" w:sz="0" w:space="0" w:color="auto"/>
          </w:divBdr>
        </w:div>
        <w:div w:id="1278022648">
          <w:marLeft w:val="0"/>
          <w:marRight w:val="0"/>
          <w:marTop w:val="75"/>
          <w:marBottom w:val="0"/>
          <w:divBdr>
            <w:top w:val="none" w:sz="0" w:space="0" w:color="auto"/>
            <w:left w:val="none" w:sz="0" w:space="0" w:color="auto"/>
            <w:bottom w:val="none" w:sz="0" w:space="0" w:color="auto"/>
            <w:right w:val="none" w:sz="0" w:space="0" w:color="auto"/>
          </w:divBdr>
        </w:div>
        <w:div w:id="398942435">
          <w:marLeft w:val="0"/>
          <w:marRight w:val="0"/>
          <w:marTop w:val="75"/>
          <w:marBottom w:val="0"/>
          <w:divBdr>
            <w:top w:val="none" w:sz="0" w:space="0" w:color="auto"/>
            <w:left w:val="none" w:sz="0" w:space="0" w:color="auto"/>
            <w:bottom w:val="none" w:sz="0" w:space="0" w:color="auto"/>
            <w:right w:val="none" w:sz="0" w:space="0" w:color="auto"/>
          </w:divBdr>
        </w:div>
        <w:div w:id="135531978">
          <w:marLeft w:val="0"/>
          <w:marRight w:val="0"/>
          <w:marTop w:val="75"/>
          <w:marBottom w:val="0"/>
          <w:divBdr>
            <w:top w:val="none" w:sz="0" w:space="0" w:color="auto"/>
            <w:left w:val="none" w:sz="0" w:space="0" w:color="auto"/>
            <w:bottom w:val="none" w:sz="0" w:space="0" w:color="auto"/>
            <w:right w:val="none" w:sz="0" w:space="0" w:color="auto"/>
          </w:divBdr>
        </w:div>
        <w:div w:id="323707256">
          <w:marLeft w:val="0"/>
          <w:marRight w:val="0"/>
          <w:marTop w:val="75"/>
          <w:marBottom w:val="0"/>
          <w:divBdr>
            <w:top w:val="none" w:sz="0" w:space="0" w:color="auto"/>
            <w:left w:val="none" w:sz="0" w:space="0" w:color="auto"/>
            <w:bottom w:val="none" w:sz="0" w:space="0" w:color="auto"/>
            <w:right w:val="none" w:sz="0" w:space="0" w:color="auto"/>
          </w:divBdr>
        </w:div>
        <w:div w:id="1541669951">
          <w:marLeft w:val="0"/>
          <w:marRight w:val="0"/>
          <w:marTop w:val="75"/>
          <w:marBottom w:val="0"/>
          <w:divBdr>
            <w:top w:val="none" w:sz="0" w:space="0" w:color="auto"/>
            <w:left w:val="none" w:sz="0" w:space="0" w:color="auto"/>
            <w:bottom w:val="none" w:sz="0" w:space="0" w:color="auto"/>
            <w:right w:val="none" w:sz="0" w:space="0" w:color="auto"/>
          </w:divBdr>
        </w:div>
        <w:div w:id="1844322761">
          <w:marLeft w:val="0"/>
          <w:marRight w:val="0"/>
          <w:marTop w:val="150"/>
          <w:marBottom w:val="150"/>
          <w:divBdr>
            <w:top w:val="none" w:sz="0" w:space="0" w:color="auto"/>
            <w:left w:val="none" w:sz="0" w:space="0" w:color="auto"/>
            <w:bottom w:val="none" w:sz="0" w:space="0" w:color="auto"/>
            <w:right w:val="none" w:sz="0" w:space="0" w:color="auto"/>
          </w:divBdr>
        </w:div>
        <w:div w:id="794913729">
          <w:marLeft w:val="0"/>
          <w:marRight w:val="0"/>
          <w:marTop w:val="75"/>
          <w:marBottom w:val="0"/>
          <w:divBdr>
            <w:top w:val="none" w:sz="0" w:space="0" w:color="auto"/>
            <w:left w:val="none" w:sz="0" w:space="0" w:color="auto"/>
            <w:bottom w:val="none" w:sz="0" w:space="0" w:color="auto"/>
            <w:right w:val="none" w:sz="0" w:space="0" w:color="auto"/>
          </w:divBdr>
        </w:div>
        <w:div w:id="40978638">
          <w:marLeft w:val="0"/>
          <w:marRight w:val="0"/>
          <w:marTop w:val="75"/>
          <w:marBottom w:val="0"/>
          <w:divBdr>
            <w:top w:val="none" w:sz="0" w:space="0" w:color="auto"/>
            <w:left w:val="none" w:sz="0" w:space="0" w:color="auto"/>
            <w:bottom w:val="none" w:sz="0" w:space="0" w:color="auto"/>
            <w:right w:val="none" w:sz="0" w:space="0" w:color="auto"/>
          </w:divBdr>
        </w:div>
        <w:div w:id="357120329">
          <w:marLeft w:val="0"/>
          <w:marRight w:val="0"/>
          <w:marTop w:val="75"/>
          <w:marBottom w:val="0"/>
          <w:divBdr>
            <w:top w:val="none" w:sz="0" w:space="0" w:color="auto"/>
            <w:left w:val="none" w:sz="0" w:space="0" w:color="auto"/>
            <w:bottom w:val="none" w:sz="0" w:space="0" w:color="auto"/>
            <w:right w:val="none" w:sz="0" w:space="0" w:color="auto"/>
          </w:divBdr>
        </w:div>
        <w:div w:id="1126120958">
          <w:marLeft w:val="0"/>
          <w:marRight w:val="0"/>
          <w:marTop w:val="75"/>
          <w:marBottom w:val="0"/>
          <w:divBdr>
            <w:top w:val="none" w:sz="0" w:space="0" w:color="auto"/>
            <w:left w:val="none" w:sz="0" w:space="0" w:color="auto"/>
            <w:bottom w:val="none" w:sz="0" w:space="0" w:color="auto"/>
            <w:right w:val="none" w:sz="0" w:space="0" w:color="auto"/>
          </w:divBdr>
        </w:div>
        <w:div w:id="1123617394">
          <w:marLeft w:val="0"/>
          <w:marRight w:val="0"/>
          <w:marTop w:val="75"/>
          <w:marBottom w:val="0"/>
          <w:divBdr>
            <w:top w:val="none" w:sz="0" w:space="0" w:color="auto"/>
            <w:left w:val="none" w:sz="0" w:space="0" w:color="auto"/>
            <w:bottom w:val="none" w:sz="0" w:space="0" w:color="auto"/>
            <w:right w:val="none" w:sz="0" w:space="0" w:color="auto"/>
          </w:divBdr>
        </w:div>
        <w:div w:id="947350181">
          <w:marLeft w:val="0"/>
          <w:marRight w:val="0"/>
          <w:marTop w:val="75"/>
          <w:marBottom w:val="0"/>
          <w:divBdr>
            <w:top w:val="none" w:sz="0" w:space="0" w:color="auto"/>
            <w:left w:val="none" w:sz="0" w:space="0" w:color="auto"/>
            <w:bottom w:val="none" w:sz="0" w:space="0" w:color="auto"/>
            <w:right w:val="none" w:sz="0" w:space="0" w:color="auto"/>
          </w:divBdr>
        </w:div>
        <w:div w:id="1808039566">
          <w:marLeft w:val="0"/>
          <w:marRight w:val="0"/>
          <w:marTop w:val="75"/>
          <w:marBottom w:val="0"/>
          <w:divBdr>
            <w:top w:val="none" w:sz="0" w:space="0" w:color="auto"/>
            <w:left w:val="none" w:sz="0" w:space="0" w:color="auto"/>
            <w:bottom w:val="none" w:sz="0" w:space="0" w:color="auto"/>
            <w:right w:val="none" w:sz="0" w:space="0" w:color="auto"/>
          </w:divBdr>
        </w:div>
        <w:div w:id="740711935">
          <w:marLeft w:val="0"/>
          <w:marRight w:val="0"/>
          <w:marTop w:val="75"/>
          <w:marBottom w:val="0"/>
          <w:divBdr>
            <w:top w:val="none" w:sz="0" w:space="0" w:color="auto"/>
            <w:left w:val="none" w:sz="0" w:space="0" w:color="auto"/>
            <w:bottom w:val="none" w:sz="0" w:space="0" w:color="auto"/>
            <w:right w:val="none" w:sz="0" w:space="0" w:color="auto"/>
          </w:divBdr>
        </w:div>
        <w:div w:id="764496048">
          <w:marLeft w:val="0"/>
          <w:marRight w:val="0"/>
          <w:marTop w:val="150"/>
          <w:marBottom w:val="150"/>
          <w:divBdr>
            <w:top w:val="none" w:sz="0" w:space="0" w:color="auto"/>
            <w:left w:val="none" w:sz="0" w:space="0" w:color="auto"/>
            <w:bottom w:val="none" w:sz="0" w:space="0" w:color="auto"/>
            <w:right w:val="none" w:sz="0" w:space="0" w:color="auto"/>
          </w:divBdr>
        </w:div>
        <w:div w:id="802234231">
          <w:marLeft w:val="0"/>
          <w:marRight w:val="0"/>
          <w:marTop w:val="75"/>
          <w:marBottom w:val="0"/>
          <w:divBdr>
            <w:top w:val="none" w:sz="0" w:space="0" w:color="auto"/>
            <w:left w:val="none" w:sz="0" w:space="0" w:color="auto"/>
            <w:bottom w:val="none" w:sz="0" w:space="0" w:color="auto"/>
            <w:right w:val="none" w:sz="0" w:space="0" w:color="auto"/>
          </w:divBdr>
        </w:div>
        <w:div w:id="475879729">
          <w:marLeft w:val="0"/>
          <w:marRight w:val="0"/>
          <w:marTop w:val="75"/>
          <w:marBottom w:val="0"/>
          <w:divBdr>
            <w:top w:val="none" w:sz="0" w:space="0" w:color="auto"/>
            <w:left w:val="none" w:sz="0" w:space="0" w:color="auto"/>
            <w:bottom w:val="none" w:sz="0" w:space="0" w:color="auto"/>
            <w:right w:val="none" w:sz="0" w:space="0" w:color="auto"/>
          </w:divBdr>
        </w:div>
        <w:div w:id="1595825579">
          <w:marLeft w:val="0"/>
          <w:marRight w:val="0"/>
          <w:marTop w:val="75"/>
          <w:marBottom w:val="0"/>
          <w:divBdr>
            <w:top w:val="none" w:sz="0" w:space="0" w:color="auto"/>
            <w:left w:val="none" w:sz="0" w:space="0" w:color="auto"/>
            <w:bottom w:val="none" w:sz="0" w:space="0" w:color="auto"/>
            <w:right w:val="none" w:sz="0" w:space="0" w:color="auto"/>
          </w:divBdr>
        </w:div>
        <w:div w:id="422647374">
          <w:marLeft w:val="0"/>
          <w:marRight w:val="0"/>
          <w:marTop w:val="75"/>
          <w:marBottom w:val="0"/>
          <w:divBdr>
            <w:top w:val="none" w:sz="0" w:space="0" w:color="auto"/>
            <w:left w:val="none" w:sz="0" w:space="0" w:color="auto"/>
            <w:bottom w:val="none" w:sz="0" w:space="0" w:color="auto"/>
            <w:right w:val="none" w:sz="0" w:space="0" w:color="auto"/>
          </w:divBdr>
        </w:div>
        <w:div w:id="1235551954">
          <w:marLeft w:val="0"/>
          <w:marRight w:val="0"/>
          <w:marTop w:val="75"/>
          <w:marBottom w:val="0"/>
          <w:divBdr>
            <w:top w:val="none" w:sz="0" w:space="0" w:color="auto"/>
            <w:left w:val="none" w:sz="0" w:space="0" w:color="auto"/>
            <w:bottom w:val="none" w:sz="0" w:space="0" w:color="auto"/>
            <w:right w:val="none" w:sz="0" w:space="0" w:color="auto"/>
          </w:divBdr>
        </w:div>
        <w:div w:id="488257621">
          <w:marLeft w:val="0"/>
          <w:marRight w:val="0"/>
          <w:marTop w:val="75"/>
          <w:marBottom w:val="0"/>
          <w:divBdr>
            <w:top w:val="none" w:sz="0" w:space="0" w:color="auto"/>
            <w:left w:val="none" w:sz="0" w:space="0" w:color="auto"/>
            <w:bottom w:val="none" w:sz="0" w:space="0" w:color="auto"/>
            <w:right w:val="none" w:sz="0" w:space="0" w:color="auto"/>
          </w:divBdr>
        </w:div>
        <w:div w:id="604116792">
          <w:marLeft w:val="0"/>
          <w:marRight w:val="0"/>
          <w:marTop w:val="75"/>
          <w:marBottom w:val="0"/>
          <w:divBdr>
            <w:top w:val="none" w:sz="0" w:space="0" w:color="auto"/>
            <w:left w:val="none" w:sz="0" w:space="0" w:color="auto"/>
            <w:bottom w:val="none" w:sz="0" w:space="0" w:color="auto"/>
            <w:right w:val="none" w:sz="0" w:space="0" w:color="auto"/>
          </w:divBdr>
        </w:div>
        <w:div w:id="1510681863">
          <w:marLeft w:val="0"/>
          <w:marRight w:val="0"/>
          <w:marTop w:val="75"/>
          <w:marBottom w:val="0"/>
          <w:divBdr>
            <w:top w:val="none" w:sz="0" w:space="0" w:color="auto"/>
            <w:left w:val="none" w:sz="0" w:space="0" w:color="auto"/>
            <w:bottom w:val="none" w:sz="0" w:space="0" w:color="auto"/>
            <w:right w:val="none" w:sz="0" w:space="0" w:color="auto"/>
          </w:divBdr>
        </w:div>
        <w:div w:id="2137331985">
          <w:marLeft w:val="0"/>
          <w:marRight w:val="0"/>
          <w:marTop w:val="150"/>
          <w:marBottom w:val="150"/>
          <w:divBdr>
            <w:top w:val="none" w:sz="0" w:space="0" w:color="auto"/>
            <w:left w:val="none" w:sz="0" w:space="0" w:color="auto"/>
            <w:bottom w:val="none" w:sz="0" w:space="0" w:color="auto"/>
            <w:right w:val="none" w:sz="0" w:space="0" w:color="auto"/>
          </w:divBdr>
        </w:div>
        <w:div w:id="582035177">
          <w:marLeft w:val="0"/>
          <w:marRight w:val="0"/>
          <w:marTop w:val="75"/>
          <w:marBottom w:val="0"/>
          <w:divBdr>
            <w:top w:val="none" w:sz="0" w:space="0" w:color="auto"/>
            <w:left w:val="none" w:sz="0" w:space="0" w:color="auto"/>
            <w:bottom w:val="none" w:sz="0" w:space="0" w:color="auto"/>
            <w:right w:val="none" w:sz="0" w:space="0" w:color="auto"/>
          </w:divBdr>
        </w:div>
        <w:div w:id="1072460038">
          <w:marLeft w:val="0"/>
          <w:marRight w:val="0"/>
          <w:marTop w:val="75"/>
          <w:marBottom w:val="0"/>
          <w:divBdr>
            <w:top w:val="none" w:sz="0" w:space="0" w:color="auto"/>
            <w:left w:val="none" w:sz="0" w:space="0" w:color="auto"/>
            <w:bottom w:val="none" w:sz="0" w:space="0" w:color="auto"/>
            <w:right w:val="none" w:sz="0" w:space="0" w:color="auto"/>
          </w:divBdr>
        </w:div>
        <w:div w:id="493304951">
          <w:marLeft w:val="0"/>
          <w:marRight w:val="0"/>
          <w:marTop w:val="75"/>
          <w:marBottom w:val="0"/>
          <w:divBdr>
            <w:top w:val="none" w:sz="0" w:space="0" w:color="auto"/>
            <w:left w:val="none" w:sz="0" w:space="0" w:color="auto"/>
            <w:bottom w:val="none" w:sz="0" w:space="0" w:color="auto"/>
            <w:right w:val="none" w:sz="0" w:space="0" w:color="auto"/>
          </w:divBdr>
        </w:div>
        <w:div w:id="691422152">
          <w:marLeft w:val="0"/>
          <w:marRight w:val="0"/>
          <w:marTop w:val="75"/>
          <w:marBottom w:val="0"/>
          <w:divBdr>
            <w:top w:val="none" w:sz="0" w:space="0" w:color="auto"/>
            <w:left w:val="none" w:sz="0" w:space="0" w:color="auto"/>
            <w:bottom w:val="none" w:sz="0" w:space="0" w:color="auto"/>
            <w:right w:val="none" w:sz="0" w:space="0" w:color="auto"/>
          </w:divBdr>
        </w:div>
        <w:div w:id="1508522190">
          <w:marLeft w:val="0"/>
          <w:marRight w:val="0"/>
          <w:marTop w:val="75"/>
          <w:marBottom w:val="0"/>
          <w:divBdr>
            <w:top w:val="none" w:sz="0" w:space="0" w:color="auto"/>
            <w:left w:val="none" w:sz="0" w:space="0" w:color="auto"/>
            <w:bottom w:val="none" w:sz="0" w:space="0" w:color="auto"/>
            <w:right w:val="none" w:sz="0" w:space="0" w:color="auto"/>
          </w:divBdr>
        </w:div>
        <w:div w:id="1525049080">
          <w:marLeft w:val="0"/>
          <w:marRight w:val="0"/>
          <w:marTop w:val="0"/>
          <w:marBottom w:val="0"/>
          <w:divBdr>
            <w:top w:val="none" w:sz="0" w:space="0" w:color="auto"/>
            <w:left w:val="none" w:sz="0" w:space="0" w:color="auto"/>
            <w:bottom w:val="none" w:sz="0" w:space="0" w:color="auto"/>
            <w:right w:val="none" w:sz="0" w:space="0" w:color="auto"/>
          </w:divBdr>
        </w:div>
        <w:div w:id="1326586888">
          <w:marLeft w:val="0"/>
          <w:marRight w:val="0"/>
          <w:marTop w:val="0"/>
          <w:marBottom w:val="0"/>
          <w:divBdr>
            <w:top w:val="none" w:sz="0" w:space="0" w:color="auto"/>
            <w:left w:val="none" w:sz="0" w:space="0" w:color="auto"/>
            <w:bottom w:val="none" w:sz="0" w:space="0" w:color="auto"/>
            <w:right w:val="none" w:sz="0" w:space="0" w:color="auto"/>
          </w:divBdr>
        </w:div>
        <w:div w:id="1863546455">
          <w:marLeft w:val="0"/>
          <w:marRight w:val="0"/>
          <w:marTop w:val="0"/>
          <w:marBottom w:val="0"/>
          <w:divBdr>
            <w:top w:val="none" w:sz="0" w:space="0" w:color="auto"/>
            <w:left w:val="none" w:sz="0" w:space="0" w:color="auto"/>
            <w:bottom w:val="none" w:sz="0" w:space="0" w:color="auto"/>
            <w:right w:val="none" w:sz="0" w:space="0" w:color="auto"/>
          </w:divBdr>
        </w:div>
        <w:div w:id="30961038">
          <w:marLeft w:val="0"/>
          <w:marRight w:val="0"/>
          <w:marTop w:val="0"/>
          <w:marBottom w:val="0"/>
          <w:divBdr>
            <w:top w:val="none" w:sz="0" w:space="0" w:color="auto"/>
            <w:left w:val="none" w:sz="0" w:space="0" w:color="auto"/>
            <w:bottom w:val="none" w:sz="0" w:space="0" w:color="auto"/>
            <w:right w:val="none" w:sz="0" w:space="0" w:color="auto"/>
          </w:divBdr>
        </w:div>
        <w:div w:id="2128156353">
          <w:marLeft w:val="0"/>
          <w:marRight w:val="0"/>
          <w:marTop w:val="0"/>
          <w:marBottom w:val="0"/>
          <w:divBdr>
            <w:top w:val="none" w:sz="0" w:space="0" w:color="auto"/>
            <w:left w:val="none" w:sz="0" w:space="0" w:color="auto"/>
            <w:bottom w:val="none" w:sz="0" w:space="0" w:color="auto"/>
            <w:right w:val="none" w:sz="0" w:space="0" w:color="auto"/>
          </w:divBdr>
        </w:div>
        <w:div w:id="1822960618">
          <w:marLeft w:val="0"/>
          <w:marRight w:val="0"/>
          <w:marTop w:val="0"/>
          <w:marBottom w:val="0"/>
          <w:divBdr>
            <w:top w:val="none" w:sz="0" w:space="0" w:color="auto"/>
            <w:left w:val="none" w:sz="0" w:space="0" w:color="auto"/>
            <w:bottom w:val="none" w:sz="0" w:space="0" w:color="auto"/>
            <w:right w:val="none" w:sz="0" w:space="0" w:color="auto"/>
          </w:divBdr>
        </w:div>
        <w:div w:id="915242543">
          <w:marLeft w:val="0"/>
          <w:marRight w:val="0"/>
          <w:marTop w:val="0"/>
          <w:marBottom w:val="0"/>
          <w:divBdr>
            <w:top w:val="none" w:sz="0" w:space="0" w:color="auto"/>
            <w:left w:val="none" w:sz="0" w:space="0" w:color="auto"/>
            <w:bottom w:val="none" w:sz="0" w:space="0" w:color="auto"/>
            <w:right w:val="none" w:sz="0" w:space="0" w:color="auto"/>
          </w:divBdr>
        </w:div>
        <w:div w:id="292448711">
          <w:marLeft w:val="0"/>
          <w:marRight w:val="0"/>
          <w:marTop w:val="0"/>
          <w:marBottom w:val="0"/>
          <w:divBdr>
            <w:top w:val="none" w:sz="0" w:space="0" w:color="auto"/>
            <w:left w:val="none" w:sz="0" w:space="0" w:color="auto"/>
            <w:bottom w:val="none" w:sz="0" w:space="0" w:color="auto"/>
            <w:right w:val="none" w:sz="0" w:space="0" w:color="auto"/>
          </w:divBdr>
        </w:div>
        <w:div w:id="249046642">
          <w:marLeft w:val="0"/>
          <w:marRight w:val="0"/>
          <w:marTop w:val="150"/>
          <w:marBottom w:val="150"/>
          <w:divBdr>
            <w:top w:val="none" w:sz="0" w:space="0" w:color="auto"/>
            <w:left w:val="none" w:sz="0" w:space="0" w:color="auto"/>
            <w:bottom w:val="none" w:sz="0" w:space="0" w:color="auto"/>
            <w:right w:val="none" w:sz="0" w:space="0" w:color="auto"/>
          </w:divBdr>
        </w:div>
        <w:div w:id="1376392844">
          <w:marLeft w:val="0"/>
          <w:marRight w:val="0"/>
          <w:marTop w:val="0"/>
          <w:marBottom w:val="0"/>
          <w:divBdr>
            <w:top w:val="none" w:sz="0" w:space="0" w:color="auto"/>
            <w:left w:val="none" w:sz="0" w:space="0" w:color="auto"/>
            <w:bottom w:val="none" w:sz="0" w:space="0" w:color="auto"/>
            <w:right w:val="none" w:sz="0" w:space="0" w:color="auto"/>
          </w:divBdr>
        </w:div>
        <w:div w:id="1962877619">
          <w:marLeft w:val="0"/>
          <w:marRight w:val="0"/>
          <w:marTop w:val="0"/>
          <w:marBottom w:val="0"/>
          <w:divBdr>
            <w:top w:val="none" w:sz="0" w:space="0" w:color="auto"/>
            <w:left w:val="none" w:sz="0" w:space="0" w:color="auto"/>
            <w:bottom w:val="none" w:sz="0" w:space="0" w:color="auto"/>
            <w:right w:val="none" w:sz="0" w:space="0" w:color="auto"/>
          </w:divBdr>
        </w:div>
        <w:div w:id="1363508740">
          <w:marLeft w:val="0"/>
          <w:marRight w:val="0"/>
          <w:marTop w:val="0"/>
          <w:marBottom w:val="0"/>
          <w:divBdr>
            <w:top w:val="none" w:sz="0" w:space="0" w:color="auto"/>
            <w:left w:val="none" w:sz="0" w:space="0" w:color="auto"/>
            <w:bottom w:val="none" w:sz="0" w:space="0" w:color="auto"/>
            <w:right w:val="none" w:sz="0" w:space="0" w:color="auto"/>
          </w:divBdr>
        </w:div>
        <w:div w:id="361908504">
          <w:marLeft w:val="0"/>
          <w:marRight w:val="0"/>
          <w:marTop w:val="0"/>
          <w:marBottom w:val="0"/>
          <w:divBdr>
            <w:top w:val="none" w:sz="0" w:space="0" w:color="auto"/>
            <w:left w:val="none" w:sz="0" w:space="0" w:color="auto"/>
            <w:bottom w:val="none" w:sz="0" w:space="0" w:color="auto"/>
            <w:right w:val="none" w:sz="0" w:space="0" w:color="auto"/>
          </w:divBdr>
        </w:div>
        <w:div w:id="767000110">
          <w:marLeft w:val="0"/>
          <w:marRight w:val="0"/>
          <w:marTop w:val="0"/>
          <w:marBottom w:val="0"/>
          <w:divBdr>
            <w:top w:val="none" w:sz="0" w:space="0" w:color="auto"/>
            <w:left w:val="none" w:sz="0" w:space="0" w:color="auto"/>
            <w:bottom w:val="none" w:sz="0" w:space="0" w:color="auto"/>
            <w:right w:val="none" w:sz="0" w:space="0" w:color="auto"/>
          </w:divBdr>
        </w:div>
        <w:div w:id="1473253739">
          <w:marLeft w:val="0"/>
          <w:marRight w:val="0"/>
          <w:marTop w:val="0"/>
          <w:marBottom w:val="0"/>
          <w:divBdr>
            <w:top w:val="none" w:sz="0" w:space="0" w:color="auto"/>
            <w:left w:val="none" w:sz="0" w:space="0" w:color="auto"/>
            <w:bottom w:val="none" w:sz="0" w:space="0" w:color="auto"/>
            <w:right w:val="none" w:sz="0" w:space="0" w:color="auto"/>
          </w:divBdr>
        </w:div>
      </w:divsChild>
    </w:div>
    <w:div w:id="1485316097">
      <w:bodyDiv w:val="1"/>
      <w:marLeft w:val="0"/>
      <w:marRight w:val="0"/>
      <w:marTop w:val="0"/>
      <w:marBottom w:val="0"/>
      <w:divBdr>
        <w:top w:val="none" w:sz="0" w:space="0" w:color="auto"/>
        <w:left w:val="none" w:sz="0" w:space="0" w:color="auto"/>
        <w:bottom w:val="none" w:sz="0" w:space="0" w:color="auto"/>
        <w:right w:val="none" w:sz="0" w:space="0" w:color="auto"/>
      </w:divBdr>
      <w:divsChild>
        <w:div w:id="604315018">
          <w:marLeft w:val="0"/>
          <w:marRight w:val="0"/>
          <w:marTop w:val="0"/>
          <w:marBottom w:val="0"/>
          <w:divBdr>
            <w:top w:val="none" w:sz="0" w:space="0" w:color="auto"/>
            <w:left w:val="none" w:sz="0" w:space="0" w:color="auto"/>
            <w:bottom w:val="none" w:sz="0" w:space="0" w:color="auto"/>
            <w:right w:val="none" w:sz="0" w:space="0" w:color="auto"/>
          </w:divBdr>
        </w:div>
      </w:divsChild>
    </w:div>
    <w:div w:id="1786921674">
      <w:bodyDiv w:val="1"/>
      <w:marLeft w:val="0"/>
      <w:marRight w:val="0"/>
      <w:marTop w:val="0"/>
      <w:marBottom w:val="0"/>
      <w:divBdr>
        <w:top w:val="none" w:sz="0" w:space="0" w:color="auto"/>
        <w:left w:val="none" w:sz="0" w:space="0" w:color="auto"/>
        <w:bottom w:val="none" w:sz="0" w:space="0" w:color="auto"/>
        <w:right w:val="none" w:sz="0" w:space="0" w:color="auto"/>
      </w:divBdr>
      <w:divsChild>
        <w:div w:id="917984281">
          <w:marLeft w:val="0"/>
          <w:marRight w:val="0"/>
          <w:marTop w:val="0"/>
          <w:marBottom w:val="0"/>
          <w:divBdr>
            <w:top w:val="none" w:sz="0" w:space="0" w:color="auto"/>
            <w:left w:val="none" w:sz="0" w:space="0" w:color="auto"/>
            <w:bottom w:val="none" w:sz="0" w:space="0" w:color="auto"/>
            <w:right w:val="none" w:sz="0" w:space="0" w:color="auto"/>
          </w:divBdr>
        </w:div>
        <w:div w:id="1662465602">
          <w:marLeft w:val="0"/>
          <w:marRight w:val="0"/>
          <w:marTop w:val="75"/>
          <w:marBottom w:val="0"/>
          <w:divBdr>
            <w:top w:val="none" w:sz="0" w:space="0" w:color="auto"/>
            <w:left w:val="none" w:sz="0" w:space="0" w:color="auto"/>
            <w:bottom w:val="none" w:sz="0" w:space="0" w:color="auto"/>
            <w:right w:val="none" w:sz="0" w:space="0" w:color="auto"/>
          </w:divBdr>
        </w:div>
        <w:div w:id="620183640">
          <w:marLeft w:val="0"/>
          <w:marRight w:val="0"/>
          <w:marTop w:val="75"/>
          <w:marBottom w:val="0"/>
          <w:divBdr>
            <w:top w:val="none" w:sz="0" w:space="0" w:color="auto"/>
            <w:left w:val="none" w:sz="0" w:space="0" w:color="auto"/>
            <w:bottom w:val="none" w:sz="0" w:space="0" w:color="auto"/>
            <w:right w:val="none" w:sz="0" w:space="0" w:color="auto"/>
          </w:divBdr>
        </w:div>
        <w:div w:id="2110391547">
          <w:marLeft w:val="0"/>
          <w:marRight w:val="0"/>
          <w:marTop w:val="75"/>
          <w:marBottom w:val="0"/>
          <w:divBdr>
            <w:top w:val="none" w:sz="0" w:space="0" w:color="auto"/>
            <w:left w:val="none" w:sz="0" w:space="0" w:color="auto"/>
            <w:bottom w:val="none" w:sz="0" w:space="0" w:color="auto"/>
            <w:right w:val="none" w:sz="0" w:space="0" w:color="auto"/>
          </w:divBdr>
        </w:div>
        <w:div w:id="423503487">
          <w:marLeft w:val="0"/>
          <w:marRight w:val="0"/>
          <w:marTop w:val="75"/>
          <w:marBottom w:val="0"/>
          <w:divBdr>
            <w:top w:val="none" w:sz="0" w:space="0" w:color="auto"/>
            <w:left w:val="none" w:sz="0" w:space="0" w:color="auto"/>
            <w:bottom w:val="none" w:sz="0" w:space="0" w:color="auto"/>
            <w:right w:val="none" w:sz="0" w:space="0" w:color="auto"/>
          </w:divBdr>
        </w:div>
        <w:div w:id="1690445360">
          <w:marLeft w:val="0"/>
          <w:marRight w:val="0"/>
          <w:marTop w:val="75"/>
          <w:marBottom w:val="0"/>
          <w:divBdr>
            <w:top w:val="none" w:sz="0" w:space="0" w:color="auto"/>
            <w:left w:val="none" w:sz="0" w:space="0" w:color="auto"/>
            <w:bottom w:val="none" w:sz="0" w:space="0" w:color="auto"/>
            <w:right w:val="none" w:sz="0" w:space="0" w:color="auto"/>
          </w:divBdr>
        </w:div>
        <w:div w:id="496265751">
          <w:marLeft w:val="0"/>
          <w:marRight w:val="0"/>
          <w:marTop w:val="75"/>
          <w:marBottom w:val="0"/>
          <w:divBdr>
            <w:top w:val="none" w:sz="0" w:space="0" w:color="auto"/>
            <w:left w:val="none" w:sz="0" w:space="0" w:color="auto"/>
            <w:bottom w:val="none" w:sz="0" w:space="0" w:color="auto"/>
            <w:right w:val="none" w:sz="0" w:space="0" w:color="auto"/>
          </w:divBdr>
        </w:div>
        <w:div w:id="263924857">
          <w:marLeft w:val="0"/>
          <w:marRight w:val="0"/>
          <w:marTop w:val="150"/>
          <w:marBottom w:val="150"/>
          <w:divBdr>
            <w:top w:val="none" w:sz="0" w:space="0" w:color="auto"/>
            <w:left w:val="none" w:sz="0" w:space="0" w:color="auto"/>
            <w:bottom w:val="none" w:sz="0" w:space="0" w:color="auto"/>
            <w:right w:val="none" w:sz="0" w:space="0" w:color="auto"/>
          </w:divBdr>
        </w:div>
        <w:div w:id="797798847">
          <w:marLeft w:val="0"/>
          <w:marRight w:val="0"/>
          <w:marTop w:val="75"/>
          <w:marBottom w:val="0"/>
          <w:divBdr>
            <w:top w:val="none" w:sz="0" w:space="0" w:color="auto"/>
            <w:left w:val="none" w:sz="0" w:space="0" w:color="auto"/>
            <w:bottom w:val="none" w:sz="0" w:space="0" w:color="auto"/>
            <w:right w:val="none" w:sz="0" w:space="0" w:color="auto"/>
          </w:divBdr>
        </w:div>
        <w:div w:id="1164123078">
          <w:marLeft w:val="0"/>
          <w:marRight w:val="0"/>
          <w:marTop w:val="75"/>
          <w:marBottom w:val="0"/>
          <w:divBdr>
            <w:top w:val="none" w:sz="0" w:space="0" w:color="auto"/>
            <w:left w:val="none" w:sz="0" w:space="0" w:color="auto"/>
            <w:bottom w:val="none" w:sz="0" w:space="0" w:color="auto"/>
            <w:right w:val="none" w:sz="0" w:space="0" w:color="auto"/>
          </w:divBdr>
        </w:div>
        <w:div w:id="112557905">
          <w:marLeft w:val="0"/>
          <w:marRight w:val="0"/>
          <w:marTop w:val="75"/>
          <w:marBottom w:val="0"/>
          <w:divBdr>
            <w:top w:val="none" w:sz="0" w:space="0" w:color="auto"/>
            <w:left w:val="none" w:sz="0" w:space="0" w:color="auto"/>
            <w:bottom w:val="none" w:sz="0" w:space="0" w:color="auto"/>
            <w:right w:val="none" w:sz="0" w:space="0" w:color="auto"/>
          </w:divBdr>
        </w:div>
        <w:div w:id="1871335113">
          <w:marLeft w:val="0"/>
          <w:marRight w:val="0"/>
          <w:marTop w:val="75"/>
          <w:marBottom w:val="0"/>
          <w:divBdr>
            <w:top w:val="none" w:sz="0" w:space="0" w:color="auto"/>
            <w:left w:val="none" w:sz="0" w:space="0" w:color="auto"/>
            <w:bottom w:val="none" w:sz="0" w:space="0" w:color="auto"/>
            <w:right w:val="none" w:sz="0" w:space="0" w:color="auto"/>
          </w:divBdr>
        </w:div>
        <w:div w:id="30306863">
          <w:marLeft w:val="0"/>
          <w:marRight w:val="0"/>
          <w:marTop w:val="75"/>
          <w:marBottom w:val="0"/>
          <w:divBdr>
            <w:top w:val="none" w:sz="0" w:space="0" w:color="auto"/>
            <w:left w:val="none" w:sz="0" w:space="0" w:color="auto"/>
            <w:bottom w:val="none" w:sz="0" w:space="0" w:color="auto"/>
            <w:right w:val="none" w:sz="0" w:space="0" w:color="auto"/>
          </w:divBdr>
        </w:div>
        <w:div w:id="411859006">
          <w:marLeft w:val="0"/>
          <w:marRight w:val="0"/>
          <w:marTop w:val="75"/>
          <w:marBottom w:val="0"/>
          <w:divBdr>
            <w:top w:val="none" w:sz="0" w:space="0" w:color="auto"/>
            <w:left w:val="none" w:sz="0" w:space="0" w:color="auto"/>
            <w:bottom w:val="none" w:sz="0" w:space="0" w:color="auto"/>
            <w:right w:val="none" w:sz="0" w:space="0" w:color="auto"/>
          </w:divBdr>
        </w:div>
        <w:div w:id="475537888">
          <w:marLeft w:val="0"/>
          <w:marRight w:val="0"/>
          <w:marTop w:val="75"/>
          <w:marBottom w:val="0"/>
          <w:divBdr>
            <w:top w:val="none" w:sz="0" w:space="0" w:color="auto"/>
            <w:left w:val="none" w:sz="0" w:space="0" w:color="auto"/>
            <w:bottom w:val="none" w:sz="0" w:space="0" w:color="auto"/>
            <w:right w:val="none" w:sz="0" w:space="0" w:color="auto"/>
          </w:divBdr>
        </w:div>
        <w:div w:id="788470176">
          <w:marLeft w:val="0"/>
          <w:marRight w:val="0"/>
          <w:marTop w:val="75"/>
          <w:marBottom w:val="0"/>
          <w:divBdr>
            <w:top w:val="none" w:sz="0" w:space="0" w:color="auto"/>
            <w:left w:val="none" w:sz="0" w:space="0" w:color="auto"/>
            <w:bottom w:val="none" w:sz="0" w:space="0" w:color="auto"/>
            <w:right w:val="none" w:sz="0" w:space="0" w:color="auto"/>
          </w:divBdr>
        </w:div>
        <w:div w:id="811488152">
          <w:marLeft w:val="0"/>
          <w:marRight w:val="0"/>
          <w:marTop w:val="150"/>
          <w:marBottom w:val="150"/>
          <w:divBdr>
            <w:top w:val="none" w:sz="0" w:space="0" w:color="auto"/>
            <w:left w:val="none" w:sz="0" w:space="0" w:color="auto"/>
            <w:bottom w:val="none" w:sz="0" w:space="0" w:color="auto"/>
            <w:right w:val="none" w:sz="0" w:space="0" w:color="auto"/>
          </w:divBdr>
        </w:div>
        <w:div w:id="167067146">
          <w:marLeft w:val="0"/>
          <w:marRight w:val="0"/>
          <w:marTop w:val="75"/>
          <w:marBottom w:val="0"/>
          <w:divBdr>
            <w:top w:val="none" w:sz="0" w:space="0" w:color="auto"/>
            <w:left w:val="none" w:sz="0" w:space="0" w:color="auto"/>
            <w:bottom w:val="none" w:sz="0" w:space="0" w:color="auto"/>
            <w:right w:val="none" w:sz="0" w:space="0" w:color="auto"/>
          </w:divBdr>
        </w:div>
        <w:div w:id="682634243">
          <w:marLeft w:val="0"/>
          <w:marRight w:val="0"/>
          <w:marTop w:val="75"/>
          <w:marBottom w:val="0"/>
          <w:divBdr>
            <w:top w:val="none" w:sz="0" w:space="0" w:color="auto"/>
            <w:left w:val="none" w:sz="0" w:space="0" w:color="auto"/>
            <w:bottom w:val="none" w:sz="0" w:space="0" w:color="auto"/>
            <w:right w:val="none" w:sz="0" w:space="0" w:color="auto"/>
          </w:divBdr>
        </w:div>
        <w:div w:id="220144278">
          <w:marLeft w:val="0"/>
          <w:marRight w:val="0"/>
          <w:marTop w:val="75"/>
          <w:marBottom w:val="0"/>
          <w:divBdr>
            <w:top w:val="none" w:sz="0" w:space="0" w:color="auto"/>
            <w:left w:val="none" w:sz="0" w:space="0" w:color="auto"/>
            <w:bottom w:val="none" w:sz="0" w:space="0" w:color="auto"/>
            <w:right w:val="none" w:sz="0" w:space="0" w:color="auto"/>
          </w:divBdr>
        </w:div>
        <w:div w:id="1515150191">
          <w:marLeft w:val="0"/>
          <w:marRight w:val="0"/>
          <w:marTop w:val="75"/>
          <w:marBottom w:val="0"/>
          <w:divBdr>
            <w:top w:val="none" w:sz="0" w:space="0" w:color="auto"/>
            <w:left w:val="none" w:sz="0" w:space="0" w:color="auto"/>
            <w:bottom w:val="none" w:sz="0" w:space="0" w:color="auto"/>
            <w:right w:val="none" w:sz="0" w:space="0" w:color="auto"/>
          </w:divBdr>
        </w:div>
        <w:div w:id="1276908018">
          <w:marLeft w:val="0"/>
          <w:marRight w:val="0"/>
          <w:marTop w:val="75"/>
          <w:marBottom w:val="0"/>
          <w:divBdr>
            <w:top w:val="none" w:sz="0" w:space="0" w:color="auto"/>
            <w:left w:val="none" w:sz="0" w:space="0" w:color="auto"/>
            <w:bottom w:val="none" w:sz="0" w:space="0" w:color="auto"/>
            <w:right w:val="none" w:sz="0" w:space="0" w:color="auto"/>
          </w:divBdr>
        </w:div>
        <w:div w:id="1880587106">
          <w:marLeft w:val="0"/>
          <w:marRight w:val="0"/>
          <w:marTop w:val="75"/>
          <w:marBottom w:val="0"/>
          <w:divBdr>
            <w:top w:val="none" w:sz="0" w:space="0" w:color="auto"/>
            <w:left w:val="none" w:sz="0" w:space="0" w:color="auto"/>
            <w:bottom w:val="none" w:sz="0" w:space="0" w:color="auto"/>
            <w:right w:val="none" w:sz="0" w:space="0" w:color="auto"/>
          </w:divBdr>
        </w:div>
        <w:div w:id="152257434">
          <w:marLeft w:val="0"/>
          <w:marRight w:val="0"/>
          <w:marTop w:val="75"/>
          <w:marBottom w:val="0"/>
          <w:divBdr>
            <w:top w:val="none" w:sz="0" w:space="0" w:color="auto"/>
            <w:left w:val="none" w:sz="0" w:space="0" w:color="auto"/>
            <w:bottom w:val="none" w:sz="0" w:space="0" w:color="auto"/>
            <w:right w:val="none" w:sz="0" w:space="0" w:color="auto"/>
          </w:divBdr>
        </w:div>
        <w:div w:id="360939086">
          <w:marLeft w:val="0"/>
          <w:marRight w:val="0"/>
          <w:marTop w:val="75"/>
          <w:marBottom w:val="0"/>
          <w:divBdr>
            <w:top w:val="none" w:sz="0" w:space="0" w:color="auto"/>
            <w:left w:val="none" w:sz="0" w:space="0" w:color="auto"/>
            <w:bottom w:val="none" w:sz="0" w:space="0" w:color="auto"/>
            <w:right w:val="none" w:sz="0" w:space="0" w:color="auto"/>
          </w:divBdr>
        </w:div>
        <w:div w:id="365639379">
          <w:marLeft w:val="0"/>
          <w:marRight w:val="0"/>
          <w:marTop w:val="150"/>
          <w:marBottom w:val="150"/>
          <w:divBdr>
            <w:top w:val="none" w:sz="0" w:space="0" w:color="auto"/>
            <w:left w:val="none" w:sz="0" w:space="0" w:color="auto"/>
            <w:bottom w:val="none" w:sz="0" w:space="0" w:color="auto"/>
            <w:right w:val="none" w:sz="0" w:space="0" w:color="auto"/>
          </w:divBdr>
        </w:div>
        <w:div w:id="1721710540">
          <w:marLeft w:val="0"/>
          <w:marRight w:val="0"/>
          <w:marTop w:val="75"/>
          <w:marBottom w:val="0"/>
          <w:divBdr>
            <w:top w:val="none" w:sz="0" w:space="0" w:color="auto"/>
            <w:left w:val="none" w:sz="0" w:space="0" w:color="auto"/>
            <w:bottom w:val="none" w:sz="0" w:space="0" w:color="auto"/>
            <w:right w:val="none" w:sz="0" w:space="0" w:color="auto"/>
          </w:divBdr>
        </w:div>
        <w:div w:id="357194224">
          <w:marLeft w:val="0"/>
          <w:marRight w:val="0"/>
          <w:marTop w:val="75"/>
          <w:marBottom w:val="0"/>
          <w:divBdr>
            <w:top w:val="none" w:sz="0" w:space="0" w:color="auto"/>
            <w:left w:val="none" w:sz="0" w:space="0" w:color="auto"/>
            <w:bottom w:val="none" w:sz="0" w:space="0" w:color="auto"/>
            <w:right w:val="none" w:sz="0" w:space="0" w:color="auto"/>
          </w:divBdr>
        </w:div>
        <w:div w:id="2025546701">
          <w:marLeft w:val="0"/>
          <w:marRight w:val="0"/>
          <w:marTop w:val="75"/>
          <w:marBottom w:val="0"/>
          <w:divBdr>
            <w:top w:val="none" w:sz="0" w:space="0" w:color="auto"/>
            <w:left w:val="none" w:sz="0" w:space="0" w:color="auto"/>
            <w:bottom w:val="none" w:sz="0" w:space="0" w:color="auto"/>
            <w:right w:val="none" w:sz="0" w:space="0" w:color="auto"/>
          </w:divBdr>
        </w:div>
        <w:div w:id="1446194107">
          <w:marLeft w:val="0"/>
          <w:marRight w:val="0"/>
          <w:marTop w:val="75"/>
          <w:marBottom w:val="0"/>
          <w:divBdr>
            <w:top w:val="none" w:sz="0" w:space="0" w:color="auto"/>
            <w:left w:val="none" w:sz="0" w:space="0" w:color="auto"/>
            <w:bottom w:val="none" w:sz="0" w:space="0" w:color="auto"/>
            <w:right w:val="none" w:sz="0" w:space="0" w:color="auto"/>
          </w:divBdr>
        </w:div>
        <w:div w:id="935987790">
          <w:marLeft w:val="0"/>
          <w:marRight w:val="0"/>
          <w:marTop w:val="75"/>
          <w:marBottom w:val="0"/>
          <w:divBdr>
            <w:top w:val="none" w:sz="0" w:space="0" w:color="auto"/>
            <w:left w:val="none" w:sz="0" w:space="0" w:color="auto"/>
            <w:bottom w:val="none" w:sz="0" w:space="0" w:color="auto"/>
            <w:right w:val="none" w:sz="0" w:space="0" w:color="auto"/>
          </w:divBdr>
        </w:div>
        <w:div w:id="1533690628">
          <w:marLeft w:val="0"/>
          <w:marRight w:val="0"/>
          <w:marTop w:val="0"/>
          <w:marBottom w:val="0"/>
          <w:divBdr>
            <w:top w:val="none" w:sz="0" w:space="0" w:color="auto"/>
            <w:left w:val="none" w:sz="0" w:space="0" w:color="auto"/>
            <w:bottom w:val="none" w:sz="0" w:space="0" w:color="auto"/>
            <w:right w:val="none" w:sz="0" w:space="0" w:color="auto"/>
          </w:divBdr>
        </w:div>
        <w:div w:id="37051292">
          <w:marLeft w:val="0"/>
          <w:marRight w:val="0"/>
          <w:marTop w:val="0"/>
          <w:marBottom w:val="0"/>
          <w:divBdr>
            <w:top w:val="none" w:sz="0" w:space="0" w:color="auto"/>
            <w:left w:val="none" w:sz="0" w:space="0" w:color="auto"/>
            <w:bottom w:val="none" w:sz="0" w:space="0" w:color="auto"/>
            <w:right w:val="none" w:sz="0" w:space="0" w:color="auto"/>
          </w:divBdr>
        </w:div>
        <w:div w:id="355665040">
          <w:marLeft w:val="0"/>
          <w:marRight w:val="0"/>
          <w:marTop w:val="0"/>
          <w:marBottom w:val="0"/>
          <w:divBdr>
            <w:top w:val="none" w:sz="0" w:space="0" w:color="auto"/>
            <w:left w:val="none" w:sz="0" w:space="0" w:color="auto"/>
            <w:bottom w:val="none" w:sz="0" w:space="0" w:color="auto"/>
            <w:right w:val="none" w:sz="0" w:space="0" w:color="auto"/>
          </w:divBdr>
        </w:div>
        <w:div w:id="248582919">
          <w:marLeft w:val="0"/>
          <w:marRight w:val="0"/>
          <w:marTop w:val="0"/>
          <w:marBottom w:val="0"/>
          <w:divBdr>
            <w:top w:val="none" w:sz="0" w:space="0" w:color="auto"/>
            <w:left w:val="none" w:sz="0" w:space="0" w:color="auto"/>
            <w:bottom w:val="none" w:sz="0" w:space="0" w:color="auto"/>
            <w:right w:val="none" w:sz="0" w:space="0" w:color="auto"/>
          </w:divBdr>
        </w:div>
        <w:div w:id="245505567">
          <w:marLeft w:val="0"/>
          <w:marRight w:val="0"/>
          <w:marTop w:val="0"/>
          <w:marBottom w:val="0"/>
          <w:divBdr>
            <w:top w:val="none" w:sz="0" w:space="0" w:color="auto"/>
            <w:left w:val="none" w:sz="0" w:space="0" w:color="auto"/>
            <w:bottom w:val="none" w:sz="0" w:space="0" w:color="auto"/>
            <w:right w:val="none" w:sz="0" w:space="0" w:color="auto"/>
          </w:divBdr>
        </w:div>
        <w:div w:id="487290327">
          <w:marLeft w:val="0"/>
          <w:marRight w:val="0"/>
          <w:marTop w:val="0"/>
          <w:marBottom w:val="0"/>
          <w:divBdr>
            <w:top w:val="none" w:sz="0" w:space="0" w:color="auto"/>
            <w:left w:val="none" w:sz="0" w:space="0" w:color="auto"/>
            <w:bottom w:val="none" w:sz="0" w:space="0" w:color="auto"/>
            <w:right w:val="none" w:sz="0" w:space="0" w:color="auto"/>
          </w:divBdr>
        </w:div>
        <w:div w:id="1607806471">
          <w:marLeft w:val="0"/>
          <w:marRight w:val="0"/>
          <w:marTop w:val="0"/>
          <w:marBottom w:val="0"/>
          <w:divBdr>
            <w:top w:val="none" w:sz="0" w:space="0" w:color="auto"/>
            <w:left w:val="none" w:sz="0" w:space="0" w:color="auto"/>
            <w:bottom w:val="none" w:sz="0" w:space="0" w:color="auto"/>
            <w:right w:val="none" w:sz="0" w:space="0" w:color="auto"/>
          </w:divBdr>
        </w:div>
        <w:div w:id="1307586646">
          <w:marLeft w:val="0"/>
          <w:marRight w:val="0"/>
          <w:marTop w:val="0"/>
          <w:marBottom w:val="0"/>
          <w:divBdr>
            <w:top w:val="none" w:sz="0" w:space="0" w:color="auto"/>
            <w:left w:val="none" w:sz="0" w:space="0" w:color="auto"/>
            <w:bottom w:val="none" w:sz="0" w:space="0" w:color="auto"/>
            <w:right w:val="none" w:sz="0" w:space="0" w:color="auto"/>
          </w:divBdr>
        </w:div>
        <w:div w:id="1759016078">
          <w:marLeft w:val="0"/>
          <w:marRight w:val="0"/>
          <w:marTop w:val="150"/>
          <w:marBottom w:val="150"/>
          <w:divBdr>
            <w:top w:val="none" w:sz="0" w:space="0" w:color="auto"/>
            <w:left w:val="none" w:sz="0" w:space="0" w:color="auto"/>
            <w:bottom w:val="none" w:sz="0" w:space="0" w:color="auto"/>
            <w:right w:val="none" w:sz="0" w:space="0" w:color="auto"/>
          </w:divBdr>
        </w:div>
        <w:div w:id="2089839094">
          <w:marLeft w:val="0"/>
          <w:marRight w:val="0"/>
          <w:marTop w:val="0"/>
          <w:marBottom w:val="0"/>
          <w:divBdr>
            <w:top w:val="none" w:sz="0" w:space="0" w:color="auto"/>
            <w:left w:val="none" w:sz="0" w:space="0" w:color="auto"/>
            <w:bottom w:val="none" w:sz="0" w:space="0" w:color="auto"/>
            <w:right w:val="none" w:sz="0" w:space="0" w:color="auto"/>
          </w:divBdr>
        </w:div>
        <w:div w:id="616179463">
          <w:marLeft w:val="0"/>
          <w:marRight w:val="0"/>
          <w:marTop w:val="0"/>
          <w:marBottom w:val="0"/>
          <w:divBdr>
            <w:top w:val="none" w:sz="0" w:space="0" w:color="auto"/>
            <w:left w:val="none" w:sz="0" w:space="0" w:color="auto"/>
            <w:bottom w:val="none" w:sz="0" w:space="0" w:color="auto"/>
            <w:right w:val="none" w:sz="0" w:space="0" w:color="auto"/>
          </w:divBdr>
        </w:div>
        <w:div w:id="1017275851">
          <w:marLeft w:val="0"/>
          <w:marRight w:val="0"/>
          <w:marTop w:val="0"/>
          <w:marBottom w:val="0"/>
          <w:divBdr>
            <w:top w:val="none" w:sz="0" w:space="0" w:color="auto"/>
            <w:left w:val="none" w:sz="0" w:space="0" w:color="auto"/>
            <w:bottom w:val="none" w:sz="0" w:space="0" w:color="auto"/>
            <w:right w:val="none" w:sz="0" w:space="0" w:color="auto"/>
          </w:divBdr>
        </w:div>
        <w:div w:id="1350453671">
          <w:marLeft w:val="0"/>
          <w:marRight w:val="0"/>
          <w:marTop w:val="0"/>
          <w:marBottom w:val="0"/>
          <w:divBdr>
            <w:top w:val="none" w:sz="0" w:space="0" w:color="auto"/>
            <w:left w:val="none" w:sz="0" w:space="0" w:color="auto"/>
            <w:bottom w:val="none" w:sz="0" w:space="0" w:color="auto"/>
            <w:right w:val="none" w:sz="0" w:space="0" w:color="auto"/>
          </w:divBdr>
        </w:div>
        <w:div w:id="574783227">
          <w:marLeft w:val="0"/>
          <w:marRight w:val="0"/>
          <w:marTop w:val="0"/>
          <w:marBottom w:val="0"/>
          <w:divBdr>
            <w:top w:val="none" w:sz="0" w:space="0" w:color="auto"/>
            <w:left w:val="none" w:sz="0" w:space="0" w:color="auto"/>
            <w:bottom w:val="none" w:sz="0" w:space="0" w:color="auto"/>
            <w:right w:val="none" w:sz="0" w:space="0" w:color="auto"/>
          </w:divBdr>
        </w:div>
        <w:div w:id="286939238">
          <w:marLeft w:val="0"/>
          <w:marRight w:val="0"/>
          <w:marTop w:val="0"/>
          <w:marBottom w:val="0"/>
          <w:divBdr>
            <w:top w:val="none" w:sz="0" w:space="0" w:color="auto"/>
            <w:left w:val="none" w:sz="0" w:space="0" w:color="auto"/>
            <w:bottom w:val="none" w:sz="0" w:space="0" w:color="auto"/>
            <w:right w:val="none" w:sz="0" w:space="0" w:color="auto"/>
          </w:divBdr>
        </w:div>
      </w:divsChild>
    </w:div>
    <w:div w:id="1968119954">
      <w:bodyDiv w:val="1"/>
      <w:marLeft w:val="0"/>
      <w:marRight w:val="0"/>
      <w:marTop w:val="0"/>
      <w:marBottom w:val="0"/>
      <w:divBdr>
        <w:top w:val="none" w:sz="0" w:space="0" w:color="auto"/>
        <w:left w:val="none" w:sz="0" w:space="0" w:color="auto"/>
        <w:bottom w:val="none" w:sz="0" w:space="0" w:color="auto"/>
        <w:right w:val="none" w:sz="0" w:space="0" w:color="auto"/>
      </w:divBdr>
      <w:divsChild>
        <w:div w:id="1443917590">
          <w:marLeft w:val="0"/>
          <w:marRight w:val="0"/>
          <w:marTop w:val="0"/>
          <w:marBottom w:val="0"/>
          <w:divBdr>
            <w:top w:val="none" w:sz="0" w:space="0" w:color="auto"/>
            <w:left w:val="none" w:sz="0" w:space="0" w:color="auto"/>
            <w:bottom w:val="none" w:sz="0" w:space="0" w:color="auto"/>
            <w:right w:val="none" w:sz="0" w:space="0" w:color="auto"/>
          </w:divBdr>
        </w:div>
        <w:div w:id="1288587756">
          <w:marLeft w:val="0"/>
          <w:marRight w:val="0"/>
          <w:marTop w:val="0"/>
          <w:marBottom w:val="160"/>
          <w:divBdr>
            <w:top w:val="none" w:sz="0" w:space="0" w:color="auto"/>
            <w:left w:val="none" w:sz="0" w:space="0" w:color="auto"/>
            <w:bottom w:val="none" w:sz="0" w:space="0" w:color="auto"/>
            <w:right w:val="none" w:sz="0" w:space="0" w:color="auto"/>
          </w:divBdr>
        </w:div>
        <w:div w:id="2072844914">
          <w:marLeft w:val="0"/>
          <w:marRight w:val="0"/>
          <w:marTop w:val="0"/>
          <w:marBottom w:val="160"/>
          <w:divBdr>
            <w:top w:val="none" w:sz="0" w:space="0" w:color="auto"/>
            <w:left w:val="none" w:sz="0" w:space="0" w:color="auto"/>
            <w:bottom w:val="none" w:sz="0" w:space="0" w:color="auto"/>
            <w:right w:val="none" w:sz="0" w:space="0" w:color="auto"/>
          </w:divBdr>
        </w:div>
        <w:div w:id="504131983">
          <w:marLeft w:val="0"/>
          <w:marRight w:val="0"/>
          <w:marTop w:val="0"/>
          <w:marBottom w:val="160"/>
          <w:divBdr>
            <w:top w:val="none" w:sz="0" w:space="0" w:color="auto"/>
            <w:left w:val="none" w:sz="0" w:space="0" w:color="auto"/>
            <w:bottom w:val="none" w:sz="0" w:space="0" w:color="auto"/>
            <w:right w:val="none" w:sz="0" w:space="0" w:color="auto"/>
          </w:divBdr>
        </w:div>
        <w:div w:id="907810966">
          <w:marLeft w:val="0"/>
          <w:marRight w:val="0"/>
          <w:marTop w:val="0"/>
          <w:marBottom w:val="160"/>
          <w:divBdr>
            <w:top w:val="none" w:sz="0" w:space="0" w:color="auto"/>
            <w:left w:val="none" w:sz="0" w:space="0" w:color="auto"/>
            <w:bottom w:val="none" w:sz="0" w:space="0" w:color="auto"/>
            <w:right w:val="none" w:sz="0" w:space="0" w:color="auto"/>
          </w:divBdr>
        </w:div>
        <w:div w:id="908880677">
          <w:marLeft w:val="0"/>
          <w:marRight w:val="0"/>
          <w:marTop w:val="0"/>
          <w:marBottom w:val="160"/>
          <w:divBdr>
            <w:top w:val="none" w:sz="0" w:space="0" w:color="auto"/>
            <w:left w:val="none" w:sz="0" w:space="0" w:color="auto"/>
            <w:bottom w:val="none" w:sz="0" w:space="0" w:color="auto"/>
            <w:right w:val="none" w:sz="0" w:space="0" w:color="auto"/>
          </w:divBdr>
        </w:div>
        <w:div w:id="538202591">
          <w:marLeft w:val="0"/>
          <w:marRight w:val="0"/>
          <w:marTop w:val="0"/>
          <w:marBottom w:val="160"/>
          <w:divBdr>
            <w:top w:val="none" w:sz="0" w:space="0" w:color="auto"/>
            <w:left w:val="none" w:sz="0" w:space="0" w:color="auto"/>
            <w:bottom w:val="none" w:sz="0" w:space="0" w:color="auto"/>
            <w:right w:val="none" w:sz="0" w:space="0" w:color="auto"/>
          </w:divBdr>
        </w:div>
        <w:div w:id="1804233056">
          <w:marLeft w:val="0"/>
          <w:marRight w:val="0"/>
          <w:marTop w:val="0"/>
          <w:marBottom w:val="160"/>
          <w:divBdr>
            <w:top w:val="none" w:sz="0" w:space="0" w:color="auto"/>
            <w:left w:val="none" w:sz="0" w:space="0" w:color="auto"/>
            <w:bottom w:val="none" w:sz="0" w:space="0" w:color="auto"/>
            <w:right w:val="none" w:sz="0" w:space="0" w:color="auto"/>
          </w:divBdr>
        </w:div>
        <w:div w:id="632174185">
          <w:marLeft w:val="0"/>
          <w:marRight w:val="0"/>
          <w:marTop w:val="0"/>
          <w:marBottom w:val="160"/>
          <w:divBdr>
            <w:top w:val="none" w:sz="0" w:space="0" w:color="auto"/>
            <w:left w:val="none" w:sz="0" w:space="0" w:color="auto"/>
            <w:bottom w:val="none" w:sz="0" w:space="0" w:color="auto"/>
            <w:right w:val="none" w:sz="0" w:space="0" w:color="auto"/>
          </w:divBdr>
        </w:div>
        <w:div w:id="1640962836">
          <w:marLeft w:val="0"/>
          <w:marRight w:val="0"/>
          <w:marTop w:val="0"/>
          <w:marBottom w:val="160"/>
          <w:divBdr>
            <w:top w:val="none" w:sz="0" w:space="0" w:color="auto"/>
            <w:left w:val="none" w:sz="0" w:space="0" w:color="auto"/>
            <w:bottom w:val="none" w:sz="0" w:space="0" w:color="auto"/>
            <w:right w:val="none" w:sz="0" w:space="0" w:color="auto"/>
          </w:divBdr>
        </w:div>
        <w:div w:id="1410276716">
          <w:marLeft w:val="0"/>
          <w:marRight w:val="0"/>
          <w:marTop w:val="0"/>
          <w:marBottom w:val="160"/>
          <w:divBdr>
            <w:top w:val="none" w:sz="0" w:space="0" w:color="auto"/>
            <w:left w:val="none" w:sz="0" w:space="0" w:color="auto"/>
            <w:bottom w:val="none" w:sz="0" w:space="0" w:color="auto"/>
            <w:right w:val="none" w:sz="0" w:space="0" w:color="auto"/>
          </w:divBdr>
        </w:div>
        <w:div w:id="1331910415">
          <w:marLeft w:val="0"/>
          <w:marRight w:val="0"/>
          <w:marTop w:val="0"/>
          <w:marBottom w:val="160"/>
          <w:divBdr>
            <w:top w:val="none" w:sz="0" w:space="0" w:color="auto"/>
            <w:left w:val="none" w:sz="0" w:space="0" w:color="auto"/>
            <w:bottom w:val="none" w:sz="0" w:space="0" w:color="auto"/>
            <w:right w:val="none" w:sz="0" w:space="0" w:color="auto"/>
          </w:divBdr>
        </w:div>
        <w:div w:id="1881042033">
          <w:marLeft w:val="0"/>
          <w:marRight w:val="0"/>
          <w:marTop w:val="0"/>
          <w:marBottom w:val="160"/>
          <w:divBdr>
            <w:top w:val="none" w:sz="0" w:space="0" w:color="auto"/>
            <w:left w:val="none" w:sz="0" w:space="0" w:color="auto"/>
            <w:bottom w:val="none" w:sz="0" w:space="0" w:color="auto"/>
            <w:right w:val="none" w:sz="0" w:space="0" w:color="auto"/>
          </w:divBdr>
        </w:div>
        <w:div w:id="1325741585">
          <w:marLeft w:val="0"/>
          <w:marRight w:val="0"/>
          <w:marTop w:val="0"/>
          <w:marBottom w:val="160"/>
          <w:divBdr>
            <w:top w:val="none" w:sz="0" w:space="0" w:color="auto"/>
            <w:left w:val="none" w:sz="0" w:space="0" w:color="auto"/>
            <w:bottom w:val="none" w:sz="0" w:space="0" w:color="auto"/>
            <w:right w:val="none" w:sz="0" w:space="0" w:color="auto"/>
          </w:divBdr>
        </w:div>
        <w:div w:id="1069571176">
          <w:marLeft w:val="0"/>
          <w:marRight w:val="0"/>
          <w:marTop w:val="0"/>
          <w:marBottom w:val="160"/>
          <w:divBdr>
            <w:top w:val="none" w:sz="0" w:space="0" w:color="auto"/>
            <w:left w:val="none" w:sz="0" w:space="0" w:color="auto"/>
            <w:bottom w:val="none" w:sz="0" w:space="0" w:color="auto"/>
            <w:right w:val="none" w:sz="0" w:space="0" w:color="auto"/>
          </w:divBdr>
        </w:div>
        <w:div w:id="468473233">
          <w:marLeft w:val="0"/>
          <w:marRight w:val="0"/>
          <w:marTop w:val="0"/>
          <w:marBottom w:val="160"/>
          <w:divBdr>
            <w:top w:val="none" w:sz="0" w:space="0" w:color="auto"/>
            <w:left w:val="none" w:sz="0" w:space="0" w:color="auto"/>
            <w:bottom w:val="none" w:sz="0" w:space="0" w:color="auto"/>
            <w:right w:val="none" w:sz="0" w:space="0" w:color="auto"/>
          </w:divBdr>
        </w:div>
        <w:div w:id="1255819933">
          <w:marLeft w:val="0"/>
          <w:marRight w:val="0"/>
          <w:marTop w:val="0"/>
          <w:marBottom w:val="160"/>
          <w:divBdr>
            <w:top w:val="none" w:sz="0" w:space="0" w:color="auto"/>
            <w:left w:val="none" w:sz="0" w:space="0" w:color="auto"/>
            <w:bottom w:val="none" w:sz="0" w:space="0" w:color="auto"/>
            <w:right w:val="none" w:sz="0" w:space="0" w:color="auto"/>
          </w:divBdr>
        </w:div>
        <w:div w:id="2128312146">
          <w:marLeft w:val="0"/>
          <w:marRight w:val="0"/>
          <w:marTop w:val="0"/>
          <w:marBottom w:val="160"/>
          <w:divBdr>
            <w:top w:val="none" w:sz="0" w:space="0" w:color="auto"/>
            <w:left w:val="none" w:sz="0" w:space="0" w:color="auto"/>
            <w:bottom w:val="none" w:sz="0" w:space="0" w:color="auto"/>
            <w:right w:val="none" w:sz="0" w:space="0" w:color="auto"/>
          </w:divBdr>
        </w:div>
        <w:div w:id="858659170">
          <w:marLeft w:val="0"/>
          <w:marRight w:val="0"/>
          <w:marTop w:val="0"/>
          <w:marBottom w:val="160"/>
          <w:divBdr>
            <w:top w:val="none" w:sz="0" w:space="0" w:color="auto"/>
            <w:left w:val="none" w:sz="0" w:space="0" w:color="auto"/>
            <w:bottom w:val="none" w:sz="0" w:space="0" w:color="auto"/>
            <w:right w:val="none" w:sz="0" w:space="0" w:color="auto"/>
          </w:divBdr>
        </w:div>
        <w:div w:id="1522740418">
          <w:marLeft w:val="0"/>
          <w:marRight w:val="0"/>
          <w:marTop w:val="0"/>
          <w:marBottom w:val="160"/>
          <w:divBdr>
            <w:top w:val="none" w:sz="0" w:space="0" w:color="auto"/>
            <w:left w:val="none" w:sz="0" w:space="0" w:color="auto"/>
            <w:bottom w:val="none" w:sz="0" w:space="0" w:color="auto"/>
            <w:right w:val="none" w:sz="0" w:space="0" w:color="auto"/>
          </w:divBdr>
        </w:div>
        <w:div w:id="333340911">
          <w:marLeft w:val="0"/>
          <w:marRight w:val="0"/>
          <w:marTop w:val="0"/>
          <w:marBottom w:val="160"/>
          <w:divBdr>
            <w:top w:val="none" w:sz="0" w:space="0" w:color="auto"/>
            <w:left w:val="none" w:sz="0" w:space="0" w:color="auto"/>
            <w:bottom w:val="none" w:sz="0" w:space="0" w:color="auto"/>
            <w:right w:val="none" w:sz="0" w:space="0" w:color="auto"/>
          </w:divBdr>
        </w:div>
        <w:div w:id="1563522886">
          <w:marLeft w:val="0"/>
          <w:marRight w:val="0"/>
          <w:marTop w:val="0"/>
          <w:marBottom w:val="160"/>
          <w:divBdr>
            <w:top w:val="none" w:sz="0" w:space="0" w:color="auto"/>
            <w:left w:val="none" w:sz="0" w:space="0" w:color="auto"/>
            <w:bottom w:val="none" w:sz="0" w:space="0" w:color="auto"/>
            <w:right w:val="none" w:sz="0" w:space="0" w:color="auto"/>
          </w:divBdr>
        </w:div>
        <w:div w:id="1868449790">
          <w:marLeft w:val="0"/>
          <w:marRight w:val="0"/>
          <w:marTop w:val="0"/>
          <w:marBottom w:val="160"/>
          <w:divBdr>
            <w:top w:val="none" w:sz="0" w:space="0" w:color="auto"/>
            <w:left w:val="none" w:sz="0" w:space="0" w:color="auto"/>
            <w:bottom w:val="none" w:sz="0" w:space="0" w:color="auto"/>
            <w:right w:val="none" w:sz="0" w:space="0" w:color="auto"/>
          </w:divBdr>
        </w:div>
        <w:div w:id="196242735">
          <w:marLeft w:val="0"/>
          <w:marRight w:val="0"/>
          <w:marTop w:val="0"/>
          <w:marBottom w:val="160"/>
          <w:divBdr>
            <w:top w:val="none" w:sz="0" w:space="0" w:color="auto"/>
            <w:left w:val="none" w:sz="0" w:space="0" w:color="auto"/>
            <w:bottom w:val="none" w:sz="0" w:space="0" w:color="auto"/>
            <w:right w:val="none" w:sz="0" w:space="0" w:color="auto"/>
          </w:divBdr>
        </w:div>
        <w:div w:id="1356155342">
          <w:marLeft w:val="0"/>
          <w:marRight w:val="0"/>
          <w:marTop w:val="0"/>
          <w:marBottom w:val="160"/>
          <w:divBdr>
            <w:top w:val="none" w:sz="0" w:space="0" w:color="auto"/>
            <w:left w:val="none" w:sz="0" w:space="0" w:color="auto"/>
            <w:bottom w:val="none" w:sz="0" w:space="0" w:color="auto"/>
            <w:right w:val="none" w:sz="0" w:space="0" w:color="auto"/>
          </w:divBdr>
        </w:div>
        <w:div w:id="1880974903">
          <w:marLeft w:val="0"/>
          <w:marRight w:val="0"/>
          <w:marTop w:val="0"/>
          <w:marBottom w:val="160"/>
          <w:divBdr>
            <w:top w:val="none" w:sz="0" w:space="0" w:color="auto"/>
            <w:left w:val="none" w:sz="0" w:space="0" w:color="auto"/>
            <w:bottom w:val="none" w:sz="0" w:space="0" w:color="auto"/>
            <w:right w:val="none" w:sz="0" w:space="0" w:color="auto"/>
          </w:divBdr>
        </w:div>
        <w:div w:id="34430621">
          <w:marLeft w:val="0"/>
          <w:marRight w:val="0"/>
          <w:marTop w:val="0"/>
          <w:marBottom w:val="160"/>
          <w:divBdr>
            <w:top w:val="none" w:sz="0" w:space="0" w:color="auto"/>
            <w:left w:val="none" w:sz="0" w:space="0" w:color="auto"/>
            <w:bottom w:val="none" w:sz="0" w:space="0" w:color="auto"/>
            <w:right w:val="none" w:sz="0" w:space="0" w:color="auto"/>
          </w:divBdr>
        </w:div>
        <w:div w:id="1129392864">
          <w:marLeft w:val="0"/>
          <w:marRight w:val="0"/>
          <w:marTop w:val="0"/>
          <w:marBottom w:val="160"/>
          <w:divBdr>
            <w:top w:val="none" w:sz="0" w:space="0" w:color="auto"/>
            <w:left w:val="none" w:sz="0" w:space="0" w:color="auto"/>
            <w:bottom w:val="none" w:sz="0" w:space="0" w:color="auto"/>
            <w:right w:val="none" w:sz="0" w:space="0" w:color="auto"/>
          </w:divBdr>
        </w:div>
        <w:div w:id="1807702998">
          <w:marLeft w:val="0"/>
          <w:marRight w:val="0"/>
          <w:marTop w:val="0"/>
          <w:marBottom w:val="160"/>
          <w:divBdr>
            <w:top w:val="none" w:sz="0" w:space="0" w:color="auto"/>
            <w:left w:val="none" w:sz="0" w:space="0" w:color="auto"/>
            <w:bottom w:val="none" w:sz="0" w:space="0" w:color="auto"/>
            <w:right w:val="none" w:sz="0" w:space="0" w:color="auto"/>
          </w:divBdr>
        </w:div>
        <w:div w:id="1185442819">
          <w:marLeft w:val="0"/>
          <w:marRight w:val="0"/>
          <w:marTop w:val="0"/>
          <w:marBottom w:val="160"/>
          <w:divBdr>
            <w:top w:val="none" w:sz="0" w:space="0" w:color="auto"/>
            <w:left w:val="none" w:sz="0" w:space="0" w:color="auto"/>
            <w:bottom w:val="none" w:sz="0" w:space="0" w:color="auto"/>
            <w:right w:val="none" w:sz="0" w:space="0" w:color="auto"/>
          </w:divBdr>
        </w:div>
        <w:div w:id="1529223790">
          <w:marLeft w:val="0"/>
          <w:marRight w:val="0"/>
          <w:marTop w:val="0"/>
          <w:marBottom w:val="160"/>
          <w:divBdr>
            <w:top w:val="none" w:sz="0" w:space="0" w:color="auto"/>
            <w:left w:val="none" w:sz="0" w:space="0" w:color="auto"/>
            <w:bottom w:val="none" w:sz="0" w:space="0" w:color="auto"/>
            <w:right w:val="none" w:sz="0" w:space="0" w:color="auto"/>
          </w:divBdr>
        </w:div>
        <w:div w:id="31660012">
          <w:marLeft w:val="0"/>
          <w:marRight w:val="0"/>
          <w:marTop w:val="0"/>
          <w:marBottom w:val="160"/>
          <w:divBdr>
            <w:top w:val="none" w:sz="0" w:space="0" w:color="auto"/>
            <w:left w:val="none" w:sz="0" w:space="0" w:color="auto"/>
            <w:bottom w:val="none" w:sz="0" w:space="0" w:color="auto"/>
            <w:right w:val="none" w:sz="0" w:space="0" w:color="auto"/>
          </w:divBdr>
        </w:div>
        <w:div w:id="1225676386">
          <w:marLeft w:val="0"/>
          <w:marRight w:val="0"/>
          <w:marTop w:val="0"/>
          <w:marBottom w:val="160"/>
          <w:divBdr>
            <w:top w:val="none" w:sz="0" w:space="0" w:color="auto"/>
            <w:left w:val="none" w:sz="0" w:space="0" w:color="auto"/>
            <w:bottom w:val="none" w:sz="0" w:space="0" w:color="auto"/>
            <w:right w:val="none" w:sz="0" w:space="0" w:color="auto"/>
          </w:divBdr>
        </w:div>
        <w:div w:id="512648311">
          <w:marLeft w:val="0"/>
          <w:marRight w:val="0"/>
          <w:marTop w:val="0"/>
          <w:marBottom w:val="160"/>
          <w:divBdr>
            <w:top w:val="none" w:sz="0" w:space="0" w:color="auto"/>
            <w:left w:val="none" w:sz="0" w:space="0" w:color="auto"/>
            <w:bottom w:val="none" w:sz="0" w:space="0" w:color="auto"/>
            <w:right w:val="none" w:sz="0" w:space="0" w:color="auto"/>
          </w:divBdr>
        </w:div>
        <w:div w:id="1438406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research/evidence-based-policing-EBP"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10</Pages>
  <Words>4857</Words>
  <Characters>27685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Clapham, Taylor</cp:lastModifiedBy>
  <cp:revision>17</cp:revision>
  <cp:lastPrinted>2020-03-18T12:27:00Z</cp:lastPrinted>
  <dcterms:created xsi:type="dcterms:W3CDTF">2025-04-28T04:15:00Z</dcterms:created>
  <dcterms:modified xsi:type="dcterms:W3CDTF">2025-05-26T11:24:00Z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2025-04-28T04:15:05Z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4ca1fc25-e8f0-4da8-ae02-b1a4939da7fb</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