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C6656" w14:textId="77777777" w:rsidR="00E04C8C" w:rsidRDefault="00E04C8C" w:rsidP="00E04C8C">
      <w:pPr>
        <w:jc w:val="center"/>
        <w:rPr>
          <w:b/>
          <w:bCs/>
          <w:sz w:val="52"/>
          <w:szCs w:val="52"/>
        </w:rPr>
      </w:pPr>
    </w:p>
    <w:p w14:paraId="78D11393" w14:textId="77777777" w:rsidR="00E04C8C" w:rsidRDefault="00E04C8C" w:rsidP="00E04C8C">
      <w:pPr>
        <w:jc w:val="center"/>
        <w:rPr>
          <w:b/>
          <w:bCs/>
          <w:sz w:val="52"/>
          <w:szCs w:val="52"/>
        </w:rPr>
      </w:pPr>
    </w:p>
    <w:p w14:paraId="0A7EAB71" w14:textId="77777777" w:rsidR="00E04C8C" w:rsidRDefault="00E04C8C" w:rsidP="00E04C8C">
      <w:pPr>
        <w:jc w:val="center"/>
        <w:rPr>
          <w:b/>
          <w:bCs/>
          <w:sz w:val="52"/>
          <w:szCs w:val="52"/>
        </w:rPr>
      </w:pPr>
    </w:p>
    <w:p w14:paraId="0E232E5F" w14:textId="77777777" w:rsidR="008A486B" w:rsidRDefault="008A486B" w:rsidP="00E04C8C">
      <w:pPr>
        <w:jc w:val="center"/>
        <w:rPr>
          <w:b/>
          <w:bCs/>
          <w:sz w:val="52"/>
          <w:szCs w:val="52"/>
        </w:rPr>
      </w:pPr>
    </w:p>
    <w:p w14:paraId="34C625A2" w14:textId="77777777" w:rsidR="00E04C8C" w:rsidRDefault="00E04C8C" w:rsidP="00E04C8C">
      <w:pPr>
        <w:jc w:val="center"/>
        <w:rPr>
          <w:b/>
          <w:bCs/>
          <w:sz w:val="52"/>
          <w:szCs w:val="52"/>
        </w:rPr>
      </w:pPr>
    </w:p>
    <w:p w14:paraId="4E61E3CF" w14:textId="77777777" w:rsidR="00E04C8C" w:rsidRDefault="00E04C8C" w:rsidP="00E04C8C">
      <w:pPr>
        <w:jc w:val="center"/>
        <w:rPr>
          <w:b/>
          <w:bCs/>
          <w:sz w:val="52"/>
          <w:szCs w:val="52"/>
        </w:rPr>
      </w:pPr>
    </w:p>
    <w:p w14:paraId="0B12DAD1" w14:textId="77777777" w:rsidR="00FF1847" w:rsidRDefault="00E04C8C" w:rsidP="00FF1847">
      <w:pPr>
        <w:jc w:val="center"/>
        <w:rPr>
          <w:b/>
          <w:bCs/>
          <w:sz w:val="36"/>
          <w:szCs w:val="36"/>
        </w:rPr>
      </w:pPr>
      <w:r w:rsidRPr="00E04C8C">
        <w:rPr>
          <w:b/>
          <w:bCs/>
          <w:sz w:val="52"/>
          <w:szCs w:val="52"/>
        </w:rPr>
        <w:t>Academic Assignment</w:t>
      </w:r>
    </w:p>
    <w:p w14:paraId="6D6134DA" w14:textId="77777777" w:rsidR="00FF1847" w:rsidRPr="00FF1847" w:rsidRDefault="00FF1847" w:rsidP="00FF1847">
      <w:pPr>
        <w:jc w:val="center"/>
        <w:rPr>
          <w:b/>
          <w:bCs/>
          <w:sz w:val="36"/>
          <w:szCs w:val="36"/>
        </w:rPr>
      </w:pPr>
      <w:r w:rsidRPr="00FF1847">
        <w:rPr>
          <w:b/>
          <w:bCs/>
          <w:sz w:val="36"/>
          <w:szCs w:val="36"/>
        </w:rPr>
        <w:t>Graduate Diploma Professional Police Practice</w:t>
      </w:r>
    </w:p>
    <w:p w14:paraId="1D0E8ABD" w14:textId="5F765A29" w:rsidR="00FF1847" w:rsidRDefault="00E04C8C" w:rsidP="00FF1847">
      <w:pPr>
        <w:jc w:val="center"/>
        <w:rPr>
          <w:sz w:val="36"/>
          <w:szCs w:val="36"/>
        </w:rPr>
      </w:pPr>
      <w:r w:rsidRPr="00FF1847">
        <w:rPr>
          <w:sz w:val="36"/>
          <w:szCs w:val="36"/>
        </w:rPr>
        <w:t xml:space="preserve">Operational Policing Practice </w:t>
      </w:r>
      <w:r w:rsidR="00AF59CC">
        <w:rPr>
          <w:sz w:val="36"/>
          <w:szCs w:val="36"/>
        </w:rPr>
        <w:t>4</w:t>
      </w:r>
      <w:r w:rsidRPr="00FF1847">
        <w:rPr>
          <w:sz w:val="36"/>
          <w:szCs w:val="36"/>
        </w:rPr>
        <w:t xml:space="preserve"> - BMP</w:t>
      </w:r>
      <w:r w:rsidR="00AF59CC">
        <w:rPr>
          <w:sz w:val="36"/>
          <w:szCs w:val="36"/>
        </w:rPr>
        <w:t>P</w:t>
      </w:r>
      <w:r w:rsidRPr="00FF1847">
        <w:rPr>
          <w:sz w:val="36"/>
          <w:szCs w:val="36"/>
        </w:rPr>
        <w:t>6005D</w:t>
      </w:r>
    </w:p>
    <w:p w14:paraId="7A1E21B7" w14:textId="77777777" w:rsidR="00FF1847" w:rsidRPr="00FF1847" w:rsidRDefault="00FF1847" w:rsidP="00FF1847">
      <w:pPr>
        <w:jc w:val="center"/>
        <w:rPr>
          <w:sz w:val="36"/>
          <w:szCs w:val="36"/>
        </w:rPr>
      </w:pPr>
    </w:p>
    <w:p w14:paraId="3768231C" w14:textId="77777777" w:rsidR="00665F3E" w:rsidRDefault="00FF1847" w:rsidP="00E04C8C">
      <w:pPr>
        <w:jc w:val="center"/>
        <w:rPr>
          <w:b/>
          <w:bCs/>
          <w:sz w:val="36"/>
          <w:szCs w:val="36"/>
        </w:rPr>
      </w:pPr>
      <w:r>
        <w:rPr>
          <w:b/>
          <w:bCs/>
          <w:sz w:val="36"/>
          <w:szCs w:val="36"/>
        </w:rPr>
        <w:t>Student</w:t>
      </w:r>
      <w:r w:rsidR="00665F3E">
        <w:rPr>
          <w:b/>
          <w:bCs/>
          <w:sz w:val="36"/>
          <w:szCs w:val="36"/>
        </w:rPr>
        <w:t xml:space="preserve"> Name</w:t>
      </w:r>
      <w:r>
        <w:rPr>
          <w:b/>
          <w:bCs/>
          <w:sz w:val="36"/>
          <w:szCs w:val="36"/>
        </w:rPr>
        <w:t xml:space="preserve">: </w:t>
      </w:r>
      <w:r w:rsidR="00E04C8C" w:rsidRPr="00665F3E">
        <w:rPr>
          <w:sz w:val="36"/>
          <w:szCs w:val="36"/>
        </w:rPr>
        <w:t xml:space="preserve">Lewis Clarke </w:t>
      </w:r>
    </w:p>
    <w:p w14:paraId="6846C15A" w14:textId="083B8DAB" w:rsidR="00E04C8C" w:rsidRPr="00665F3E" w:rsidRDefault="00665F3E" w:rsidP="00665F3E">
      <w:pPr>
        <w:jc w:val="center"/>
        <w:rPr>
          <w:b/>
          <w:bCs/>
          <w:sz w:val="36"/>
          <w:szCs w:val="36"/>
        </w:rPr>
      </w:pPr>
      <w:r>
        <w:rPr>
          <w:b/>
          <w:bCs/>
          <w:sz w:val="36"/>
          <w:szCs w:val="36"/>
        </w:rPr>
        <w:t xml:space="preserve">Student Number: </w:t>
      </w:r>
      <w:r w:rsidR="00E04C8C" w:rsidRPr="00665F3E">
        <w:rPr>
          <w:sz w:val="36"/>
          <w:szCs w:val="36"/>
        </w:rPr>
        <w:t>2222277</w:t>
      </w:r>
      <w:r w:rsidR="00E04C8C">
        <w:br w:type="page"/>
      </w:r>
    </w:p>
    <w:p w14:paraId="6CED0040" w14:textId="1D8588EC" w:rsidR="00E04C8C" w:rsidRPr="00E04C8C" w:rsidRDefault="00E04C8C" w:rsidP="00E04C8C">
      <w:pPr>
        <w:jc w:val="center"/>
        <w:rPr>
          <w:b/>
          <w:bCs/>
          <w:sz w:val="36"/>
          <w:szCs w:val="36"/>
        </w:rPr>
      </w:pPr>
      <w:r w:rsidRPr="00E04C8C">
        <w:rPr>
          <w:b/>
          <w:bCs/>
          <w:sz w:val="36"/>
          <w:szCs w:val="36"/>
        </w:rPr>
        <w:lastRenderedPageBreak/>
        <w:t>Essay 1</w:t>
      </w:r>
    </w:p>
    <w:p w14:paraId="65396652" w14:textId="1A291EFB" w:rsidR="00E04C8C" w:rsidRPr="00E04C8C" w:rsidRDefault="00E04C8C">
      <w:pPr>
        <w:rPr>
          <w:b/>
          <w:bCs/>
          <w:sz w:val="28"/>
          <w:szCs w:val="28"/>
          <w:u w:val="single"/>
        </w:rPr>
      </w:pPr>
      <w:r w:rsidRPr="00E04C8C">
        <w:rPr>
          <w:b/>
          <w:bCs/>
          <w:sz w:val="28"/>
          <w:szCs w:val="28"/>
          <w:u w:val="single"/>
        </w:rPr>
        <w:t>Question</w:t>
      </w:r>
    </w:p>
    <w:p w14:paraId="7E7DAF5D" w14:textId="77777777" w:rsidR="00B0367F" w:rsidRPr="00B0367F" w:rsidRDefault="00B0367F" w:rsidP="00B0367F">
      <w:pPr>
        <w:rPr>
          <w:i/>
          <w:iCs/>
        </w:rPr>
      </w:pPr>
      <w:bookmarkStart w:id="0" w:name="_Hlk167704354"/>
      <w:r w:rsidRPr="00B0367F">
        <w:rPr>
          <w:i/>
          <w:iCs/>
        </w:rPr>
        <w:t>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w:t>
      </w:r>
    </w:p>
    <w:p w14:paraId="3DA74CF4" w14:textId="36BD7979" w:rsidR="00E04C8C" w:rsidRPr="00B0367F" w:rsidRDefault="00B0367F" w:rsidP="00B0367F">
      <w:pPr>
        <w:rPr>
          <w:i/>
          <w:iCs/>
        </w:rPr>
      </w:pPr>
      <w:r w:rsidRPr="00B0367F">
        <w:rPr>
          <w:i/>
          <w:iCs/>
        </w:rPr>
        <w:t>Your answer must be based on academic research rather than personal experience.</w:t>
      </w:r>
    </w:p>
    <w:p w14:paraId="252AC464" w14:textId="26E29430" w:rsidR="00E04C8C" w:rsidRPr="00E04C8C" w:rsidRDefault="00E04C8C">
      <w:pPr>
        <w:rPr>
          <w:b/>
          <w:bCs/>
          <w:sz w:val="28"/>
          <w:szCs w:val="28"/>
          <w:u w:val="single"/>
        </w:rPr>
      </w:pPr>
      <w:r w:rsidRPr="00E04C8C">
        <w:rPr>
          <w:b/>
          <w:bCs/>
          <w:sz w:val="28"/>
          <w:szCs w:val="28"/>
          <w:u w:val="single"/>
        </w:rPr>
        <w:t>Answer</w:t>
      </w:r>
    </w:p>
    <w:p w14:paraId="05D2D1DC" w14:textId="783E997A" w:rsidR="00546084" w:rsidRDefault="009A4CF1" w:rsidP="00B0367F">
      <w:pPr>
        <w:pStyle w:val="Answer"/>
      </w:pPr>
      <w:r>
        <w:t>Public trust in policing is a crucial cornerstone in effective and efficient law enforcement</w:t>
      </w:r>
      <w:r w:rsidR="00FA178D">
        <w:t xml:space="preserve">; </w:t>
      </w:r>
      <w:r>
        <w:t>BMG Research (201</w:t>
      </w:r>
      <w:r w:rsidR="00546084">
        <w:t>9</w:t>
      </w:r>
      <w:r>
        <w:t xml:space="preserve">) found that those individuals who do not believe the police treat the public fairly and with respect were substantially less likely to report crimes. </w:t>
      </w:r>
      <w:r w:rsidR="00FA178D">
        <w:t>Identifying</w:t>
      </w:r>
      <w:r w:rsidR="00546084">
        <w:t xml:space="preserve"> a clear failure in </w:t>
      </w:r>
      <w:r w:rsidR="00FA178D">
        <w:t>a main</w:t>
      </w:r>
      <w:r w:rsidR="00546084">
        <w:t xml:space="preserve"> objective of the police service; to bring offenders to justice, as without victims and witnesses the criminal justice system is unable to operate effectively (Rossetti et al., 2010). This essay examines the effectiveness of various measures that are in place to ensure that police officers act with integrity and treat the public fairly and with respect. </w:t>
      </w:r>
    </w:p>
    <w:p w14:paraId="26C538DA" w14:textId="77777777" w:rsidR="00546084" w:rsidRPr="00546084" w:rsidRDefault="00546084" w:rsidP="00B0367F">
      <w:pPr>
        <w:pStyle w:val="Answer"/>
        <w:rPr>
          <w:b/>
          <w:bCs/>
        </w:rPr>
      </w:pPr>
      <w:r w:rsidRPr="00546084">
        <w:rPr>
          <w:b/>
          <w:bCs/>
        </w:rPr>
        <w:t xml:space="preserve">Historical Context and the Importance of Police Integrity </w:t>
      </w:r>
    </w:p>
    <w:p w14:paraId="2C06C04A" w14:textId="1CD297C2" w:rsidR="000C7486" w:rsidRDefault="000C7486" w:rsidP="00B0367F">
      <w:pPr>
        <w:pStyle w:val="Answer"/>
      </w:pPr>
      <w:r>
        <w:t xml:space="preserve">‘Policing by consent’ is a concept that </w:t>
      </w:r>
      <w:r w:rsidR="00B60991">
        <w:t xml:space="preserve">underpins policing in the UK and </w:t>
      </w:r>
      <w:r w:rsidR="00FA178D">
        <w:t>dates to</w:t>
      </w:r>
      <w:r>
        <w:t xml:space="preserve"> the formation of the very first modern-day police force in 1829. As asserted to by Tudor (2023) on behalf of the House of Lords; for policing by consent to be effective, the police require the trust and confidence of the public.</w:t>
      </w:r>
    </w:p>
    <w:p w14:paraId="24F67DFC" w14:textId="5614B9E7" w:rsidR="00E929A8" w:rsidRDefault="005F01B1" w:rsidP="00B0367F">
      <w:pPr>
        <w:pStyle w:val="Answer"/>
      </w:pPr>
      <w:r>
        <w:t xml:space="preserve">The relationship between the public and the police in the United Kingdom has evolved significantly over the last few decades. </w:t>
      </w:r>
      <w:r w:rsidR="00DB7389">
        <w:t>E</w:t>
      </w:r>
      <w:r>
        <w:t>vents such as the Brixton Riots in the 1980s, the Stephen Laurence case in the 1990s, and most recently the Sarah Everard murder by a serving Metropolitan Police Officer in 2021 have all profoundly impacted public trust in the police across the country</w:t>
      </w:r>
      <w:r w:rsidR="00317630">
        <w:t xml:space="preserve"> and highlighted various systemic issues within the police service</w:t>
      </w:r>
      <w:r>
        <w:t xml:space="preserve">. </w:t>
      </w:r>
      <w:r w:rsidR="00317630">
        <w:t xml:space="preserve">The government have recognised that incidents such as these have directly led to a loss of public trust and confidence in the police (Tudor, 2023). Brown and Hobbs (2023) found that in the five years between 2017 and 2022 the number of people who thought the police were doing a “good” or “excellent” job fell by 10% and the overall confidence in policing fell by 9%. </w:t>
      </w:r>
    </w:p>
    <w:p w14:paraId="0B5EA80B" w14:textId="77777777" w:rsidR="00E929A8" w:rsidRPr="00E929A8" w:rsidRDefault="00E929A8" w:rsidP="00B0367F">
      <w:pPr>
        <w:pStyle w:val="Answer"/>
        <w:rPr>
          <w:b/>
          <w:bCs/>
        </w:rPr>
      </w:pPr>
      <w:r w:rsidRPr="00E929A8">
        <w:rPr>
          <w:b/>
          <w:bCs/>
        </w:rPr>
        <w:t>Legal and Policy Framework</w:t>
      </w:r>
    </w:p>
    <w:p w14:paraId="21B588AF" w14:textId="0E4FA2FD" w:rsidR="00E06657" w:rsidRDefault="000766C2" w:rsidP="00B0367F">
      <w:pPr>
        <w:pStyle w:val="Answer"/>
      </w:pPr>
      <w:r>
        <w:t>There is a comprehensive legal and policy framework that is designed to promote integrity of the police</w:t>
      </w:r>
      <w:r w:rsidR="007B06CE">
        <w:t xml:space="preserve"> in the UK</w:t>
      </w:r>
      <w:r>
        <w:t xml:space="preserve"> and </w:t>
      </w:r>
      <w:r w:rsidR="007B06CE">
        <w:t xml:space="preserve">hold those individuals accountable who act in such a way that is incompatible with the values of policing. The Police Act 1996, </w:t>
      </w:r>
      <w:r w:rsidR="00983845">
        <w:t xml:space="preserve">the Police Reform Act 2002, the Police (Conduct) and (Complaints and Misconduct) Regulations 2020 along with the most recent addition, the Policing and Crime Act 2017 provide the statutory basis under which </w:t>
      </w:r>
      <w:r w:rsidR="00983845">
        <w:lastRenderedPageBreak/>
        <w:t xml:space="preserve">police conduct and the process for reprimand is set out. </w:t>
      </w:r>
      <w:r w:rsidR="00E06657">
        <w:t xml:space="preserve">The College of Policing’s Code of Ethics, most recently updated in 2024, outlines the principles and standards of professional behaviour expected of officers and staff, emphasising the overarching principles of courage, respect and empathy, and public service </w:t>
      </w:r>
      <w:r w:rsidR="00E06657" w:rsidRPr="00E06657">
        <w:t>(College of Policing, 2024a)</w:t>
      </w:r>
      <w:r w:rsidR="00E06657">
        <w:t xml:space="preserve">. </w:t>
      </w:r>
      <w:r w:rsidR="00857B77">
        <w:t>Furthermore, the Professional Standard Departments (PSDs) of each Police force and the Independent Office for Police Conduct (IOPC) play a critical role in overseeing police conduct and ensuring accountability.</w:t>
      </w:r>
    </w:p>
    <w:p w14:paraId="3C1160A0" w14:textId="61943108" w:rsidR="00857B77" w:rsidRDefault="00FA178D" w:rsidP="00B0367F">
      <w:pPr>
        <w:pStyle w:val="Answer"/>
      </w:pPr>
      <w:r>
        <w:t>Despite</w:t>
      </w:r>
      <w:r w:rsidR="00857B77">
        <w:t xml:space="preserve"> a very comprehensive legislative and policy-based framework, some of this legislation is very complicated and rules and regulations can become somewhat obfuscated in many revisions over the decades. The clearest and by far most taught aspect of these frameworks is the Code of Ethics. It sets out clear expectations on officers that are simplified into three primary pillars. Despite this, research </w:t>
      </w:r>
      <w:r w:rsidR="00D43851">
        <w:t xml:space="preserve">by </w:t>
      </w:r>
      <w:proofErr w:type="spellStart"/>
      <w:r w:rsidR="00710D54">
        <w:t>Westmarland</w:t>
      </w:r>
      <w:proofErr w:type="spellEnd"/>
      <w:r w:rsidR="00710D54">
        <w:t xml:space="preserve"> and Rowe (2016)</w:t>
      </w:r>
      <w:r w:rsidR="00D43851">
        <w:t xml:space="preserve"> asserts that the extent to which this code is internalised by officers against their existing and long-standing police cultural beliefs can drastically impact the application of it. Further research is required to ascertain how the attitudes of officers and extent of their implementation of the new Code of Ethics have changed with the introduction of the 2024 code. </w:t>
      </w:r>
    </w:p>
    <w:p w14:paraId="56E1B72B" w14:textId="77777777" w:rsidR="007163A0" w:rsidRPr="007163A0" w:rsidRDefault="007163A0" w:rsidP="00B0367F">
      <w:pPr>
        <w:pStyle w:val="Answer"/>
        <w:rPr>
          <w:b/>
          <w:bCs/>
        </w:rPr>
      </w:pPr>
      <w:r w:rsidRPr="007163A0">
        <w:rPr>
          <w:b/>
          <w:bCs/>
        </w:rPr>
        <w:t>Training &amp; Education</w:t>
      </w:r>
    </w:p>
    <w:p w14:paraId="337F4411" w14:textId="59C2461C" w:rsidR="007163A0" w:rsidRDefault="00710D54" w:rsidP="00B0367F">
      <w:pPr>
        <w:pStyle w:val="Answer"/>
      </w:pPr>
      <w:r>
        <w:t xml:space="preserve">Appropriate training and education are vital to ensure that police officers are aware of the standards incumbent on them and </w:t>
      </w:r>
      <w:r w:rsidR="00E52990">
        <w:t>how</w:t>
      </w:r>
      <w:r>
        <w:t xml:space="preserve"> they uphold integrity and treat the public fairly and with respect. </w:t>
      </w:r>
      <w:r w:rsidR="001652AF">
        <w:t>Initial police learning in the UK includes lessons on police ethics, human rights, and community engagement which aim to instil a comprehensive understanding of ethical behaviour and decision-making as a police officer (Williams, 2021).</w:t>
      </w:r>
    </w:p>
    <w:p w14:paraId="60B15C7E" w14:textId="0921F4E9" w:rsidR="001652AF" w:rsidRDefault="008B694D" w:rsidP="00B0367F">
      <w:pPr>
        <w:pStyle w:val="Answer"/>
      </w:pPr>
      <w:r>
        <w:t xml:space="preserve">Research has shown that well-designed training programmes can greatly improve the ethical awareness, conduct, and behaviour of police officers. For example, research by Garner (2005) showed that police training has the </w:t>
      </w:r>
      <w:r w:rsidR="00721BA9">
        <w:t xml:space="preserve">capability of effecting positive attitudinal and behavioural change if designed and delivered well.  It has however been suggested in the research by Williams (2021) that such a positive effect as demonstrated by the research of Garner (2005) is observed in UK initial police training. Williams (2021) claims that the training around ethics did not </w:t>
      </w:r>
      <w:proofErr w:type="gramStart"/>
      <w:r w:rsidR="00721BA9">
        <w:t>effect</w:t>
      </w:r>
      <w:proofErr w:type="gramEnd"/>
      <w:r w:rsidR="00721BA9">
        <w:t xml:space="preserve"> how ethical subsequent decision-making was and that the knowledge of the Code of Ethics by some new officers is limited and sometimes non-existent. This identifies a real opportunity for development in police training, and with effective updates to the curriculum and delivery, there may be a real improvement in the knowledge and application of the code of ethics by officers.</w:t>
      </w:r>
    </w:p>
    <w:p w14:paraId="23DCAEB5" w14:textId="77777777" w:rsidR="007163A0" w:rsidRPr="007163A0" w:rsidRDefault="007163A0" w:rsidP="00B0367F">
      <w:pPr>
        <w:pStyle w:val="Answer"/>
        <w:rPr>
          <w:b/>
          <w:bCs/>
        </w:rPr>
      </w:pPr>
      <w:r w:rsidRPr="007163A0">
        <w:rPr>
          <w:b/>
          <w:bCs/>
        </w:rPr>
        <w:t>Community Policing &amp; Public Interactions</w:t>
      </w:r>
    </w:p>
    <w:p w14:paraId="6F4E09D0" w14:textId="1DA93702" w:rsidR="007163A0" w:rsidRDefault="008A486B" w:rsidP="00B0367F">
      <w:pPr>
        <w:pStyle w:val="Answer"/>
      </w:pPr>
      <w:r>
        <w:t>Community</w:t>
      </w:r>
      <w:r w:rsidR="005B53A3">
        <w:t>-</w:t>
      </w:r>
      <w:r>
        <w:t>based policing is a vital part of</w:t>
      </w:r>
      <w:r w:rsidR="00E1540C">
        <w:t xml:space="preserve"> retaining the trust and confidence of the public (Merry et al., 2012). Such an approach in the UK is often centred around </w:t>
      </w:r>
      <w:r w:rsidR="00E1540C">
        <w:t xml:space="preserve">community </w:t>
      </w:r>
      <w:r w:rsidR="00E1540C">
        <w:lastRenderedPageBreak/>
        <w:t>engagement</w:t>
      </w:r>
      <w:r w:rsidR="00E1540C">
        <w:t xml:space="preserve">, foot patrols, and problem-solving; all of which have been shown to have a positive impact on public confidence and their perception of the police (Casey, 2008; Brogden and </w:t>
      </w:r>
      <w:proofErr w:type="spellStart"/>
      <w:r w:rsidR="00E1540C">
        <w:t>Nijhar</w:t>
      </w:r>
      <w:proofErr w:type="spellEnd"/>
      <w:r w:rsidR="00E1540C">
        <w:t>, 2005, p.2).</w:t>
      </w:r>
    </w:p>
    <w:p w14:paraId="51FA2150" w14:textId="6A4F6FD4" w:rsidR="00FB0AF9" w:rsidRDefault="00FB0AF9" w:rsidP="00B0367F">
      <w:pPr>
        <w:pStyle w:val="Answer"/>
      </w:pPr>
      <w:r>
        <w:t>It is well document</w:t>
      </w:r>
      <w:r w:rsidR="005B53A3">
        <w:t>ed</w:t>
      </w:r>
      <w:r>
        <w:t xml:space="preserve"> that without the support of the public, the police are substantially hindered in their ability to function. This is where the importance of </w:t>
      </w:r>
      <w:r w:rsidR="005B53A3">
        <w:t>community-based</w:t>
      </w:r>
      <w:r>
        <w:t xml:space="preserve"> policing and positive public interactions are vital in </w:t>
      </w:r>
      <w:r w:rsidR="005B53A3">
        <w:t xml:space="preserve">restoring trust and confidence in the police (Quinton, 2015). To do this, it is suggested that the principles of procedural justice should be followed more in interactions between the public and the police (Brown and Hobbs, 2023). Despite this, the research by Quinton (2015) comments that relatively little is known about to support officers in acting in more procedurally just ways. </w:t>
      </w:r>
    </w:p>
    <w:bookmarkEnd w:id="0"/>
    <w:p w14:paraId="0770DC03" w14:textId="77777777" w:rsidR="00721BA9" w:rsidRDefault="007163A0" w:rsidP="00B0367F">
      <w:pPr>
        <w:pStyle w:val="Answer"/>
        <w:rPr>
          <w:b/>
          <w:bCs/>
        </w:rPr>
      </w:pPr>
      <w:r w:rsidRPr="007163A0">
        <w:rPr>
          <w:b/>
          <w:bCs/>
        </w:rPr>
        <w:t>Conclusion</w:t>
      </w:r>
    </w:p>
    <w:p w14:paraId="0BF884E8" w14:textId="4DA7DAB6" w:rsidR="005B53A3" w:rsidRPr="005B53A3" w:rsidRDefault="005B53A3" w:rsidP="00B0367F">
      <w:pPr>
        <w:pStyle w:val="Answer"/>
      </w:pPr>
      <w:r w:rsidRPr="005B53A3">
        <w:t xml:space="preserve">From the discussion in this essay, the research appears to suggest that the effectiveness of measures in place to ensure police officers act with integrity and treat the public fairly and with respect is mixed. </w:t>
      </w:r>
      <w:r>
        <w:t xml:space="preserve">Despite a comprehensive legal </w:t>
      </w:r>
      <w:r w:rsidR="00FA178D">
        <w:t xml:space="preserve">and policy </w:t>
      </w:r>
      <w:r>
        <w:t xml:space="preserve">framework </w:t>
      </w:r>
      <w:r w:rsidR="00FA178D">
        <w:t>upholding the standards required of officers, challenges remain in the understanding of these statutory requirements by officers and thus are not always put into practice. Training programmes show potential for having a positive effect on officers’ interactions with the public and ethical decision making, the evidence suggests that current training programmes do not replicate this potential. From the literature and evidence that has been reviewed as part of this essay, policing will benefit from further research and reforms to bridge the gaps between academic research and operational implementation.</w:t>
      </w:r>
    </w:p>
    <w:p w14:paraId="29C2495F" w14:textId="0FD3A52D" w:rsidR="00E04C8C" w:rsidRPr="005B53A3" w:rsidRDefault="00AA60B7" w:rsidP="00B0367F">
      <w:pPr>
        <w:pStyle w:val="Answer"/>
      </w:pPr>
      <w:r w:rsidRPr="006A7266">
        <w:rPr>
          <w:b/>
          <w:bCs/>
          <w:i/>
          <w:iCs/>
          <w:sz w:val="28"/>
          <w:szCs w:val="24"/>
          <w:u w:val="single"/>
        </w:rPr>
        <w:t>Word Count - 1</w:t>
      </w:r>
      <w:r>
        <w:rPr>
          <w:b/>
          <w:bCs/>
          <w:i/>
          <w:iCs/>
          <w:sz w:val="28"/>
          <w:szCs w:val="24"/>
          <w:u w:val="single"/>
        </w:rPr>
        <w:t>100</w:t>
      </w:r>
      <w:r w:rsidR="00E04C8C" w:rsidRPr="005B53A3">
        <w:br w:type="page"/>
      </w:r>
    </w:p>
    <w:p w14:paraId="7E486FA8" w14:textId="775DD2A7" w:rsidR="00E04C8C" w:rsidRPr="00E04C8C" w:rsidRDefault="00E04C8C" w:rsidP="00E04C8C">
      <w:pPr>
        <w:jc w:val="center"/>
        <w:rPr>
          <w:b/>
          <w:bCs/>
          <w:sz w:val="36"/>
          <w:szCs w:val="36"/>
        </w:rPr>
      </w:pPr>
      <w:r w:rsidRPr="00E04C8C">
        <w:rPr>
          <w:b/>
          <w:bCs/>
          <w:sz w:val="36"/>
          <w:szCs w:val="36"/>
        </w:rPr>
        <w:lastRenderedPageBreak/>
        <w:t xml:space="preserve">Essay </w:t>
      </w:r>
      <w:r>
        <w:rPr>
          <w:b/>
          <w:bCs/>
          <w:sz w:val="36"/>
          <w:szCs w:val="36"/>
        </w:rPr>
        <w:t>2</w:t>
      </w:r>
    </w:p>
    <w:p w14:paraId="3BF07F43" w14:textId="77777777" w:rsidR="00E04C8C" w:rsidRPr="00E04C8C" w:rsidRDefault="00E04C8C" w:rsidP="00E04C8C">
      <w:pPr>
        <w:rPr>
          <w:b/>
          <w:bCs/>
          <w:sz w:val="28"/>
          <w:szCs w:val="28"/>
          <w:u w:val="single"/>
        </w:rPr>
      </w:pPr>
      <w:r w:rsidRPr="00E04C8C">
        <w:rPr>
          <w:b/>
          <w:bCs/>
          <w:sz w:val="28"/>
          <w:szCs w:val="28"/>
          <w:u w:val="single"/>
        </w:rPr>
        <w:t>Question</w:t>
      </w:r>
    </w:p>
    <w:p w14:paraId="10384000" w14:textId="77777777" w:rsidR="004F3602" w:rsidRPr="00423677" w:rsidRDefault="004F3602" w:rsidP="004F3602">
      <w:pPr>
        <w:rPr>
          <w:i/>
          <w:iCs/>
        </w:rPr>
      </w:pPr>
      <w:r w:rsidRPr="00423677">
        <w:rPr>
          <w:i/>
          <w:iCs/>
        </w:rPr>
        <w:t>How effective are cognitive interviews as a means of obtaining initial accounts from victims and witnesses?</w:t>
      </w:r>
    </w:p>
    <w:p w14:paraId="17755094" w14:textId="77777777" w:rsidR="004F3602" w:rsidRPr="00423677" w:rsidRDefault="004F3602" w:rsidP="004F3602">
      <w:pPr>
        <w:rPr>
          <w:i/>
          <w:iCs/>
        </w:rPr>
      </w:pPr>
      <w:r w:rsidRPr="00423677">
        <w:rPr>
          <w:i/>
          <w:iCs/>
        </w:rPr>
        <w:t>Your answer must be based on academic research.</w:t>
      </w:r>
    </w:p>
    <w:p w14:paraId="338BE726" w14:textId="77777777" w:rsidR="00E04C8C" w:rsidRPr="00E04C8C" w:rsidRDefault="00E04C8C" w:rsidP="00E04C8C">
      <w:pPr>
        <w:rPr>
          <w:b/>
          <w:bCs/>
          <w:sz w:val="28"/>
          <w:szCs w:val="28"/>
          <w:u w:val="single"/>
        </w:rPr>
      </w:pPr>
      <w:r w:rsidRPr="00E04C8C">
        <w:rPr>
          <w:b/>
          <w:bCs/>
          <w:sz w:val="28"/>
          <w:szCs w:val="28"/>
          <w:u w:val="single"/>
        </w:rPr>
        <w:t>Answer</w:t>
      </w:r>
    </w:p>
    <w:p w14:paraId="6499D7CE" w14:textId="6426EA84" w:rsidR="003A7A61" w:rsidRDefault="009869CC" w:rsidP="009869CC">
      <w:pPr>
        <w:pStyle w:val="Answer"/>
      </w:pPr>
      <w:r>
        <w:t xml:space="preserve">The cognitive interview (CI) is a method of interviewing victims </w:t>
      </w:r>
      <w:r w:rsidR="00114925">
        <w:t xml:space="preserve">and witnesses (hereon referred to simply as witnesses) </w:t>
      </w:r>
      <w:r>
        <w:t xml:space="preserve">of crime that was developed to improve the retrieval of information about a specific event. </w:t>
      </w:r>
      <w:r w:rsidR="003A7A61" w:rsidRPr="003A7A61">
        <w:t xml:space="preserve">Geiselman et al. (1985) </w:t>
      </w:r>
      <w:r w:rsidR="003A7A61">
        <w:t xml:space="preserve">developed this technique as an alternative to the standard interview, </w:t>
      </w:r>
      <w:proofErr w:type="gramStart"/>
      <w:r w:rsidR="003A7A61">
        <w:t>taking into account</w:t>
      </w:r>
      <w:proofErr w:type="gramEnd"/>
      <w:r w:rsidR="003A7A61">
        <w:t xml:space="preserve"> various psychological principles to aid in the improvement of memory recall</w:t>
      </w:r>
      <w:r w:rsidR="00BD754F">
        <w:t xml:space="preserve"> </w:t>
      </w:r>
      <w:r w:rsidR="00BD754F" w:rsidRPr="00BD754F">
        <w:t>(</w:t>
      </w:r>
      <w:proofErr w:type="spellStart"/>
      <w:r w:rsidR="00BD754F" w:rsidRPr="00BD754F">
        <w:t>Mcleod</w:t>
      </w:r>
      <w:proofErr w:type="spellEnd"/>
      <w:r w:rsidR="00BD754F" w:rsidRPr="00BD754F">
        <w:t>, 2023)</w:t>
      </w:r>
      <w:r w:rsidR="003A7A61">
        <w:t>. This essay explores the effectiveness of cognitive interviews based on academic research, highlighting their benefits, limitations, and practical implications for the police.</w:t>
      </w:r>
    </w:p>
    <w:p w14:paraId="402D75F6" w14:textId="77777777" w:rsidR="00BD754F" w:rsidRPr="00BD754F" w:rsidRDefault="00BD754F" w:rsidP="009869CC">
      <w:pPr>
        <w:pStyle w:val="Answer"/>
        <w:rPr>
          <w:b/>
          <w:bCs/>
        </w:rPr>
      </w:pPr>
      <w:r w:rsidRPr="00BD754F">
        <w:rPr>
          <w:b/>
          <w:bCs/>
        </w:rPr>
        <w:t>Background of Cognitive Interviewing</w:t>
      </w:r>
    </w:p>
    <w:p w14:paraId="51E30973" w14:textId="7ED6E3E9" w:rsidR="00FF485D" w:rsidRDefault="00F36FA5" w:rsidP="009869CC">
      <w:pPr>
        <w:pStyle w:val="Answer"/>
      </w:pPr>
      <w:r>
        <w:t>The development of the CI was conducted in response to the need for more reliable and accurate witness accounts</w:t>
      </w:r>
      <w:r w:rsidR="00455C0C">
        <w:t xml:space="preserve">. </w:t>
      </w:r>
      <w:r w:rsidR="00455C0C" w:rsidRPr="003A7A61">
        <w:t xml:space="preserve">Geiselman et al. (1985) </w:t>
      </w:r>
      <w:r w:rsidR="00455C0C">
        <w:t xml:space="preserve">found that CI </w:t>
      </w:r>
      <w:r w:rsidR="00FF485D">
        <w:t xml:space="preserve">led to the average number of correctly recalled facts to be higher than for the standard interview; concluding that a CI allows the witness to provide a better recall of events with more detail and relevant information. </w:t>
      </w:r>
    </w:p>
    <w:p w14:paraId="680A4144" w14:textId="12F15A44" w:rsidR="00D159AF" w:rsidRDefault="00723014" w:rsidP="009869CC">
      <w:pPr>
        <w:pStyle w:val="Answer"/>
      </w:pPr>
      <w:r>
        <w:t xml:space="preserve">It is </w:t>
      </w:r>
      <w:r w:rsidR="00B86530" w:rsidRPr="00B86530">
        <w:t xml:space="preserve">empirically </w:t>
      </w:r>
      <w:r w:rsidR="00B86530">
        <w:t xml:space="preserve">based on the notion that the </w:t>
      </w:r>
      <w:r w:rsidR="00FF485D">
        <w:t xml:space="preserve">psychological makeup of memories </w:t>
      </w:r>
      <w:r w:rsidR="00B86530">
        <w:t>is</w:t>
      </w:r>
      <w:r w:rsidR="00FF485D">
        <w:t xml:space="preserve"> that of a network of associations </w:t>
      </w:r>
      <w:r w:rsidR="00B86530">
        <w:t xml:space="preserve">and that </w:t>
      </w:r>
      <w:r w:rsidR="00FF485D">
        <w:t xml:space="preserve">there are several ways that they can be </w:t>
      </w:r>
      <w:r w:rsidR="00D159AF">
        <w:t>accessed</w:t>
      </w:r>
      <w:r w:rsidR="00693088">
        <w:t xml:space="preserve"> </w:t>
      </w:r>
      <w:r w:rsidR="00693088" w:rsidRPr="00D159AF">
        <w:t>(</w:t>
      </w:r>
      <w:proofErr w:type="spellStart"/>
      <w:r w:rsidR="00693088" w:rsidRPr="00D159AF">
        <w:t>Mcleod</w:t>
      </w:r>
      <w:proofErr w:type="spellEnd"/>
      <w:r w:rsidR="00693088" w:rsidRPr="00D159AF">
        <w:t>, 2023</w:t>
      </w:r>
      <w:r w:rsidR="00693088">
        <w:t xml:space="preserve">). </w:t>
      </w:r>
      <w:r w:rsidR="00CC25AF">
        <w:t xml:space="preserve">Having undergone many years of well documented research leading to various enhancement and adjustments </w:t>
      </w:r>
      <w:r w:rsidR="00586530" w:rsidRPr="00586530">
        <w:t xml:space="preserve">(Dando, </w:t>
      </w:r>
      <w:proofErr w:type="gramStart"/>
      <w:r w:rsidR="00586530" w:rsidRPr="00586530">
        <w:t>Wilcock</w:t>
      </w:r>
      <w:proofErr w:type="gramEnd"/>
      <w:r w:rsidR="00586530" w:rsidRPr="00586530">
        <w:t xml:space="preserve"> and Milne, 2009)</w:t>
      </w:r>
      <w:r w:rsidR="00CC25AF">
        <w:t xml:space="preserve">, </w:t>
      </w:r>
      <w:r w:rsidR="00D159AF">
        <w:t xml:space="preserve">CI </w:t>
      </w:r>
      <w:r w:rsidR="00CC25AF">
        <w:t>is designed to best access these memory associations</w:t>
      </w:r>
      <w:r w:rsidR="00693088">
        <w:t xml:space="preserve"> </w:t>
      </w:r>
      <w:r w:rsidR="00D159AF">
        <w:t>by using the following four retrieval routes</w:t>
      </w:r>
      <w:r w:rsidR="00693088">
        <w:t xml:space="preserve"> – </w:t>
      </w:r>
    </w:p>
    <w:p w14:paraId="2D2387D2" w14:textId="4068D90E" w:rsidR="00D159AF" w:rsidRDefault="00D159AF" w:rsidP="00D159AF">
      <w:pPr>
        <w:pStyle w:val="Answer"/>
        <w:numPr>
          <w:ilvl w:val="0"/>
          <w:numId w:val="1"/>
        </w:numPr>
      </w:pPr>
      <w:r w:rsidRPr="00D159AF">
        <w:rPr>
          <w:b/>
          <w:bCs/>
        </w:rPr>
        <w:t>Context Reinstatement:</w:t>
      </w:r>
      <w:r>
        <w:t xml:space="preserve"> The interviewer encourages the witness to imagine both the physical and emotional context of the event they are recalling. </w:t>
      </w:r>
    </w:p>
    <w:p w14:paraId="471E4EBE" w14:textId="106E93FB" w:rsidR="00D159AF" w:rsidRDefault="00D159AF" w:rsidP="00D159AF">
      <w:pPr>
        <w:pStyle w:val="Answer"/>
        <w:numPr>
          <w:ilvl w:val="0"/>
          <w:numId w:val="1"/>
        </w:numPr>
      </w:pPr>
      <w:r w:rsidRPr="00D159AF">
        <w:rPr>
          <w:b/>
          <w:bCs/>
        </w:rPr>
        <w:t>Report Everything:</w:t>
      </w:r>
      <w:r>
        <w:t xml:space="preserve"> It is emphasised to the witness that no detail is </w:t>
      </w:r>
      <w:r w:rsidR="003F73C3">
        <w:t>unimportant,</w:t>
      </w:r>
      <w:r>
        <w:t xml:space="preserve"> and they are to report every single detail no matter how insignificant it may seem.</w:t>
      </w:r>
    </w:p>
    <w:p w14:paraId="70BFA57D" w14:textId="54D3A9AE" w:rsidR="00D159AF" w:rsidRDefault="00D159AF" w:rsidP="00D159AF">
      <w:pPr>
        <w:pStyle w:val="Answer"/>
        <w:numPr>
          <w:ilvl w:val="0"/>
          <w:numId w:val="1"/>
        </w:numPr>
      </w:pPr>
      <w:r w:rsidRPr="00D159AF">
        <w:rPr>
          <w:b/>
          <w:bCs/>
        </w:rPr>
        <w:t xml:space="preserve">Change Order: </w:t>
      </w:r>
      <w:r>
        <w:t xml:space="preserve">The witness </w:t>
      </w:r>
      <w:r w:rsidR="008848D3">
        <w:t>is</w:t>
      </w:r>
      <w:r>
        <w:t xml:space="preserve"> asked to recall the events in a different order, start from a different point in time, or even recall them in reverse.</w:t>
      </w:r>
    </w:p>
    <w:p w14:paraId="57E0BB73" w14:textId="77777777" w:rsidR="008848D3" w:rsidRDefault="00D159AF" w:rsidP="008848D3">
      <w:pPr>
        <w:pStyle w:val="Answer"/>
        <w:numPr>
          <w:ilvl w:val="0"/>
          <w:numId w:val="1"/>
        </w:numPr>
      </w:pPr>
      <w:r w:rsidRPr="008848D3">
        <w:rPr>
          <w:b/>
          <w:bCs/>
        </w:rPr>
        <w:t>Change Perspective:</w:t>
      </w:r>
      <w:r>
        <w:t xml:space="preserve"> </w:t>
      </w:r>
      <w:r w:rsidR="008848D3">
        <w:t>The witness is encouraged to recall the incident from another perspective, for example from the perspective of another witness.</w:t>
      </w:r>
    </w:p>
    <w:p w14:paraId="7CBAD401" w14:textId="77252645" w:rsidR="008848D3" w:rsidRDefault="008848D3" w:rsidP="008848D3">
      <w:pPr>
        <w:pStyle w:val="Answer"/>
        <w:jc w:val="right"/>
      </w:pPr>
      <w:r w:rsidRPr="008848D3">
        <w:t xml:space="preserve">(Fin, </w:t>
      </w:r>
      <w:proofErr w:type="spellStart"/>
      <w:r w:rsidRPr="008848D3">
        <w:t>Mcneill</w:t>
      </w:r>
      <w:proofErr w:type="spellEnd"/>
      <w:r w:rsidRPr="008848D3">
        <w:t xml:space="preserve"> and Mclean, 2019)</w:t>
      </w:r>
    </w:p>
    <w:p w14:paraId="333B77FA" w14:textId="77777777" w:rsidR="008848D3" w:rsidRDefault="008848D3" w:rsidP="008848D3">
      <w:pPr>
        <w:pStyle w:val="Answer"/>
        <w:rPr>
          <w:b/>
          <w:bCs/>
        </w:rPr>
      </w:pPr>
      <w:r w:rsidRPr="008848D3">
        <w:rPr>
          <w:b/>
          <w:bCs/>
        </w:rPr>
        <w:lastRenderedPageBreak/>
        <w:t xml:space="preserve">Effectiveness of Cognitive </w:t>
      </w:r>
      <w:r>
        <w:rPr>
          <w:b/>
          <w:bCs/>
        </w:rPr>
        <w:t>Interviewing</w:t>
      </w:r>
    </w:p>
    <w:p w14:paraId="2C0CE664" w14:textId="20BCE2F6" w:rsidR="008848D3" w:rsidRDefault="008848D3" w:rsidP="008848D3">
      <w:pPr>
        <w:pStyle w:val="Answer"/>
      </w:pPr>
      <w:r>
        <w:t xml:space="preserve">It is well documented that cognitive interviews are an effective tool in enhancing and improving the quantity and quality of witness accounts. In the first instance, the foundational study by </w:t>
      </w:r>
      <w:r w:rsidRPr="003A7A61">
        <w:t xml:space="preserve">Geiselman et al. (1985) </w:t>
      </w:r>
      <w:r>
        <w:t xml:space="preserve">demonstrated that </w:t>
      </w:r>
      <w:r w:rsidR="00B442D9">
        <w:t>the CI elicited</w:t>
      </w:r>
      <w:r>
        <w:t xml:space="preserve"> 35% </w:t>
      </w:r>
      <w:r w:rsidR="00B442D9">
        <w:t xml:space="preserve">more </w:t>
      </w:r>
      <w:r>
        <w:t xml:space="preserve">correct details </w:t>
      </w:r>
      <w:r w:rsidR="00B442D9">
        <w:t xml:space="preserve">than </w:t>
      </w:r>
      <w:r>
        <w:t xml:space="preserve">standard police interviews. It was </w:t>
      </w:r>
      <w:r w:rsidR="006A7266">
        <w:t>ho</w:t>
      </w:r>
      <w:r>
        <w:t>wever noted in the study that there was no corresponding change in the recollection of incorrect details.</w:t>
      </w:r>
      <w:r w:rsidR="00723014">
        <w:t xml:space="preserve"> Not only does the evidence support the fact that CIs increase the quantity of correct information recalled, but also </w:t>
      </w:r>
      <w:r w:rsidR="00B442D9">
        <w:t>produced</w:t>
      </w:r>
      <w:r w:rsidR="00723014">
        <w:t xml:space="preserve"> a </w:t>
      </w:r>
      <w:r w:rsidR="00B442D9">
        <w:t xml:space="preserve">better </w:t>
      </w:r>
      <w:r w:rsidR="00723014">
        <w:t xml:space="preserve">quality and accuracy of detail than standard police interviews </w:t>
      </w:r>
      <w:r w:rsidR="00723014" w:rsidRPr="00723014">
        <w:t>(Dodier et al., 2021</w:t>
      </w:r>
      <w:r w:rsidR="00723014">
        <w:t>, p</w:t>
      </w:r>
      <w:r w:rsidR="0093784B">
        <w:t>p</w:t>
      </w:r>
      <w:r w:rsidR="00723014">
        <w:t>.1103-1104</w:t>
      </w:r>
      <w:r w:rsidR="00723014" w:rsidRPr="00723014">
        <w:t>)</w:t>
      </w:r>
      <w:r w:rsidR="00723014">
        <w:t xml:space="preserve">. </w:t>
      </w:r>
    </w:p>
    <w:p w14:paraId="035346A6" w14:textId="5B88DF4C" w:rsidR="000C089C" w:rsidRDefault="00723014" w:rsidP="00723014">
      <w:pPr>
        <w:pStyle w:val="Answer"/>
      </w:pPr>
      <w:r>
        <w:t xml:space="preserve">Research from a meta-analysis of 57 published articles over 25 years of research into CIs by </w:t>
      </w:r>
      <w:r w:rsidRPr="00723014">
        <w:t xml:space="preserve">Memon, </w:t>
      </w:r>
      <w:proofErr w:type="gramStart"/>
      <w:r w:rsidRPr="00723014">
        <w:t>Meissner</w:t>
      </w:r>
      <w:proofErr w:type="gramEnd"/>
      <w:r w:rsidRPr="00723014">
        <w:t xml:space="preserve"> and Fraser (2010)</w:t>
      </w:r>
      <w:r>
        <w:t xml:space="preserve"> describes them as “perhaps one of the most successful developments in psychology and law research in the last 25 years”. </w:t>
      </w:r>
      <w:r w:rsidR="00BF25C7">
        <w:t>In summary</w:t>
      </w:r>
      <w:r w:rsidR="00B442D9">
        <w:t>,</w:t>
      </w:r>
      <w:r w:rsidR="00BF25C7">
        <w:t xml:space="preserve"> this comprehensive meta-analysis concluded that CIs produce more information without compromising accuracy, therefore making them superior to standard police interviewing techniques previously employed.  </w:t>
      </w:r>
    </w:p>
    <w:p w14:paraId="0D76CEA4" w14:textId="0CCBBA97" w:rsidR="00114925" w:rsidRDefault="00114925" w:rsidP="00723014">
      <w:pPr>
        <w:pStyle w:val="Answer"/>
      </w:pPr>
      <w:r>
        <w:t xml:space="preserve">The importance of detailed and accurate first accounts by witnesses are paramount to a successful investigation. Even the slightest of details may result in the positive identification of an unknown suspect, leading to their early arrest, and further opportunities for evidence gathering. It is therefore clear from the evidence that appropriate use of CIs when taking first accounts from witnesses may elicit a superior quality of information, thus providing further lines of enquiry for the investigation at that early </w:t>
      </w:r>
      <w:r w:rsidR="000B4E3C">
        <w:t>juncture</w:t>
      </w:r>
      <w:r>
        <w:t xml:space="preserve">. </w:t>
      </w:r>
    </w:p>
    <w:p w14:paraId="5080906D" w14:textId="3758AD37" w:rsidR="00CC25AF" w:rsidRDefault="000C089C" w:rsidP="008848D3">
      <w:pPr>
        <w:pStyle w:val="Answer"/>
      </w:pPr>
      <w:r>
        <w:t>The implementation of CIs has many practical considerations for policing as well as the wider Criminal Justice System (CJS). Factors such as thorough training in the use of CIs, a good understanding of how to adapt their use in various contexts, and balancing their efficiency and thoroughness in various investigative scenarios are all such considerations. However, with appropriate and effective implementation, they are proven to enhance both the quantity and quality of information obtained from witnesses and as such can lead to more successful investigations.</w:t>
      </w:r>
    </w:p>
    <w:p w14:paraId="5C204439" w14:textId="1E2DFFF6" w:rsidR="00CC25AF" w:rsidRDefault="00CC25AF" w:rsidP="008848D3">
      <w:pPr>
        <w:pStyle w:val="Answer"/>
        <w:rPr>
          <w:b/>
          <w:bCs/>
        </w:rPr>
      </w:pPr>
      <w:r w:rsidRPr="00CC25AF">
        <w:rPr>
          <w:b/>
          <w:bCs/>
        </w:rPr>
        <w:t>Limitations and Challenges</w:t>
      </w:r>
    </w:p>
    <w:p w14:paraId="604344DB" w14:textId="7CF400CA" w:rsidR="00586530" w:rsidRDefault="000C089C" w:rsidP="008848D3">
      <w:pPr>
        <w:pStyle w:val="Answer"/>
      </w:pPr>
      <w:r>
        <w:t>Despite the proven effectiveness of CIs as discussed already in this essay, they are not without their limitations.</w:t>
      </w:r>
      <w:r w:rsidR="00090471">
        <w:t xml:space="preserve"> The first element of discussion in this area is that</w:t>
      </w:r>
      <w:r w:rsidR="00B442D9">
        <w:t xml:space="preserve"> CIs are a</w:t>
      </w:r>
      <w:r w:rsidR="00090471">
        <w:t xml:space="preserve"> much more </w:t>
      </w:r>
      <w:r w:rsidR="008A2C2D">
        <w:t>time-consuming</w:t>
      </w:r>
      <w:r w:rsidR="00090471">
        <w:t xml:space="preserve"> process than the standard police interview</w:t>
      </w:r>
      <w:r w:rsidR="00E33746">
        <w:t xml:space="preserve"> </w:t>
      </w:r>
      <w:r w:rsidR="00E33746" w:rsidRPr="00E33746">
        <w:t xml:space="preserve">(Memon, </w:t>
      </w:r>
      <w:proofErr w:type="gramStart"/>
      <w:r w:rsidR="00E33746" w:rsidRPr="00E33746">
        <w:t>Meissner</w:t>
      </w:r>
      <w:proofErr w:type="gramEnd"/>
      <w:r w:rsidR="00E33746" w:rsidRPr="00E33746">
        <w:t xml:space="preserve"> and Fraser, 2010</w:t>
      </w:r>
      <w:r w:rsidR="00E33746">
        <w:t>, p</w:t>
      </w:r>
      <w:r w:rsidR="0093784B">
        <w:t>p</w:t>
      </w:r>
      <w:r w:rsidR="00E33746">
        <w:t>.362</w:t>
      </w:r>
      <w:r w:rsidR="00E33746" w:rsidRPr="00E33746">
        <w:t>)</w:t>
      </w:r>
      <w:r w:rsidR="00B442D9">
        <w:t>.</w:t>
      </w:r>
      <w:r w:rsidR="00E33746">
        <w:t xml:space="preserve"> </w:t>
      </w:r>
      <w:r w:rsidR="00586530">
        <w:t xml:space="preserve">As such, the use of a CI should normally be reserved for formal interview settings and </w:t>
      </w:r>
      <w:r w:rsidR="00586530" w:rsidRPr="00586530">
        <w:t xml:space="preserve">Fin, </w:t>
      </w:r>
      <w:proofErr w:type="spellStart"/>
      <w:r w:rsidR="00586530" w:rsidRPr="00586530">
        <w:t>Mcneill</w:t>
      </w:r>
      <w:proofErr w:type="spellEnd"/>
      <w:r w:rsidR="00586530" w:rsidRPr="00586530">
        <w:t xml:space="preserve"> and Mclean (2019)</w:t>
      </w:r>
      <w:r w:rsidR="00586530">
        <w:t xml:space="preserve"> suggest that it is not feasible for officers and staff to conduct a full CI for the purpose of an initial account. </w:t>
      </w:r>
      <w:r w:rsidR="006A7266">
        <w:t xml:space="preserve">The meta-analysis by </w:t>
      </w:r>
      <w:r w:rsidR="006A7266" w:rsidRPr="00723014">
        <w:t xml:space="preserve">Memon, </w:t>
      </w:r>
      <w:proofErr w:type="gramStart"/>
      <w:r w:rsidR="006A7266" w:rsidRPr="00723014">
        <w:t>Meissner</w:t>
      </w:r>
      <w:proofErr w:type="gramEnd"/>
      <w:r w:rsidR="006A7266" w:rsidRPr="00723014">
        <w:t xml:space="preserve"> and Fraser (2010)</w:t>
      </w:r>
      <w:r w:rsidR="006A7266">
        <w:t xml:space="preserve"> suggests that it is possible to see similar gains in correct information with much </w:t>
      </w:r>
      <w:r w:rsidR="006A7266">
        <w:lastRenderedPageBreak/>
        <w:t xml:space="preserve">simpler and shorter versions of the CI, namely the </w:t>
      </w:r>
      <w:r w:rsidR="000B4E3C">
        <w:t>m</w:t>
      </w:r>
      <w:r w:rsidR="006A7266">
        <w:t xml:space="preserve">odified CI. This can be achieved by removing the two least effective elements of the CI, namely the change perspective and change order instructions </w:t>
      </w:r>
      <w:r w:rsidR="006A7266" w:rsidRPr="006A7266">
        <w:t xml:space="preserve">(Fin, </w:t>
      </w:r>
      <w:proofErr w:type="spellStart"/>
      <w:r w:rsidR="006A7266" w:rsidRPr="006A7266">
        <w:t>Mcneill</w:t>
      </w:r>
      <w:proofErr w:type="spellEnd"/>
      <w:r w:rsidR="006A7266" w:rsidRPr="006A7266">
        <w:t xml:space="preserve"> and Mclean, 2019</w:t>
      </w:r>
      <w:r w:rsidR="006A7266">
        <w:t xml:space="preserve">; </w:t>
      </w:r>
      <w:r w:rsidR="006A7266" w:rsidRPr="006A7266">
        <w:t xml:space="preserve">Memon, </w:t>
      </w:r>
      <w:proofErr w:type="gramStart"/>
      <w:r w:rsidR="006A7266" w:rsidRPr="006A7266">
        <w:t>Meissner</w:t>
      </w:r>
      <w:proofErr w:type="gramEnd"/>
      <w:r w:rsidR="006A7266" w:rsidRPr="006A7266">
        <w:t xml:space="preserve"> and Fraser, 2010)</w:t>
      </w:r>
      <w:r w:rsidR="006A7266">
        <w:t xml:space="preserve"> which reduces the length of the interview substantially without any significant loss of benefit.</w:t>
      </w:r>
    </w:p>
    <w:p w14:paraId="457F7BD5" w14:textId="402CE135" w:rsidR="00B86530" w:rsidRDefault="00A532E6" w:rsidP="008848D3">
      <w:pPr>
        <w:pStyle w:val="Answer"/>
      </w:pPr>
      <w:r>
        <w:t xml:space="preserve">Moreover, </w:t>
      </w:r>
      <w:r w:rsidR="00586530">
        <w:t>CIs</w:t>
      </w:r>
      <w:r>
        <w:t xml:space="preserve"> are not only a more time consuming to implement in an interview setting but require more thorough and proper training to utilise the skill appropriately. This has been evidenced in the research by </w:t>
      </w:r>
      <w:r w:rsidR="00586530" w:rsidRPr="00586530">
        <w:t xml:space="preserve">Dando, </w:t>
      </w:r>
      <w:proofErr w:type="gramStart"/>
      <w:r w:rsidR="00586530" w:rsidRPr="00586530">
        <w:t>Wilcock</w:t>
      </w:r>
      <w:proofErr w:type="gramEnd"/>
      <w:r w:rsidR="00586530" w:rsidRPr="00586530">
        <w:t xml:space="preserve"> and Milne</w:t>
      </w:r>
      <w:r w:rsidR="00586530">
        <w:t xml:space="preserve"> </w:t>
      </w:r>
      <w:r>
        <w:t>(2009) where it is suggested that the training of cognitive interviewing at the early stages for police officer recruits (Tier 1) is too complex. The research suggests that for successful application of the CI basic interviewing skills are mastered and applied regularly first to build the firm foundation upon which to develop the more advanced skills required of a CI.</w:t>
      </w:r>
    </w:p>
    <w:p w14:paraId="61F2D8D5" w14:textId="77777777" w:rsidR="00D6639E" w:rsidRDefault="00D6639E" w:rsidP="008848D3">
      <w:pPr>
        <w:pStyle w:val="Answer"/>
        <w:rPr>
          <w:b/>
          <w:bCs/>
        </w:rPr>
      </w:pPr>
      <w:r w:rsidRPr="00D6639E">
        <w:rPr>
          <w:b/>
          <w:bCs/>
        </w:rPr>
        <w:t>Conclusion</w:t>
      </w:r>
    </w:p>
    <w:p w14:paraId="4503BD71" w14:textId="2BAA5287" w:rsidR="00586530" w:rsidRPr="000B4E3C" w:rsidRDefault="00586530" w:rsidP="008848D3">
      <w:pPr>
        <w:pStyle w:val="Answer"/>
      </w:pPr>
      <w:r>
        <w:t xml:space="preserve">Clearly as demonstrated by the research, cognitive interviews represent a significant advancement in investigative interviewing when comparing them to standard police interviews. They provide a scientifically proven method for enhancing memory recall in witnesses and victims. </w:t>
      </w:r>
      <w:r w:rsidRPr="000B4E3C">
        <w:t xml:space="preserve">The academic research discussed consistently supports the effectiveness of such interviews in increasing the quantity and quality of correct information retrieved from the witness. While there are challenges and limitations with CIs, with proper training and usage these issues can be mostly mitigated. The main limitation when it comes to taking initial accounts from victims and witnesses surrounds the time it takes to conduct a full CI, in such cases it may be appropriate to use alternative versions of the CI such as the modified </w:t>
      </w:r>
      <w:r w:rsidR="006A7266" w:rsidRPr="000B4E3C">
        <w:t>CI where the lest effective elements are removed, resulting in time saving which may be critical in taking a first account whilst not significantly reducing the benefits of using the CI.</w:t>
      </w:r>
    </w:p>
    <w:p w14:paraId="305D1702" w14:textId="6013C24F" w:rsidR="00E04C8C" w:rsidRPr="006A7266" w:rsidRDefault="006A7266" w:rsidP="008848D3">
      <w:pPr>
        <w:pStyle w:val="Answer"/>
        <w:rPr>
          <w:b/>
          <w:bCs/>
          <w:i/>
          <w:iCs/>
          <w:sz w:val="28"/>
          <w:szCs w:val="24"/>
          <w:u w:val="single"/>
        </w:rPr>
      </w:pPr>
      <w:r w:rsidRPr="006A7266">
        <w:rPr>
          <w:b/>
          <w:bCs/>
          <w:i/>
          <w:iCs/>
          <w:sz w:val="28"/>
          <w:szCs w:val="24"/>
          <w:u w:val="single"/>
        </w:rPr>
        <w:t>Word Count - 10</w:t>
      </w:r>
      <w:r w:rsidR="00114925">
        <w:rPr>
          <w:b/>
          <w:bCs/>
          <w:i/>
          <w:iCs/>
          <w:sz w:val="28"/>
          <w:szCs w:val="24"/>
          <w:u w:val="single"/>
        </w:rPr>
        <w:t>86</w:t>
      </w:r>
      <w:r w:rsidR="00E04C8C" w:rsidRPr="006A7266">
        <w:rPr>
          <w:u w:val="single"/>
        </w:rPr>
        <w:br w:type="page"/>
      </w:r>
    </w:p>
    <w:p w14:paraId="2E6B11E9" w14:textId="46293D1C" w:rsidR="00E04C8C" w:rsidRPr="00E04C8C" w:rsidRDefault="00E04C8C" w:rsidP="00E04C8C">
      <w:pPr>
        <w:jc w:val="center"/>
        <w:rPr>
          <w:b/>
          <w:bCs/>
          <w:sz w:val="36"/>
          <w:szCs w:val="36"/>
        </w:rPr>
      </w:pPr>
      <w:r w:rsidRPr="00E04C8C">
        <w:rPr>
          <w:b/>
          <w:bCs/>
          <w:sz w:val="36"/>
          <w:szCs w:val="36"/>
        </w:rPr>
        <w:lastRenderedPageBreak/>
        <w:t xml:space="preserve">Essay </w:t>
      </w:r>
      <w:r>
        <w:rPr>
          <w:b/>
          <w:bCs/>
          <w:sz w:val="36"/>
          <w:szCs w:val="36"/>
        </w:rPr>
        <w:t>3</w:t>
      </w:r>
    </w:p>
    <w:p w14:paraId="5C9AEEA3" w14:textId="77777777" w:rsidR="00E04C8C" w:rsidRPr="00E04C8C" w:rsidRDefault="00E04C8C" w:rsidP="00E04C8C">
      <w:pPr>
        <w:rPr>
          <w:b/>
          <w:bCs/>
          <w:sz w:val="28"/>
          <w:szCs w:val="28"/>
          <w:u w:val="single"/>
        </w:rPr>
      </w:pPr>
      <w:r w:rsidRPr="00E04C8C">
        <w:rPr>
          <w:b/>
          <w:bCs/>
          <w:sz w:val="28"/>
          <w:szCs w:val="28"/>
          <w:u w:val="single"/>
        </w:rPr>
        <w:t>Question</w:t>
      </w:r>
    </w:p>
    <w:p w14:paraId="7C6C43CA" w14:textId="77777777" w:rsidR="004F3602" w:rsidRPr="00423677" w:rsidRDefault="004F3602" w:rsidP="004F3602">
      <w:pPr>
        <w:rPr>
          <w:i/>
          <w:iCs/>
        </w:rPr>
      </w:pPr>
      <w:r w:rsidRPr="00423677">
        <w:rPr>
          <w:i/>
          <w:iCs/>
        </w:rPr>
        <w:t>Examine the various socio-economic and psychological characteristics which can make people vulnerable to exploitation by criminal gangs.</w:t>
      </w:r>
    </w:p>
    <w:p w14:paraId="7205FB21" w14:textId="77777777" w:rsidR="004F3602" w:rsidRPr="00423677" w:rsidRDefault="004F3602" w:rsidP="004F3602">
      <w:pPr>
        <w:rPr>
          <w:i/>
          <w:iCs/>
        </w:rPr>
      </w:pPr>
      <w:r w:rsidRPr="00423677">
        <w:rPr>
          <w:i/>
          <w:iCs/>
        </w:rPr>
        <w:t>Your answer must be based on academic research rather than personal experience.</w:t>
      </w:r>
    </w:p>
    <w:p w14:paraId="2838259E" w14:textId="0D07ECED" w:rsidR="00E67EE9" w:rsidRPr="00E67EE9" w:rsidRDefault="00E04C8C" w:rsidP="00E67EE9">
      <w:pPr>
        <w:rPr>
          <w:b/>
          <w:bCs/>
          <w:sz w:val="28"/>
          <w:szCs w:val="28"/>
          <w:u w:val="single"/>
        </w:rPr>
      </w:pPr>
      <w:r w:rsidRPr="00E04C8C">
        <w:rPr>
          <w:b/>
          <w:bCs/>
          <w:sz w:val="28"/>
          <w:szCs w:val="28"/>
          <w:u w:val="single"/>
        </w:rPr>
        <w:t>Answer</w:t>
      </w:r>
    </w:p>
    <w:p w14:paraId="6A058114" w14:textId="6484BBEE" w:rsidR="00B80462" w:rsidRDefault="00246D0B" w:rsidP="00246D0B">
      <w:pPr>
        <w:pStyle w:val="Answer"/>
      </w:pPr>
      <w:r>
        <w:t>Criminal gangs have become a pervasive problem in many areas of the UK where they exploit vulnerable people to further their illicit activities. By understanding the various characteristics that make these people vulnerable and more susceptible to such exploitation is crucial for developing effective policing and social strategies and interventions. This essay explores the social-economic and psychological characteristics which can increase the risk of exploitation by criminal gangs.</w:t>
      </w:r>
    </w:p>
    <w:p w14:paraId="5A723AB9" w14:textId="40E76F3E" w:rsidR="00B80462" w:rsidRPr="00B80462" w:rsidRDefault="00B80462" w:rsidP="00246D0B">
      <w:pPr>
        <w:pStyle w:val="Answer"/>
        <w:rPr>
          <w:b/>
          <w:bCs/>
        </w:rPr>
      </w:pPr>
      <w:r w:rsidRPr="00B80462">
        <w:rPr>
          <w:b/>
          <w:bCs/>
        </w:rPr>
        <w:t>Socio</w:t>
      </w:r>
      <w:r w:rsidR="006243B5">
        <w:rPr>
          <w:b/>
          <w:bCs/>
        </w:rPr>
        <w:t>e</w:t>
      </w:r>
      <w:r w:rsidRPr="00B80462">
        <w:rPr>
          <w:b/>
          <w:bCs/>
        </w:rPr>
        <w:t>conomic Characteristics</w:t>
      </w:r>
    </w:p>
    <w:p w14:paraId="772D14B9" w14:textId="2A8E9AF4" w:rsidR="0093784B" w:rsidRDefault="0002307E" w:rsidP="0002307E">
      <w:pPr>
        <w:pStyle w:val="Answer"/>
      </w:pPr>
      <w:r>
        <w:t xml:space="preserve">Economic deprivation and poverty are significant contributary factors towards a heightened risk of vulnerability and a disposition to commit or be involved in crime. This is evidenced by the social disorganisation theory developed by Shaw and McKay (1942) that found “patterns of delinquency were higher in areas characterised by poor housing, poor health, socio-economic disadvantage and transient populations” </w:t>
      </w:r>
      <w:r w:rsidRPr="0002307E">
        <w:t>(University of Glasgow, 2016)</w:t>
      </w:r>
      <w:r>
        <w:t xml:space="preserve">. This was expended and further supported by </w:t>
      </w:r>
      <w:r w:rsidR="0093784B">
        <w:t xml:space="preserve">the General Strain Theory, which simply put suggests that when people experience strain, such as deprivation or poverty, they may resort to crime to alleviate this strain and associated emotions (Agnew, 1992; </w:t>
      </w:r>
      <w:proofErr w:type="spellStart"/>
      <w:r w:rsidR="0093784B" w:rsidRPr="0093784B">
        <w:t>DeCamp</w:t>
      </w:r>
      <w:proofErr w:type="spellEnd"/>
      <w:r w:rsidR="0093784B" w:rsidRPr="0093784B">
        <w:t>, Lunn and Bottom, 2020, pp.305–320</w:t>
      </w:r>
      <w:r w:rsidR="0093784B">
        <w:t>).</w:t>
      </w:r>
    </w:p>
    <w:p w14:paraId="0D96D2E3" w14:textId="4EFDD140" w:rsidR="001B79DD" w:rsidRDefault="00790466" w:rsidP="0002307E">
      <w:pPr>
        <w:pStyle w:val="Answer"/>
      </w:pPr>
      <w:r>
        <w:t>Comparatively, areas with higher economic deprivation and poverty are often found to have high levels of unemployment and a lack of opportunities for the people in those communities</w:t>
      </w:r>
      <w:r w:rsidR="00E67EE9">
        <w:t>. This</w:t>
      </w:r>
      <w:r w:rsidR="001B79DD">
        <w:t xml:space="preserve"> can play a dangerous role in making people vulnerable to gang recruitment. Research supports this with evidence suggesting household deprivation and a lack of opportunities in the community ‘pushes’ young persons to get involved with crimes such as drug dealing as an alternative to employment (</w:t>
      </w:r>
      <w:r w:rsidR="001B79DD" w:rsidRPr="001B79DD">
        <w:t>Annan et al., 2021)</w:t>
      </w:r>
      <w:r w:rsidR="001B79DD">
        <w:t xml:space="preserve">. </w:t>
      </w:r>
      <w:r w:rsidR="00E67EE9">
        <w:t>This is</w:t>
      </w:r>
      <w:r w:rsidR="00DC423E">
        <w:t xml:space="preserve"> explained by the research by Decker and Van Winkle (1996) that suggests </w:t>
      </w:r>
      <w:r w:rsidR="00E67EE9">
        <w:t>how</w:t>
      </w:r>
      <w:r w:rsidR="00DC423E">
        <w:t xml:space="preserve"> gangs can offer a sense of financial security and </w:t>
      </w:r>
      <w:r w:rsidR="001E7688">
        <w:t xml:space="preserve">social </w:t>
      </w:r>
      <w:r w:rsidR="00DC423E">
        <w:t xml:space="preserve">status to </w:t>
      </w:r>
      <w:r w:rsidR="001E7688">
        <w:t xml:space="preserve">those who are recruited that they do not see as being possible through legitimate employment. </w:t>
      </w:r>
    </w:p>
    <w:p w14:paraId="76BB5A88" w14:textId="2EDF6743" w:rsidR="00BA459F" w:rsidRDefault="00BA459F" w:rsidP="0002307E">
      <w:pPr>
        <w:pStyle w:val="Answer"/>
      </w:pPr>
      <w:r>
        <w:t xml:space="preserve">Research </w:t>
      </w:r>
      <w:r w:rsidR="006243B5">
        <w:t xml:space="preserve">suggests that low socioeconomic status and poverty have a substantial negative influence over educational achievement of children and young people </w:t>
      </w:r>
      <w:r w:rsidR="006243B5" w:rsidRPr="006243B5">
        <w:t>(Ferguson, Bovaird and Mueller, 2007</w:t>
      </w:r>
      <w:r w:rsidR="006243B5">
        <w:t xml:space="preserve">; </w:t>
      </w:r>
      <w:r w:rsidR="006243B5" w:rsidRPr="006243B5">
        <w:t>Buck and Deutsch, 2014)</w:t>
      </w:r>
      <w:r w:rsidR="006243B5">
        <w:t xml:space="preserve">. </w:t>
      </w:r>
      <w:r w:rsidR="00400E0F">
        <w:t xml:space="preserve">According to </w:t>
      </w:r>
      <w:r w:rsidR="00400E0F" w:rsidRPr="00400E0F">
        <w:t xml:space="preserve">Wilson, Seaman and </w:t>
      </w:r>
      <w:proofErr w:type="spellStart"/>
      <w:r w:rsidR="00400E0F" w:rsidRPr="00400E0F">
        <w:t>Nettelbeck</w:t>
      </w:r>
      <w:proofErr w:type="spellEnd"/>
      <w:r w:rsidR="00400E0F" w:rsidRPr="00400E0F">
        <w:t xml:space="preserve"> (1996)</w:t>
      </w:r>
      <w:r w:rsidR="00400E0F">
        <w:t xml:space="preserve">, </w:t>
      </w:r>
      <w:r w:rsidR="00400E0F">
        <w:lastRenderedPageBreak/>
        <w:t xml:space="preserve">poor interpersonal competence and intelligence is directly linked </w:t>
      </w:r>
      <w:r w:rsidR="00F16A4D">
        <w:t xml:space="preserve">to increased vulnerability to criminal exploitation. </w:t>
      </w:r>
    </w:p>
    <w:p w14:paraId="330D0FDA" w14:textId="4B893674" w:rsidR="001E7688" w:rsidRDefault="00F16A4D" w:rsidP="0002307E">
      <w:pPr>
        <w:pStyle w:val="Answer"/>
      </w:pPr>
      <w:r>
        <w:t xml:space="preserve">These socioeconomic characteristics go hand in hand for a ‘perfect storm’ of vulnerability and risk to exploitation by criminal gangs. </w:t>
      </w:r>
      <w:r w:rsidR="001B79DD">
        <w:t>This</w:t>
      </w:r>
      <w:r w:rsidR="001E7688">
        <w:t xml:space="preserve"> all</w:t>
      </w:r>
      <w:r w:rsidR="001B79DD">
        <w:t xml:space="preserve"> feeds into t</w:t>
      </w:r>
      <w:r w:rsidR="00790466">
        <w:t>he College of Policing</w:t>
      </w:r>
      <w:r w:rsidR="001B79DD">
        <w:t>’s</w:t>
      </w:r>
      <w:r w:rsidR="00790466">
        <w:t xml:space="preserve"> (2021) </w:t>
      </w:r>
      <w:r w:rsidR="001B79DD">
        <w:t>definition of vulnerability</w:t>
      </w:r>
      <w:r w:rsidR="00DC423E">
        <w:t xml:space="preserve">, </w:t>
      </w:r>
      <w:r w:rsidR="00790466">
        <w:t>“</w:t>
      </w:r>
      <w:r w:rsidR="001B79DD" w:rsidRPr="001B79DD">
        <w:t xml:space="preserve">a person is vulnerable if, </w:t>
      </w:r>
      <w:r w:rsidR="00790466" w:rsidRPr="00790466">
        <w:t>as a result of their situation or circumstances, they are unable to take care of or protect themselves or others from harm or exploitation</w:t>
      </w:r>
      <w:r w:rsidR="00790466">
        <w:t>”</w:t>
      </w:r>
      <w:r w:rsidR="00DC423E">
        <w:t>, which d</w:t>
      </w:r>
      <w:r w:rsidR="001B79DD">
        <w:t>emonstrates</w:t>
      </w:r>
      <w:r w:rsidR="00790466">
        <w:t xml:space="preserve"> a clear parallel between</w:t>
      </w:r>
      <w:r w:rsidR="001B79DD">
        <w:t xml:space="preserve"> the</w:t>
      </w:r>
      <w:r w:rsidR="00790466">
        <w:t xml:space="preserve"> circumstances </w:t>
      </w:r>
      <w:r w:rsidR="001B79DD">
        <w:t xml:space="preserve">of persons in these deprived communities </w:t>
      </w:r>
      <w:r w:rsidR="00790466">
        <w:t xml:space="preserve">and </w:t>
      </w:r>
      <w:r w:rsidR="001B79DD">
        <w:t xml:space="preserve">their heightened </w:t>
      </w:r>
      <w:r w:rsidR="00790466">
        <w:t>risk of exploitation.</w:t>
      </w:r>
      <w:r w:rsidR="00A02326">
        <w:t xml:space="preserve"> </w:t>
      </w:r>
    </w:p>
    <w:p w14:paraId="0DB6EC81" w14:textId="77777777" w:rsidR="001E7688" w:rsidRPr="001E7688" w:rsidRDefault="001E7688" w:rsidP="0002307E">
      <w:pPr>
        <w:pStyle w:val="Answer"/>
        <w:rPr>
          <w:b/>
          <w:bCs/>
        </w:rPr>
      </w:pPr>
      <w:r w:rsidRPr="001E7688">
        <w:rPr>
          <w:b/>
          <w:bCs/>
        </w:rPr>
        <w:t>Psychological Characteristics</w:t>
      </w:r>
    </w:p>
    <w:p w14:paraId="1E6BB834" w14:textId="3138D2D6" w:rsidR="00A4305F" w:rsidRDefault="001E7688" w:rsidP="0002307E">
      <w:pPr>
        <w:pStyle w:val="Answer"/>
      </w:pPr>
      <w:r>
        <w:t xml:space="preserve">Psychological factors, stemming particularly from previous trauma and Adverse Childhood Experiences (ACEs) is well documented to significantly increase the risk of various harming behaviours and involvement in crime </w:t>
      </w:r>
      <w:r w:rsidRPr="001E7688">
        <w:t>(Bellis et al., 2015)</w:t>
      </w:r>
      <w:r>
        <w:t xml:space="preserve">. </w:t>
      </w:r>
      <w:r w:rsidR="008630BB">
        <w:t xml:space="preserve">The research by </w:t>
      </w:r>
      <w:r w:rsidR="008630BB" w:rsidRPr="008630BB">
        <w:t>Anda et al.</w:t>
      </w:r>
      <w:r w:rsidR="008630BB">
        <w:t xml:space="preserve"> (</w:t>
      </w:r>
      <w:r w:rsidR="008630BB" w:rsidRPr="008630BB">
        <w:t>2006)</w:t>
      </w:r>
      <w:r w:rsidR="008630BB">
        <w:t xml:space="preserve"> emphasises that individuals with a history of ACEs are more likely to develop mental health issues and maladaptive behaviours such as substance misuse as a result, all of which places these individuals at higher risk of exploitation by gangs throughout their life.</w:t>
      </w:r>
    </w:p>
    <w:p w14:paraId="06660D0C" w14:textId="77777777" w:rsidR="001B36FD" w:rsidRDefault="001B36FD" w:rsidP="0002307E">
      <w:pPr>
        <w:pStyle w:val="Answer"/>
      </w:pPr>
      <w:r>
        <w:t xml:space="preserve">Mental health issues can act as a major contributory factor to an individual’s vulnerability and subsequent risk of exploitation. Isolation can be both a symptom and a cause of mental health issues such as anxiety and depression </w:t>
      </w:r>
      <w:r w:rsidRPr="001B36FD">
        <w:t>(Brown, Morgan and Fralick, 2021</w:t>
      </w:r>
      <w:r>
        <w:t>) and cases of such isolation and lack of support can make these individuals easy tartes for gangs who wish to exploit their vulnerabilities.</w:t>
      </w:r>
    </w:p>
    <w:p w14:paraId="78E0053B" w14:textId="77777777" w:rsidR="007B7D02" w:rsidRDefault="001B36FD" w:rsidP="0002307E">
      <w:pPr>
        <w:pStyle w:val="Answer"/>
      </w:pPr>
      <w:r>
        <w:t>Similarly, low</w:t>
      </w:r>
      <w:r w:rsidR="00423677">
        <w:t xml:space="preserve"> </w:t>
      </w:r>
      <w:r>
        <w:t>self</w:t>
      </w:r>
      <w:r w:rsidR="00423677">
        <w:t>-</w:t>
      </w:r>
      <w:r>
        <w:t xml:space="preserve">esteem and a natural need for belonging can feed into an </w:t>
      </w:r>
      <w:r w:rsidR="00423677">
        <w:t>individual’s</w:t>
      </w:r>
      <w:r>
        <w:t xml:space="preserve"> risk of exploitation by criminal gangs</w:t>
      </w:r>
      <w:r w:rsidR="00423677">
        <w:t xml:space="preserve">. According to </w:t>
      </w:r>
      <w:r w:rsidR="00423677" w:rsidRPr="00423677">
        <w:t>Baumeister and Leary (1995)</w:t>
      </w:r>
      <w:r w:rsidR="00423677">
        <w:t xml:space="preserve"> a need to belong can often attract young people to join gangs as they seek them out as ‘surrogate’ families. </w:t>
      </w:r>
      <w:r w:rsidR="00421688">
        <w:t xml:space="preserve">Additionally, an individual with low self-esteem who is at risk of exploitation by criminal gangs is likely to be more susceptible to the manipulation and coercion of the gangs due to their lack of confidence in their own self-worth and ability. </w:t>
      </w:r>
    </w:p>
    <w:p w14:paraId="0924D422" w14:textId="64EAD093" w:rsidR="007B7D02" w:rsidRDefault="00B16A16" w:rsidP="0002307E">
      <w:pPr>
        <w:pStyle w:val="Answer"/>
      </w:pPr>
      <w:r>
        <w:t xml:space="preserve">Research by </w:t>
      </w:r>
      <w:r w:rsidR="00390C82" w:rsidRPr="00390C82">
        <w:t>Alleyne and Wood (2010)</w:t>
      </w:r>
      <w:r w:rsidR="00390C82">
        <w:t xml:space="preserve"> has commented that </w:t>
      </w:r>
      <w:r w:rsidR="007B7D02">
        <w:t xml:space="preserve">persons with low self-esteem may look toward a gang for support and as the group esteem goes up, so does the individuals, thus providing an idealistic perspective of their membership or assumed membership. Additionally, the research has identified several other psychological constructs that are linked to increased risk of gang </w:t>
      </w:r>
      <w:proofErr w:type="gramStart"/>
      <w:r w:rsidR="007B7D02">
        <w:t>membership, but</w:t>
      </w:r>
      <w:proofErr w:type="gramEnd"/>
      <w:r w:rsidR="007B7D02">
        <w:t xml:space="preserve"> can also be paralleled into increased risk of exploitation by gangs, these include impulsivity, risk-seeking, and peer pressure </w:t>
      </w:r>
      <w:r w:rsidR="007B7D02" w:rsidRPr="007B7D02">
        <w:t>(Alleyne and Wood, 2010)</w:t>
      </w:r>
      <w:r w:rsidR="007B7D02">
        <w:t>.</w:t>
      </w:r>
    </w:p>
    <w:p w14:paraId="776389F5" w14:textId="77777777" w:rsidR="009450FB" w:rsidRPr="009450FB" w:rsidRDefault="009450FB" w:rsidP="0002307E">
      <w:pPr>
        <w:pStyle w:val="Answer"/>
        <w:rPr>
          <w:b/>
          <w:bCs/>
        </w:rPr>
      </w:pPr>
      <w:r w:rsidRPr="009450FB">
        <w:rPr>
          <w:b/>
          <w:bCs/>
        </w:rPr>
        <w:t>Intersection of Socio-Economic and Psychological Factors</w:t>
      </w:r>
    </w:p>
    <w:p w14:paraId="4D57B1E6" w14:textId="2ABE9520" w:rsidR="009450FB" w:rsidRDefault="009450FB" w:rsidP="0002307E">
      <w:pPr>
        <w:pStyle w:val="Answer"/>
      </w:pPr>
      <w:r>
        <w:t xml:space="preserve">There is a clear intersection of the socio-economic and psychological factors that make people vulnerable to exploitation by criminal gangs, and not only does this intersection exist but it </w:t>
      </w:r>
      <w:r>
        <w:lastRenderedPageBreak/>
        <w:t xml:space="preserve">can be argued that it exacerbates the risk of exploitation. </w:t>
      </w:r>
      <w:r w:rsidR="00B84D15">
        <w:t xml:space="preserve">Research has shown that economic deprivation (such as poverty) can both be a cause and a consequence of mental health problems </w:t>
      </w:r>
      <w:r w:rsidR="00B84D15" w:rsidRPr="00B84D15">
        <w:t>(</w:t>
      </w:r>
      <w:proofErr w:type="spellStart"/>
      <w:r w:rsidR="00B84D15" w:rsidRPr="00B84D15">
        <w:t>Knifton</w:t>
      </w:r>
      <w:proofErr w:type="spellEnd"/>
      <w:r w:rsidR="00B84D15" w:rsidRPr="00B84D15">
        <w:t xml:space="preserve"> and Inglis, 2020)</w:t>
      </w:r>
      <w:r w:rsidR="00B84D15">
        <w:t xml:space="preserve"> demonstrating that the above two areas of discussion are deeply intertwined and can jointly make individuals more susceptible to exploitation by criminal gangs. </w:t>
      </w:r>
    </w:p>
    <w:p w14:paraId="2DC2E689" w14:textId="56B5A2E3" w:rsidR="00421688" w:rsidRDefault="00421688" w:rsidP="0002307E">
      <w:pPr>
        <w:pStyle w:val="Answer"/>
      </w:pPr>
      <w:r>
        <w:t xml:space="preserve">Such risk factors as discussed above all feed into the common features of individuals who are victims of a common practice used by criminal gangs, known as ‘cuckooing’; a tactic used by criminals where they target the home of a vulnerable person </w:t>
      </w:r>
      <w:proofErr w:type="gramStart"/>
      <w:r>
        <w:t>in order to</w:t>
      </w:r>
      <w:proofErr w:type="gramEnd"/>
      <w:r>
        <w:t xml:space="preserve"> use it as a base for their criminal activity. This term has become inextricably linked to the drug supply model in the UK known as ‘County Lines’ </w:t>
      </w:r>
      <w:r w:rsidRPr="007E6CEA">
        <w:t>(Spicer, Moyle and Coomber, 2019)</w:t>
      </w:r>
      <w:r>
        <w:t xml:space="preserve">. </w:t>
      </w:r>
    </w:p>
    <w:p w14:paraId="064BD0CD" w14:textId="77777777" w:rsidR="009450FB" w:rsidRPr="009450FB" w:rsidRDefault="009450FB" w:rsidP="0002307E">
      <w:pPr>
        <w:pStyle w:val="Answer"/>
        <w:rPr>
          <w:b/>
          <w:bCs/>
        </w:rPr>
      </w:pPr>
      <w:r w:rsidRPr="009450FB">
        <w:rPr>
          <w:b/>
          <w:bCs/>
        </w:rPr>
        <w:t>Conclusion</w:t>
      </w:r>
    </w:p>
    <w:p w14:paraId="512D7483" w14:textId="77777777" w:rsidR="00920014" w:rsidRDefault="00B84D15" w:rsidP="0002307E">
      <w:pPr>
        <w:pStyle w:val="Answer"/>
      </w:pPr>
      <w:r>
        <w:t xml:space="preserve">In conclusion, the vulnerability to exploitation by criminal gangs is a multi-faceted one. It involves a complex relationship of socio-economic and psychological factors. </w:t>
      </w:r>
      <w:r w:rsidR="003E0D66">
        <w:t xml:space="preserve">Effective interventions must consider these diverse and intersecting causation factors of vulnerability to develop comprehensive strategies for prevention and support. </w:t>
      </w:r>
      <w:r>
        <w:t xml:space="preserve">For </w:t>
      </w:r>
      <w:r w:rsidR="003E0D66">
        <w:t xml:space="preserve">real and </w:t>
      </w:r>
      <w:r>
        <w:t xml:space="preserve">effective </w:t>
      </w:r>
      <w:r w:rsidR="003E0D66">
        <w:t>intervention into the root causes of gang exploitation,</w:t>
      </w:r>
      <w:r>
        <w:t xml:space="preserve"> </w:t>
      </w:r>
      <w:r w:rsidR="003E0D66">
        <w:t xml:space="preserve">continued research and policy development are required </w:t>
      </w:r>
      <w:r>
        <w:t xml:space="preserve">in </w:t>
      </w:r>
      <w:r w:rsidR="003E0D66">
        <w:t xml:space="preserve">areas far wider reaching than just policing and criminal justice </w:t>
      </w:r>
      <w:r>
        <w:t xml:space="preserve">such </w:t>
      </w:r>
      <w:r w:rsidR="00E67EE9">
        <w:t>as</w:t>
      </w:r>
      <w:r w:rsidR="003E0D66">
        <w:t xml:space="preserve"> </w:t>
      </w:r>
      <w:r>
        <w:t xml:space="preserve">health, social </w:t>
      </w:r>
      <w:r w:rsidR="00E67EE9">
        <w:t>care,</w:t>
      </w:r>
      <w:r>
        <w:t xml:space="preserve"> and education</w:t>
      </w:r>
      <w:r w:rsidR="009D6F7C">
        <w:t xml:space="preserve"> </w:t>
      </w:r>
      <w:r w:rsidR="009D6F7C" w:rsidRPr="009D6F7C">
        <w:t>(HM Government, 2018)</w:t>
      </w:r>
      <w:r w:rsidR="003E0D66">
        <w:t>.</w:t>
      </w:r>
    </w:p>
    <w:p w14:paraId="3E070582" w14:textId="2C86B981" w:rsidR="00E04C8C" w:rsidRDefault="00920014" w:rsidP="0002307E">
      <w:pPr>
        <w:pStyle w:val="Answer"/>
      </w:pPr>
      <w:r w:rsidRPr="006A7266">
        <w:rPr>
          <w:b/>
          <w:bCs/>
          <w:i/>
          <w:iCs/>
          <w:sz w:val="28"/>
          <w:szCs w:val="24"/>
          <w:u w:val="single"/>
        </w:rPr>
        <w:t>Word Count - 10</w:t>
      </w:r>
      <w:r>
        <w:rPr>
          <w:b/>
          <w:bCs/>
          <w:i/>
          <w:iCs/>
          <w:sz w:val="28"/>
          <w:szCs w:val="24"/>
          <w:u w:val="single"/>
        </w:rPr>
        <w:t>02</w:t>
      </w:r>
      <w:r w:rsidR="00E04C8C">
        <w:br w:type="page"/>
      </w:r>
    </w:p>
    <w:p w14:paraId="1B80D77D" w14:textId="01513E35" w:rsidR="00E04C8C" w:rsidRPr="00E04C8C" w:rsidRDefault="00E04C8C" w:rsidP="00E04C8C">
      <w:pPr>
        <w:jc w:val="center"/>
        <w:rPr>
          <w:b/>
          <w:bCs/>
          <w:sz w:val="36"/>
          <w:szCs w:val="36"/>
        </w:rPr>
      </w:pPr>
      <w:r w:rsidRPr="00E04C8C">
        <w:rPr>
          <w:b/>
          <w:bCs/>
          <w:sz w:val="36"/>
          <w:szCs w:val="36"/>
        </w:rPr>
        <w:lastRenderedPageBreak/>
        <w:t xml:space="preserve">Essay </w:t>
      </w:r>
      <w:r>
        <w:rPr>
          <w:b/>
          <w:bCs/>
          <w:sz w:val="36"/>
          <w:szCs w:val="36"/>
        </w:rPr>
        <w:t>4</w:t>
      </w:r>
    </w:p>
    <w:p w14:paraId="2F21F80E" w14:textId="3D5A5E6D" w:rsidR="00953ECE" w:rsidRPr="00953ECE" w:rsidRDefault="00E04C8C" w:rsidP="00953ECE">
      <w:pPr>
        <w:rPr>
          <w:b/>
          <w:bCs/>
          <w:sz w:val="28"/>
          <w:szCs w:val="28"/>
          <w:u w:val="single"/>
        </w:rPr>
      </w:pPr>
      <w:r w:rsidRPr="00E04C8C">
        <w:rPr>
          <w:b/>
          <w:bCs/>
          <w:sz w:val="28"/>
          <w:szCs w:val="28"/>
          <w:u w:val="single"/>
        </w:rPr>
        <w:t>Question</w:t>
      </w:r>
    </w:p>
    <w:p w14:paraId="4536059B" w14:textId="77777777" w:rsidR="00953ECE" w:rsidRPr="00423677" w:rsidRDefault="00953ECE" w:rsidP="00953ECE">
      <w:pPr>
        <w:rPr>
          <w:i/>
          <w:iCs/>
        </w:rPr>
      </w:pPr>
      <w:r w:rsidRPr="00423677">
        <w:rPr>
          <w:i/>
          <w:iCs/>
        </w:rPr>
        <w:t>Critically assess the effectiveness of options available to reduce re-offending. You may choose a specific type of offence for this answer e.g. domestic violence, anti-social behaviour, knife crime.</w:t>
      </w:r>
    </w:p>
    <w:p w14:paraId="4481E0F4" w14:textId="77777777" w:rsidR="00953ECE" w:rsidRPr="00423677" w:rsidRDefault="00953ECE" w:rsidP="00953ECE">
      <w:pPr>
        <w:rPr>
          <w:i/>
          <w:iCs/>
        </w:rPr>
      </w:pPr>
      <w:r w:rsidRPr="00423677">
        <w:rPr>
          <w:i/>
          <w:iCs/>
        </w:rPr>
        <w:t xml:space="preserve">Your answer must be based on academic research, but you may </w:t>
      </w:r>
      <w:proofErr w:type="gramStart"/>
      <w:r w:rsidRPr="00423677">
        <w:rPr>
          <w:i/>
          <w:iCs/>
        </w:rPr>
        <w:t>make reference</w:t>
      </w:r>
      <w:proofErr w:type="gramEnd"/>
      <w:r w:rsidRPr="00423677">
        <w:rPr>
          <w:i/>
          <w:iCs/>
        </w:rPr>
        <w:t xml:space="preserve"> to relevant case studies.</w:t>
      </w:r>
    </w:p>
    <w:p w14:paraId="2BDB8429" w14:textId="77777777" w:rsidR="00E04C8C" w:rsidRPr="00E04C8C" w:rsidRDefault="00E04C8C" w:rsidP="00E04C8C">
      <w:pPr>
        <w:rPr>
          <w:b/>
          <w:bCs/>
          <w:sz w:val="28"/>
          <w:szCs w:val="28"/>
          <w:u w:val="single"/>
        </w:rPr>
      </w:pPr>
      <w:r w:rsidRPr="00E04C8C">
        <w:rPr>
          <w:b/>
          <w:bCs/>
          <w:sz w:val="28"/>
          <w:szCs w:val="28"/>
          <w:u w:val="single"/>
        </w:rPr>
        <w:t>Answer</w:t>
      </w:r>
    </w:p>
    <w:p w14:paraId="413EA65B" w14:textId="7FA5B245" w:rsidR="00E04C8C" w:rsidRDefault="00343449" w:rsidP="00343449">
      <w:pPr>
        <w:pStyle w:val="Answer"/>
      </w:pPr>
      <w:r>
        <w:t xml:space="preserve">Knife crime and the surrounding issues has consistently been a significant concern and has been a persistent problem in the United Kingdom for many years </w:t>
      </w:r>
      <w:r w:rsidRPr="00343449">
        <w:t>(College of Policing, 2024)</w:t>
      </w:r>
      <w:r>
        <w:t>. This essay critically assesses the effectiveness of options available to reduce re-offending drawing on relevant academic research.</w:t>
      </w:r>
    </w:p>
    <w:p w14:paraId="6584FFE3" w14:textId="5050327A" w:rsidR="00343449" w:rsidRPr="00343449" w:rsidRDefault="00343449" w:rsidP="00343449">
      <w:pPr>
        <w:pStyle w:val="Answer"/>
        <w:rPr>
          <w:b/>
          <w:bCs/>
        </w:rPr>
      </w:pPr>
      <w:r w:rsidRPr="00343449">
        <w:rPr>
          <w:b/>
          <w:bCs/>
        </w:rPr>
        <w:t>Background of Knife Crime in the UK</w:t>
      </w:r>
    </w:p>
    <w:p w14:paraId="5A4A0525" w14:textId="77777777" w:rsidR="00554CC7" w:rsidRDefault="00590E14" w:rsidP="00554CC7">
      <w:pPr>
        <w:pStyle w:val="Answer"/>
      </w:pPr>
      <w:bookmarkStart w:id="1" w:name="_Hlk167448058"/>
      <w:r>
        <w:t xml:space="preserve">Knife crime </w:t>
      </w:r>
      <w:r w:rsidR="00554CC7">
        <w:t xml:space="preserve">encompasses a wide array of offences beyond the mere possession of knives. In the UK, the police classify knife crime by labelling an offence where a knife or other sharp instrument has been used during the commission of the crime, this is termed as “knife-enabled crime”. This broad categorisation includes a variety of criminal offences, but all under the ‘knife crime’ umbrella and will be the focus of the analysis within this essay. </w:t>
      </w:r>
      <w:bookmarkEnd w:id="1"/>
    </w:p>
    <w:p w14:paraId="54C4B541" w14:textId="3EFE7DDF" w:rsidR="00171F70" w:rsidRDefault="00554CC7" w:rsidP="00554CC7">
      <w:pPr>
        <w:pStyle w:val="Answer"/>
      </w:pPr>
      <w:r>
        <w:t>The UK has</w:t>
      </w:r>
      <w:r w:rsidR="00171F70">
        <w:t xml:space="preserve"> seen a worrying increase </w:t>
      </w:r>
      <w:r>
        <w:t xml:space="preserve">of knife crime </w:t>
      </w:r>
      <w:r w:rsidR="00171F70">
        <w:t xml:space="preserve">over the past decade, with an increase of around 75% between 2012/13 and 2022/23 </w:t>
      </w:r>
      <w:r w:rsidR="00171F70" w:rsidRPr="00171F70">
        <w:t>(Popham, 2023)</w:t>
      </w:r>
      <w:r w:rsidR="00171F70">
        <w:t xml:space="preserve">. The most recent statistics from the Office for National Statistics shows that knife crime recorded by the police in the year ending 2023 had increased by 7% from 49,489 offences when compared to the 46,153 offences in the previous year </w:t>
      </w:r>
      <w:r w:rsidR="00171F70" w:rsidRPr="00171F70">
        <w:t>(Office for National Statistics, 2024)</w:t>
      </w:r>
      <w:r w:rsidR="00171F70">
        <w:t xml:space="preserve">. </w:t>
      </w:r>
    </w:p>
    <w:p w14:paraId="5662BD5C" w14:textId="6A5EB33B" w:rsidR="00C508F5" w:rsidRDefault="00554CC7" w:rsidP="00554CC7">
      <w:pPr>
        <w:pStyle w:val="Answer"/>
      </w:pPr>
      <w:r>
        <w:t>As highlighted by the College of Policing (2024</w:t>
      </w:r>
      <w:r w:rsidR="00E06657">
        <w:t>b</w:t>
      </w:r>
      <w:r>
        <w:t xml:space="preserve">) “the societal, economic and health implications of knife crime are both significant and highly concentrated”. The research also shows that </w:t>
      </w:r>
      <w:r w:rsidR="00C508F5">
        <w:t xml:space="preserve">the burden of these crimes falls on young males, as the most common victims and perpetrators of them </w:t>
      </w:r>
      <w:r w:rsidR="00C508F5" w:rsidRPr="00590E14">
        <w:t>(Kabir et al., 2022</w:t>
      </w:r>
      <w:r w:rsidR="00C508F5">
        <w:t xml:space="preserve">; </w:t>
      </w:r>
      <w:proofErr w:type="spellStart"/>
      <w:r w:rsidR="00C508F5" w:rsidRPr="00C508F5">
        <w:t>Mcneill</w:t>
      </w:r>
      <w:proofErr w:type="spellEnd"/>
      <w:r w:rsidR="00C508F5" w:rsidRPr="00C508F5">
        <w:t xml:space="preserve"> and Wheller, 2019</w:t>
      </w:r>
      <w:r w:rsidR="00C508F5" w:rsidRPr="00590E14">
        <w:t>)</w:t>
      </w:r>
      <w:r w:rsidR="00C508F5">
        <w:t xml:space="preserve"> and is concentrated in metropolitan areas </w:t>
      </w:r>
      <w:r w:rsidRPr="00171F70">
        <w:t>(Office for National Statistics, 2024)</w:t>
      </w:r>
      <w:r w:rsidR="00C508F5">
        <w:t>. Clearly, addressing re-offending and reducing the number of these offences is crucial in mitigating the impacts of these crimes across the country and creating safter and more prosperous communities.</w:t>
      </w:r>
    </w:p>
    <w:p w14:paraId="27DDB1E5" w14:textId="35C52A3E" w:rsidR="00C508F5" w:rsidRDefault="00031E62" w:rsidP="00554CC7">
      <w:pPr>
        <w:pStyle w:val="Answer"/>
        <w:rPr>
          <w:b/>
          <w:bCs/>
        </w:rPr>
      </w:pPr>
      <w:r>
        <w:rPr>
          <w:b/>
          <w:bCs/>
        </w:rPr>
        <w:t>Interventions and Their Effectiveness</w:t>
      </w:r>
    </w:p>
    <w:p w14:paraId="01835203" w14:textId="6ECF25F8" w:rsidR="00031E62" w:rsidRPr="00031E62" w:rsidRDefault="00441A51" w:rsidP="00031E62">
      <w:pPr>
        <w:pStyle w:val="Answer"/>
        <w:rPr>
          <w:u w:val="single"/>
        </w:rPr>
      </w:pPr>
      <w:r>
        <w:rPr>
          <w:u w:val="single"/>
        </w:rPr>
        <w:t>Imprisonment</w:t>
      </w:r>
    </w:p>
    <w:p w14:paraId="18508176" w14:textId="2FE0B81E" w:rsidR="00031E62" w:rsidRDefault="00031E62" w:rsidP="00031E62">
      <w:pPr>
        <w:pStyle w:val="Answer"/>
      </w:pPr>
      <w:r>
        <w:t>A traditional approach to punish persons responsible for committing offences and to reduce re-offending i</w:t>
      </w:r>
      <w:r w:rsidR="00665F3E">
        <w:t>s</w:t>
      </w:r>
      <w:r>
        <w:t xml:space="preserve"> the use of custodial sentences in prison. The general </w:t>
      </w:r>
      <w:r w:rsidR="00665F3E">
        <w:t xml:space="preserve">purposes of imprisonment </w:t>
      </w:r>
      <w:r w:rsidR="00665F3E">
        <w:lastRenderedPageBreak/>
        <w:t xml:space="preserve">are fourfold; to protect the public, to punish the offender, to rehabilitate the offender, and finally to act as a deterrent to the offender and others </w:t>
      </w:r>
      <w:r w:rsidR="00665F3E" w:rsidRPr="00665F3E">
        <w:t>(University of Glasgow, 2015)</w:t>
      </w:r>
      <w:r w:rsidR="00665F3E">
        <w:t xml:space="preserve">. </w:t>
      </w:r>
      <w:r w:rsidR="00E77036">
        <w:t>The latter two aims of imprisonment are the main areas of focus in this discussion, and despite being the most historic form of punishment with the aim of rehabilitation, research suggests that imprisonment alone is often ineffective at reducing re-offending</w:t>
      </w:r>
      <w:r w:rsidR="000B4E3C">
        <w:t xml:space="preserve"> </w:t>
      </w:r>
      <w:r w:rsidR="000B4E3C" w:rsidRPr="000B4E3C">
        <w:t>(Ministry of Justice, 2024)</w:t>
      </w:r>
      <w:r w:rsidR="00E77036">
        <w:t xml:space="preserve">. In fact, in the case of juveniles convicted of knife crimes, prison sentences have been found to significantly </w:t>
      </w:r>
      <w:proofErr w:type="spellStart"/>
      <w:r w:rsidR="00E77036">
        <w:t>increate</w:t>
      </w:r>
      <w:proofErr w:type="spellEnd"/>
      <w:r w:rsidR="00E77036">
        <w:t xml:space="preserve"> re-offending when compared to non-custodial and community-based interventions </w:t>
      </w:r>
      <w:r w:rsidR="00E77036" w:rsidRPr="00E77036">
        <w:t>(</w:t>
      </w:r>
      <w:proofErr w:type="spellStart"/>
      <w:r w:rsidR="00E77036" w:rsidRPr="00E77036">
        <w:t>Mcneill</w:t>
      </w:r>
      <w:proofErr w:type="spellEnd"/>
      <w:r w:rsidR="00E77036" w:rsidRPr="00E77036">
        <w:t xml:space="preserve"> and Wheller, 2019)</w:t>
      </w:r>
      <w:r w:rsidR="00E77036">
        <w:t xml:space="preserve">. Therefore, this indicates that whilst custodial sentences may offer a temporary solution in so far as the individuals are prevented from committing such offences whilst incarcerated, it is not a long-term solution that prevents re-offending permanently. </w:t>
      </w:r>
    </w:p>
    <w:p w14:paraId="2980BAA2" w14:textId="7509F41E" w:rsidR="00E77036" w:rsidRPr="00441A51" w:rsidRDefault="00441A51" w:rsidP="00031E62">
      <w:pPr>
        <w:pStyle w:val="Answer"/>
        <w:rPr>
          <w:u w:val="single"/>
        </w:rPr>
      </w:pPr>
      <w:r w:rsidRPr="00441A51">
        <w:rPr>
          <w:u w:val="single"/>
        </w:rPr>
        <w:t>Knife Amnesties</w:t>
      </w:r>
    </w:p>
    <w:p w14:paraId="5A6F6C97" w14:textId="00C93618" w:rsidR="00665F3E" w:rsidRDefault="00441A51" w:rsidP="00031E62">
      <w:pPr>
        <w:pStyle w:val="Answer"/>
      </w:pPr>
      <w:r>
        <w:t xml:space="preserve">Knife amnesties are a common intervention implemented across the UK, they encourage and provide an opportunity for individuals to voluntarily surrender their knives without any risk of prosecution. Whilst there is little research on this topic, </w:t>
      </w:r>
      <w:r w:rsidR="00DC2795">
        <w:t xml:space="preserve">according to </w:t>
      </w:r>
      <w:proofErr w:type="spellStart"/>
      <w:r w:rsidRPr="00E77036">
        <w:t>Mcneill</w:t>
      </w:r>
      <w:proofErr w:type="spellEnd"/>
      <w:r w:rsidRPr="00E77036">
        <w:t xml:space="preserve"> and Wheller</w:t>
      </w:r>
      <w:r>
        <w:t xml:space="preserve"> (</w:t>
      </w:r>
      <w:r w:rsidRPr="00E77036">
        <w:t>2019</w:t>
      </w:r>
      <w:r>
        <w:t xml:space="preserve">) police data shows there is little or short-term impact to these initiatives. Whilst they can reduce the number of knives on the streets, even if a significant number of weapons are </w:t>
      </w:r>
      <w:r w:rsidR="00DC2795">
        <w:t>seized,</w:t>
      </w:r>
      <w:r>
        <w:t xml:space="preserve"> they will only represent a small amount of the total number available to offenders </w:t>
      </w:r>
      <w:r w:rsidR="00DC2795" w:rsidRPr="00DC2795">
        <w:t>(Foster, 2013)</w:t>
      </w:r>
      <w:r w:rsidR="00DC2795">
        <w:t xml:space="preserve">. Irrespective of this, such initiatives do provide a valuable educational approach through their awareness raising function </w:t>
      </w:r>
      <w:r w:rsidR="00DC2795" w:rsidRPr="00DC2795">
        <w:t>(Eades et al., 2007</w:t>
      </w:r>
      <w:r w:rsidR="00DC2795">
        <w:t xml:space="preserve">; </w:t>
      </w:r>
      <w:r w:rsidR="00DC2795" w:rsidRPr="00DC2795">
        <w:t>Foster, 2013)</w:t>
      </w:r>
      <w:r w:rsidR="00DC2795">
        <w:t xml:space="preserve"> which feeds onto some of the more successful interventions later in this essay.</w:t>
      </w:r>
    </w:p>
    <w:p w14:paraId="3185A914" w14:textId="67A1E655" w:rsidR="00E77036" w:rsidRPr="00E77036" w:rsidRDefault="00E77036" w:rsidP="00031E62">
      <w:pPr>
        <w:pStyle w:val="Answer"/>
        <w:rPr>
          <w:u w:val="single"/>
        </w:rPr>
      </w:pPr>
      <w:r w:rsidRPr="00E77036">
        <w:rPr>
          <w:u w:val="single"/>
        </w:rPr>
        <w:t>Rehabilitation Programmes</w:t>
      </w:r>
    </w:p>
    <w:p w14:paraId="4F5F15F8" w14:textId="6C141D3D" w:rsidR="008850E7" w:rsidRDefault="006F308B" w:rsidP="00031E62">
      <w:pPr>
        <w:pStyle w:val="Answer"/>
      </w:pPr>
      <w:r>
        <w:t xml:space="preserve">There are a range of educational programmes and interventions available in both prison and the community for individuals on probation, these aim to change the “thinking, attitudes and behaviours which may lead people to reoffend” </w:t>
      </w:r>
      <w:r w:rsidRPr="006F308B">
        <w:t>(Ministry of Justice, 2022)</w:t>
      </w:r>
      <w:r>
        <w:t xml:space="preserve">. </w:t>
      </w:r>
      <w:r w:rsidR="007148A0">
        <w:t xml:space="preserve">Evidence suggests that such interventions </w:t>
      </w:r>
      <w:r w:rsidR="008850E7">
        <w:t xml:space="preserve">can reduce re-offending rates by substantial margins; specifically, a meta-analysis of such rehabilitation treatments by </w:t>
      </w:r>
      <w:r w:rsidR="008850E7" w:rsidRPr="008850E7">
        <w:t>Lipsey and Cullen (2007)</w:t>
      </w:r>
      <w:r w:rsidR="008850E7">
        <w:t xml:space="preserve"> found that they can reduce re-offending rates by around 10-20% and upward towards 40%. It is vital that such programmes are carefully designed as programmes that are poorly designed or run, targeted at the incorrect people, or delivered by under-trained staff can sometimes increase offending rather than decrease it </w:t>
      </w:r>
      <w:r w:rsidR="008850E7" w:rsidRPr="006F308B">
        <w:t>(Ministry of Justice, 2022)</w:t>
      </w:r>
      <w:r w:rsidR="008850E7">
        <w:t>.</w:t>
      </w:r>
    </w:p>
    <w:p w14:paraId="29C2CD6F" w14:textId="0CA258EF" w:rsidR="008850E7" w:rsidRDefault="008850E7" w:rsidP="00031E62">
      <w:pPr>
        <w:pStyle w:val="Answer"/>
      </w:pPr>
      <w:r>
        <w:t xml:space="preserve">Cognitive-behavioural therapy (CBT) techniques is a common method employed in such rehabilitation programmes. The aim of CBT in these circumstances is to </w:t>
      </w:r>
      <w:r w:rsidR="00D81869">
        <w:t xml:space="preserve">assist the offenders to build the cognitive skills and to restructure biased or distorted thinking that will allow them to change their once destructive thought patterns and behaviour </w:t>
      </w:r>
      <w:r w:rsidR="00D81869" w:rsidRPr="00D81869">
        <w:t>(College of Policing, 2018)</w:t>
      </w:r>
      <w:r w:rsidR="00D81869">
        <w:t xml:space="preserve">. The meta-analysis of a total of 58 studies by the College of Policing (2018) has shown a </w:t>
      </w:r>
      <w:r w:rsidR="00D81869">
        <w:lastRenderedPageBreak/>
        <w:t xml:space="preserve">statistically significant reduction in re-offending with the use of CBT. However, a fundamental principle of CBT is that the individual must </w:t>
      </w:r>
      <w:r w:rsidR="00825A4C">
        <w:t>be willing to be engaged in the programme for</w:t>
      </w:r>
      <w:r w:rsidR="00D81869">
        <w:t xml:space="preserve"> it to be effective, without this the benefits are </w:t>
      </w:r>
      <w:r w:rsidR="00825A4C">
        <w:t>likely to be diminished.</w:t>
      </w:r>
      <w:r w:rsidR="00D81869">
        <w:t xml:space="preserve"> </w:t>
      </w:r>
    </w:p>
    <w:p w14:paraId="364C92D4" w14:textId="4A41720D" w:rsidR="00E77036" w:rsidRPr="00E77036" w:rsidRDefault="00E77036" w:rsidP="00031E62">
      <w:pPr>
        <w:pStyle w:val="Answer"/>
        <w:rPr>
          <w:u w:val="single"/>
        </w:rPr>
      </w:pPr>
      <w:r w:rsidRPr="00E77036">
        <w:rPr>
          <w:u w:val="single"/>
        </w:rPr>
        <w:t>Community-Based</w:t>
      </w:r>
      <w:r w:rsidR="00912483">
        <w:rPr>
          <w:u w:val="single"/>
        </w:rPr>
        <w:t xml:space="preserve"> &amp; Multi-Agency</w:t>
      </w:r>
      <w:r w:rsidRPr="00E77036">
        <w:rPr>
          <w:u w:val="single"/>
        </w:rPr>
        <w:t xml:space="preserve"> Interventions</w:t>
      </w:r>
    </w:p>
    <w:p w14:paraId="6113392F" w14:textId="77777777" w:rsidR="0039363C" w:rsidRDefault="00825A4C" w:rsidP="00031E62">
      <w:pPr>
        <w:pStyle w:val="Answer"/>
      </w:pPr>
      <w:r>
        <w:t xml:space="preserve">Another more holistic approach to tackling recidivism, particularly knife crime, is the use of community-based interventions. As discussed in this essay, knife crime is deeply intertwined with social, economic, and cultural factors. This is why community-based interventions can be an effective tool in re-educating and tackle these root causes within the communities and individuals within them where they arise. </w:t>
      </w:r>
    </w:p>
    <w:p w14:paraId="6AF3998F" w14:textId="0C16B5A3" w:rsidR="0039363C" w:rsidRDefault="0039363C" w:rsidP="00031E62">
      <w:pPr>
        <w:pStyle w:val="Answer"/>
      </w:pPr>
      <w:r>
        <w:t xml:space="preserve">For example, the Community Initiative to Reduce Violence (CRIV) was developed as a multi-agency and community-centred project designed to reduce physical violence and the carriage of weapons in Glasgow </w:t>
      </w:r>
      <w:r w:rsidRPr="0039363C">
        <w:t>(Scottish Violence Reduction Unit, 2020)</w:t>
      </w:r>
      <w:r>
        <w:t xml:space="preserve">. An evaluation of this programme by </w:t>
      </w:r>
      <w:r w:rsidRPr="0039363C">
        <w:t>Williams et al. (2014)</w:t>
      </w:r>
      <w:r>
        <w:t xml:space="preserve"> found a “positive statistically significant effect on rates of weapon possession among those engaged with the initiative”. </w:t>
      </w:r>
      <w:r w:rsidR="00912483">
        <w:t xml:space="preserve">Such programmes and Violence Reduction Units (VRUs) now exist across the country, with a total of 20 across various police force areas with the aim to lead and coordinate a “preventative, whole-system approach to violence reduction” </w:t>
      </w:r>
      <w:r w:rsidR="00912483" w:rsidRPr="00912483">
        <w:t>(Home Office, 2023)</w:t>
      </w:r>
      <w:r w:rsidR="00912483">
        <w:t xml:space="preserve">. </w:t>
      </w:r>
    </w:p>
    <w:p w14:paraId="4046C06E" w14:textId="1F58CB47" w:rsidR="00031E62" w:rsidRPr="00031E62" w:rsidRDefault="00031E62" w:rsidP="00031E62">
      <w:pPr>
        <w:pStyle w:val="Answer"/>
        <w:rPr>
          <w:b/>
          <w:bCs/>
        </w:rPr>
      </w:pPr>
      <w:r w:rsidRPr="00031E62">
        <w:rPr>
          <w:b/>
          <w:bCs/>
        </w:rPr>
        <w:t>Conclusion</w:t>
      </w:r>
    </w:p>
    <w:p w14:paraId="10BB2875" w14:textId="1DF32552" w:rsidR="00D45287" w:rsidRDefault="00031E62" w:rsidP="00825A4C">
      <w:pPr>
        <w:pStyle w:val="Answer"/>
      </w:pPr>
      <w:r>
        <w:t>This essay has s</w:t>
      </w:r>
      <w:r w:rsidR="000B4E3C">
        <w:t>h</w:t>
      </w:r>
      <w:r>
        <w:t xml:space="preserve">own that addressing re-offending among those involved in knife crime requires a multifaceted approach that combines traditional punitive measures, proactive policing, rehabilitation, and community-based interventions. Whilst each of the measures discussed have shown varying levels of success, those that address the root causes of the criminal behaviour that leads persons to carry or use knives in the commission of crime appear to have the most effect on </w:t>
      </w:r>
      <w:r w:rsidR="00BE3BC0">
        <w:t xml:space="preserve">successful intervention </w:t>
      </w:r>
      <w:r>
        <w:t xml:space="preserve">and subsequent reduction in re-offending. </w:t>
      </w:r>
    </w:p>
    <w:p w14:paraId="442D2F01" w14:textId="6373A679" w:rsidR="00912483" w:rsidRDefault="00912483" w:rsidP="00825A4C">
      <w:pPr>
        <w:pStyle w:val="Answer"/>
        <w:rPr>
          <w:b/>
          <w:bCs/>
          <w:i/>
          <w:iCs/>
          <w:sz w:val="28"/>
          <w:szCs w:val="24"/>
          <w:u w:val="single"/>
        </w:rPr>
      </w:pPr>
      <w:r w:rsidRPr="006A7266">
        <w:rPr>
          <w:b/>
          <w:bCs/>
          <w:i/>
          <w:iCs/>
          <w:sz w:val="28"/>
          <w:szCs w:val="24"/>
          <w:u w:val="single"/>
        </w:rPr>
        <w:t xml:space="preserve">Word Count </w:t>
      </w:r>
      <w:r w:rsidR="005719E1">
        <w:rPr>
          <w:b/>
          <w:bCs/>
          <w:i/>
          <w:iCs/>
          <w:sz w:val="28"/>
          <w:szCs w:val="24"/>
          <w:u w:val="single"/>
        </w:rPr>
        <w:t>–</w:t>
      </w:r>
      <w:r w:rsidRPr="006A7266">
        <w:rPr>
          <w:b/>
          <w:bCs/>
          <w:i/>
          <w:iCs/>
          <w:sz w:val="28"/>
          <w:szCs w:val="24"/>
          <w:u w:val="single"/>
        </w:rPr>
        <w:t xml:space="preserve"> 10</w:t>
      </w:r>
      <w:r>
        <w:rPr>
          <w:b/>
          <w:bCs/>
          <w:i/>
          <w:iCs/>
          <w:sz w:val="28"/>
          <w:szCs w:val="24"/>
          <w:u w:val="single"/>
        </w:rPr>
        <w:t>66</w:t>
      </w:r>
    </w:p>
    <w:p w14:paraId="64389A34" w14:textId="66C659E7" w:rsidR="005719E1" w:rsidRDefault="005719E1">
      <w:pPr>
        <w:spacing w:line="259" w:lineRule="auto"/>
        <w:rPr>
          <w:b/>
          <w:bCs/>
          <w:sz w:val="28"/>
          <w:szCs w:val="24"/>
        </w:rPr>
      </w:pPr>
      <w:r>
        <w:rPr>
          <w:b/>
          <w:bCs/>
          <w:sz w:val="28"/>
          <w:szCs w:val="24"/>
        </w:rPr>
        <w:br w:type="page"/>
      </w:r>
    </w:p>
    <w:p w14:paraId="6273ECF9" w14:textId="251D6A54" w:rsidR="005719E1" w:rsidRPr="005719E1" w:rsidRDefault="005719E1" w:rsidP="005719E1">
      <w:pPr>
        <w:pStyle w:val="Answer"/>
        <w:jc w:val="center"/>
        <w:rPr>
          <w:b/>
          <w:bCs/>
          <w:sz w:val="36"/>
          <w:szCs w:val="36"/>
        </w:rPr>
      </w:pPr>
      <w:r w:rsidRPr="005719E1">
        <w:rPr>
          <w:b/>
          <w:bCs/>
          <w:sz w:val="36"/>
          <w:szCs w:val="36"/>
        </w:rPr>
        <w:lastRenderedPageBreak/>
        <w:t>Bibliography</w:t>
      </w:r>
    </w:p>
    <w:p w14:paraId="1AD514B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Agnew, R. (1992). Foundation for a General Strain Theory of Crime and Delinquency. </w:t>
      </w:r>
      <w:r w:rsidRPr="005719E1">
        <w:rPr>
          <w:rFonts w:ascii="Calibri" w:eastAsia="Times New Roman" w:hAnsi="Calibri" w:cs="Calibri"/>
          <w:i/>
          <w:iCs/>
          <w:kern w:val="0"/>
          <w:szCs w:val="24"/>
          <w:lang w:eastAsia="en-GB"/>
          <w14:ligatures w14:val="none"/>
        </w:rPr>
        <w:t>Criminology</w:t>
      </w:r>
      <w:r w:rsidRPr="005719E1">
        <w:rPr>
          <w:rFonts w:ascii="Calibri" w:eastAsia="Times New Roman" w:hAnsi="Calibri" w:cs="Calibri"/>
          <w:kern w:val="0"/>
          <w:szCs w:val="24"/>
          <w:lang w:eastAsia="en-GB"/>
          <w14:ligatures w14:val="none"/>
        </w:rPr>
        <w:t xml:space="preserve">, [online] 30(1), pp.47–88.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://doi.org/10.1111/j.1745-9125.1992.tb01093.x</w:t>
      </w:r>
      <w:proofErr w:type="gramEnd"/>
      <w:r w:rsidRPr="005719E1">
        <w:rPr>
          <w:rFonts w:ascii="Calibri" w:eastAsia="Times New Roman" w:hAnsi="Calibri" w:cs="Calibri"/>
          <w:kern w:val="0"/>
          <w:szCs w:val="24"/>
          <w:lang w:eastAsia="en-GB"/>
          <w14:ligatures w14:val="none"/>
        </w:rPr>
        <w:t>.</w:t>
      </w:r>
    </w:p>
    <w:p w14:paraId="7B87BAC4"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Alleyne, </w:t>
      </w:r>
      <w:proofErr w:type="gramStart"/>
      <w:r w:rsidRPr="005719E1">
        <w:rPr>
          <w:rFonts w:ascii="Calibri" w:eastAsia="Times New Roman" w:hAnsi="Calibri" w:cs="Calibri"/>
          <w:kern w:val="0"/>
          <w:szCs w:val="24"/>
          <w:lang w:eastAsia="en-GB"/>
          <w14:ligatures w14:val="none"/>
        </w:rPr>
        <w:t>E.</w:t>
      </w:r>
      <w:proofErr w:type="gramEnd"/>
      <w:r w:rsidRPr="005719E1">
        <w:rPr>
          <w:rFonts w:ascii="Calibri" w:eastAsia="Times New Roman" w:hAnsi="Calibri" w:cs="Calibri"/>
          <w:kern w:val="0"/>
          <w:szCs w:val="24"/>
          <w:lang w:eastAsia="en-GB"/>
          <w14:ligatures w14:val="none"/>
        </w:rPr>
        <w:t xml:space="preserve"> and Wood, J.L. (2010). Gang involvement: psychological and </w:t>
      </w:r>
      <w:proofErr w:type="spellStart"/>
      <w:r w:rsidRPr="005719E1">
        <w:rPr>
          <w:rFonts w:ascii="Calibri" w:eastAsia="Times New Roman" w:hAnsi="Calibri" w:cs="Calibri"/>
          <w:kern w:val="0"/>
          <w:szCs w:val="24"/>
          <w:lang w:eastAsia="en-GB"/>
          <w14:ligatures w14:val="none"/>
        </w:rPr>
        <w:t>behavioral</w:t>
      </w:r>
      <w:proofErr w:type="spellEnd"/>
      <w:r w:rsidRPr="005719E1">
        <w:rPr>
          <w:rFonts w:ascii="Calibri" w:eastAsia="Times New Roman" w:hAnsi="Calibri" w:cs="Calibri"/>
          <w:kern w:val="0"/>
          <w:szCs w:val="24"/>
          <w:lang w:eastAsia="en-GB"/>
          <w14:ligatures w14:val="none"/>
        </w:rPr>
        <w:t xml:space="preserve"> characteristics of gang members, peripheral youth, and nongang Youth. </w:t>
      </w:r>
      <w:r w:rsidRPr="005719E1">
        <w:rPr>
          <w:rFonts w:ascii="Calibri" w:eastAsia="Times New Roman" w:hAnsi="Calibri" w:cs="Calibri"/>
          <w:i/>
          <w:iCs/>
          <w:kern w:val="0"/>
          <w:szCs w:val="24"/>
          <w:lang w:eastAsia="en-GB"/>
          <w14:ligatures w14:val="none"/>
        </w:rPr>
        <w:t xml:space="preserve">Aggressive </w:t>
      </w:r>
      <w:proofErr w:type="spellStart"/>
      <w:r w:rsidRPr="005719E1">
        <w:rPr>
          <w:rFonts w:ascii="Calibri" w:eastAsia="Times New Roman" w:hAnsi="Calibri" w:cs="Calibri"/>
          <w:i/>
          <w:iCs/>
          <w:kern w:val="0"/>
          <w:szCs w:val="24"/>
          <w:lang w:eastAsia="en-GB"/>
          <w14:ligatures w14:val="none"/>
        </w:rPr>
        <w:t>Behavior</w:t>
      </w:r>
      <w:proofErr w:type="spellEnd"/>
      <w:r w:rsidRPr="005719E1">
        <w:rPr>
          <w:rFonts w:ascii="Calibri" w:eastAsia="Times New Roman" w:hAnsi="Calibri" w:cs="Calibri"/>
          <w:kern w:val="0"/>
          <w:szCs w:val="24"/>
          <w:lang w:eastAsia="en-GB"/>
          <w14:ligatures w14:val="none"/>
        </w:rPr>
        <w:t xml:space="preserve">, [online] 36(6), pp.423–436.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://doi.org/10.1002/ab.20360</w:t>
      </w:r>
      <w:proofErr w:type="gramEnd"/>
      <w:r w:rsidRPr="005719E1">
        <w:rPr>
          <w:rFonts w:ascii="Calibri" w:eastAsia="Times New Roman" w:hAnsi="Calibri" w:cs="Calibri"/>
          <w:kern w:val="0"/>
          <w:szCs w:val="24"/>
          <w:lang w:eastAsia="en-GB"/>
          <w14:ligatures w14:val="none"/>
        </w:rPr>
        <w:t>.</w:t>
      </w:r>
    </w:p>
    <w:p w14:paraId="2114EF3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Anda, R.F., </w:t>
      </w:r>
      <w:proofErr w:type="spellStart"/>
      <w:r w:rsidRPr="005719E1">
        <w:rPr>
          <w:rFonts w:ascii="Calibri" w:eastAsia="Times New Roman" w:hAnsi="Calibri" w:cs="Calibri"/>
          <w:kern w:val="0"/>
          <w:szCs w:val="24"/>
          <w:lang w:eastAsia="en-GB"/>
          <w14:ligatures w14:val="none"/>
        </w:rPr>
        <w:t>Felitti</w:t>
      </w:r>
      <w:proofErr w:type="spellEnd"/>
      <w:r w:rsidRPr="005719E1">
        <w:rPr>
          <w:rFonts w:ascii="Calibri" w:eastAsia="Times New Roman" w:hAnsi="Calibri" w:cs="Calibri"/>
          <w:kern w:val="0"/>
          <w:szCs w:val="24"/>
          <w:lang w:eastAsia="en-GB"/>
          <w14:ligatures w14:val="none"/>
        </w:rPr>
        <w:t xml:space="preserve">, V.J., Bremner, J.D., Walker, J.D., Whitfield, Ch., Perry, B.D., Dube, </w:t>
      </w:r>
      <w:proofErr w:type="spellStart"/>
      <w:r w:rsidRPr="005719E1">
        <w:rPr>
          <w:rFonts w:ascii="Calibri" w:eastAsia="Times New Roman" w:hAnsi="Calibri" w:cs="Calibri"/>
          <w:kern w:val="0"/>
          <w:szCs w:val="24"/>
          <w:lang w:eastAsia="en-GB"/>
          <w14:ligatures w14:val="none"/>
        </w:rPr>
        <w:t>Sh.R</w:t>
      </w:r>
      <w:proofErr w:type="spellEnd"/>
      <w:r w:rsidRPr="005719E1">
        <w:rPr>
          <w:rFonts w:ascii="Calibri" w:eastAsia="Times New Roman" w:hAnsi="Calibri" w:cs="Calibri"/>
          <w:kern w:val="0"/>
          <w:szCs w:val="24"/>
          <w:lang w:eastAsia="en-GB"/>
          <w14:ligatures w14:val="none"/>
        </w:rPr>
        <w:t xml:space="preserve">. and Giles, W.H. (2006). The enduring effects of abuse and related adverse experiences in childhood. </w:t>
      </w:r>
      <w:r w:rsidRPr="005719E1">
        <w:rPr>
          <w:rFonts w:ascii="Calibri" w:eastAsia="Times New Roman" w:hAnsi="Calibri" w:cs="Calibri"/>
          <w:i/>
          <w:iCs/>
          <w:kern w:val="0"/>
          <w:szCs w:val="24"/>
          <w:lang w:eastAsia="en-GB"/>
          <w14:ligatures w14:val="none"/>
        </w:rPr>
        <w:t>European Archives of Psychiatry and Clinical Neuroscience</w:t>
      </w:r>
      <w:r w:rsidRPr="005719E1">
        <w:rPr>
          <w:rFonts w:ascii="Calibri" w:eastAsia="Times New Roman" w:hAnsi="Calibri" w:cs="Calibri"/>
          <w:kern w:val="0"/>
          <w:szCs w:val="24"/>
          <w:lang w:eastAsia="en-GB"/>
          <w14:ligatures w14:val="none"/>
        </w:rPr>
        <w:t xml:space="preserve">, [online] 256(3), pp.174–186.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://doi.org/10.1007/s00406-005-0624-4</w:t>
      </w:r>
      <w:proofErr w:type="gramEnd"/>
      <w:r w:rsidRPr="005719E1">
        <w:rPr>
          <w:rFonts w:ascii="Calibri" w:eastAsia="Times New Roman" w:hAnsi="Calibri" w:cs="Calibri"/>
          <w:kern w:val="0"/>
          <w:szCs w:val="24"/>
          <w:lang w:eastAsia="en-GB"/>
          <w14:ligatures w14:val="none"/>
        </w:rPr>
        <w:t>.</w:t>
      </w:r>
    </w:p>
    <w:p w14:paraId="3B29284E"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Annan, L.G., </w:t>
      </w:r>
      <w:proofErr w:type="spellStart"/>
      <w:r w:rsidRPr="005719E1">
        <w:rPr>
          <w:rFonts w:ascii="Calibri" w:eastAsia="Times New Roman" w:hAnsi="Calibri" w:cs="Calibri"/>
          <w:kern w:val="0"/>
          <w:szCs w:val="24"/>
          <w:lang w:eastAsia="en-GB"/>
          <w14:ligatures w14:val="none"/>
        </w:rPr>
        <w:t>Gaoua</w:t>
      </w:r>
      <w:proofErr w:type="spellEnd"/>
      <w:r w:rsidRPr="005719E1">
        <w:rPr>
          <w:rFonts w:ascii="Calibri" w:eastAsia="Times New Roman" w:hAnsi="Calibri" w:cs="Calibri"/>
          <w:kern w:val="0"/>
          <w:szCs w:val="24"/>
          <w:lang w:eastAsia="en-GB"/>
          <w14:ligatures w14:val="none"/>
        </w:rPr>
        <w:t xml:space="preserve">, N., Mileva, K. and Borges, M. (2021). What makes young people get involved with street gangs in London? A study of the perceived risk factors. </w:t>
      </w:r>
      <w:r w:rsidRPr="005719E1">
        <w:rPr>
          <w:rFonts w:ascii="Calibri" w:eastAsia="Times New Roman" w:hAnsi="Calibri" w:cs="Calibri"/>
          <w:i/>
          <w:iCs/>
          <w:kern w:val="0"/>
          <w:szCs w:val="24"/>
          <w:lang w:eastAsia="en-GB"/>
          <w14:ligatures w14:val="none"/>
        </w:rPr>
        <w:t>Journal of Community Psychology</w:t>
      </w:r>
      <w:r w:rsidRPr="005719E1">
        <w:rPr>
          <w:rFonts w:ascii="Calibri" w:eastAsia="Times New Roman" w:hAnsi="Calibri" w:cs="Calibri"/>
          <w:kern w:val="0"/>
          <w:szCs w:val="24"/>
          <w:lang w:eastAsia="en-GB"/>
          <w14:ligatures w14:val="none"/>
        </w:rPr>
        <w:t xml:space="preserve">, 50(5).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://doi.org/10.1002/jcop.22767</w:t>
      </w:r>
      <w:proofErr w:type="gramEnd"/>
      <w:r w:rsidRPr="005719E1">
        <w:rPr>
          <w:rFonts w:ascii="Calibri" w:eastAsia="Times New Roman" w:hAnsi="Calibri" w:cs="Calibri"/>
          <w:kern w:val="0"/>
          <w:szCs w:val="24"/>
          <w:lang w:eastAsia="en-GB"/>
          <w14:ligatures w14:val="none"/>
        </w:rPr>
        <w:t>.</w:t>
      </w:r>
    </w:p>
    <w:p w14:paraId="34FC1BB1"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Baumeister, R.F. and Leary, M.R. (1995). The need to belong: Desire for interpersonal attachments as a fundamental human motivation. </w:t>
      </w:r>
      <w:r w:rsidRPr="005719E1">
        <w:rPr>
          <w:rFonts w:ascii="Calibri" w:eastAsia="Times New Roman" w:hAnsi="Calibri" w:cs="Calibri"/>
          <w:i/>
          <w:iCs/>
          <w:kern w:val="0"/>
          <w:szCs w:val="24"/>
          <w:lang w:eastAsia="en-GB"/>
          <w14:ligatures w14:val="none"/>
        </w:rPr>
        <w:t>Psychological Bulletin</w:t>
      </w:r>
      <w:r w:rsidRPr="005719E1">
        <w:rPr>
          <w:rFonts w:ascii="Calibri" w:eastAsia="Times New Roman" w:hAnsi="Calibri" w:cs="Calibri"/>
          <w:kern w:val="0"/>
          <w:szCs w:val="24"/>
          <w:lang w:eastAsia="en-GB"/>
          <w14:ligatures w14:val="none"/>
        </w:rPr>
        <w:t>, 117(3), pp.497–529.</w:t>
      </w:r>
    </w:p>
    <w:p w14:paraId="46BF2998"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Bellis, M.A., Ashton, K., Hughes, K., Ford, K., Bishop, J., </w:t>
      </w:r>
      <w:proofErr w:type="spellStart"/>
      <w:r w:rsidRPr="005719E1">
        <w:rPr>
          <w:rFonts w:ascii="Calibri" w:eastAsia="Times New Roman" w:hAnsi="Calibri" w:cs="Calibri"/>
          <w:kern w:val="0"/>
          <w:szCs w:val="24"/>
          <w:lang w:eastAsia="en-GB"/>
          <w14:ligatures w14:val="none"/>
        </w:rPr>
        <w:t>Paranjothy</w:t>
      </w:r>
      <w:proofErr w:type="spellEnd"/>
      <w:r w:rsidRPr="005719E1">
        <w:rPr>
          <w:rFonts w:ascii="Calibri" w:eastAsia="Times New Roman" w:hAnsi="Calibri" w:cs="Calibri"/>
          <w:kern w:val="0"/>
          <w:szCs w:val="24"/>
          <w:lang w:eastAsia="en-GB"/>
          <w14:ligatures w14:val="none"/>
        </w:rPr>
        <w:t xml:space="preserve">, S. and Public Health Wales (2015). </w:t>
      </w:r>
      <w:r w:rsidRPr="005719E1">
        <w:rPr>
          <w:rFonts w:ascii="Calibri" w:eastAsia="Times New Roman" w:hAnsi="Calibri" w:cs="Calibri"/>
          <w:i/>
          <w:iCs/>
          <w:kern w:val="0"/>
          <w:szCs w:val="24"/>
          <w:lang w:eastAsia="en-GB"/>
          <w14:ligatures w14:val="none"/>
        </w:rPr>
        <w:t xml:space="preserve">Adverse Childhood Experiences and their impact on health-harming behaviours in the Welsh adult </w:t>
      </w:r>
      <w:proofErr w:type="gramStart"/>
      <w:r w:rsidRPr="005719E1">
        <w:rPr>
          <w:rFonts w:ascii="Calibri" w:eastAsia="Times New Roman" w:hAnsi="Calibri" w:cs="Calibri"/>
          <w:i/>
          <w:iCs/>
          <w:kern w:val="0"/>
          <w:szCs w:val="24"/>
          <w:lang w:eastAsia="en-GB"/>
          <w14:ligatures w14:val="none"/>
        </w:rPr>
        <w:t>population :</w:t>
      </w:r>
      <w:proofErr w:type="gramEnd"/>
      <w:r w:rsidRPr="005719E1">
        <w:rPr>
          <w:rFonts w:ascii="Calibri" w:eastAsia="Times New Roman" w:hAnsi="Calibri" w:cs="Calibri"/>
          <w:i/>
          <w:iCs/>
          <w:kern w:val="0"/>
          <w:szCs w:val="24"/>
          <w:lang w:eastAsia="en-GB"/>
          <w14:ligatures w14:val="none"/>
        </w:rPr>
        <w:t xml:space="preserve"> Alcohol Use, Drug Use, Violence, Sexual Behaviour, Incarceration, Smoking and Poor Diet</w:t>
      </w:r>
      <w:r w:rsidRPr="005719E1">
        <w:rPr>
          <w:rFonts w:ascii="Calibri" w:eastAsia="Times New Roman" w:hAnsi="Calibri" w:cs="Calibri"/>
          <w:kern w:val="0"/>
          <w:szCs w:val="24"/>
          <w:lang w:eastAsia="en-GB"/>
          <w14:ligatures w14:val="none"/>
        </w:rPr>
        <w:t>. [online] Cardiff: Public Health Wales. Available at: https://researchonline.ljmu.ac.uk/id/eprint/2648/1/ACE%20Report%20FINAL%20%28E%29.pdf.</w:t>
      </w:r>
    </w:p>
    <w:p w14:paraId="2EAB935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BMG Research (2019). </w:t>
      </w:r>
      <w:r w:rsidRPr="005719E1">
        <w:rPr>
          <w:rFonts w:ascii="Calibri" w:eastAsia="Times New Roman" w:hAnsi="Calibri" w:cs="Calibri"/>
          <w:i/>
          <w:iCs/>
          <w:kern w:val="0"/>
          <w:szCs w:val="24"/>
          <w:lang w:eastAsia="en-GB"/>
          <w14:ligatures w14:val="none"/>
        </w:rPr>
        <w:t>Public Perceptions of Policing in England and Wales 2018 Public Perceptions of Policing in England and Wales 2018 Prepared for: Her Majesty’s Inspectorate of Constabulary and Fire &amp; Rescue Services Prepared by: BMG Research</w:t>
      </w:r>
      <w:r w:rsidRPr="005719E1">
        <w:rPr>
          <w:rFonts w:ascii="Calibri" w:eastAsia="Times New Roman" w:hAnsi="Calibri" w:cs="Calibri"/>
          <w:kern w:val="0"/>
          <w:szCs w:val="24"/>
          <w:lang w:eastAsia="en-GB"/>
          <w14:ligatures w14:val="none"/>
        </w:rPr>
        <w:t xml:space="preserve">. [online] Available </w:t>
      </w:r>
      <w:r w:rsidRPr="005719E1">
        <w:rPr>
          <w:rFonts w:ascii="Calibri" w:eastAsia="Times New Roman" w:hAnsi="Calibri" w:cs="Calibri"/>
          <w:kern w:val="0"/>
          <w:szCs w:val="24"/>
          <w:lang w:eastAsia="en-GB"/>
          <w14:ligatures w14:val="none"/>
        </w:rPr>
        <w:lastRenderedPageBreak/>
        <w:t>at: https://www.bmgresearch.co.uk/wp-content/uploads/2019/01/1578-HMICFRS-Public-Perceptions-of-Policing-2018_FINAL.pdf.</w:t>
      </w:r>
    </w:p>
    <w:p w14:paraId="073F883C"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Brogden, M. and </w:t>
      </w:r>
      <w:proofErr w:type="spellStart"/>
      <w:r w:rsidRPr="005719E1">
        <w:rPr>
          <w:rFonts w:ascii="Calibri" w:eastAsia="Times New Roman" w:hAnsi="Calibri" w:cs="Calibri"/>
          <w:kern w:val="0"/>
          <w:szCs w:val="24"/>
          <w:lang w:eastAsia="en-GB"/>
          <w14:ligatures w14:val="none"/>
        </w:rPr>
        <w:t>Nijhar</w:t>
      </w:r>
      <w:proofErr w:type="spellEnd"/>
      <w:r w:rsidRPr="005719E1">
        <w:rPr>
          <w:rFonts w:ascii="Calibri" w:eastAsia="Times New Roman" w:hAnsi="Calibri" w:cs="Calibri"/>
          <w:kern w:val="0"/>
          <w:szCs w:val="24"/>
          <w:lang w:eastAsia="en-GB"/>
          <w14:ligatures w14:val="none"/>
        </w:rPr>
        <w:t xml:space="preserve">, P. (2005). </w:t>
      </w:r>
      <w:r w:rsidRPr="005719E1">
        <w:rPr>
          <w:rFonts w:ascii="Calibri" w:eastAsia="Times New Roman" w:hAnsi="Calibri" w:cs="Calibri"/>
          <w:i/>
          <w:iCs/>
          <w:kern w:val="0"/>
          <w:szCs w:val="24"/>
          <w:lang w:eastAsia="en-GB"/>
          <w14:ligatures w14:val="none"/>
        </w:rPr>
        <w:t>Community policing: national and international models and approaches</w:t>
      </w:r>
      <w:r w:rsidRPr="005719E1">
        <w:rPr>
          <w:rFonts w:ascii="Calibri" w:eastAsia="Times New Roman" w:hAnsi="Calibri" w:cs="Calibri"/>
          <w:kern w:val="0"/>
          <w:szCs w:val="24"/>
          <w:lang w:eastAsia="en-GB"/>
          <w14:ligatures w14:val="none"/>
        </w:rPr>
        <w:t xml:space="preserve">. Cullompton, </w:t>
      </w:r>
      <w:proofErr w:type="spellStart"/>
      <w:proofErr w:type="gramStart"/>
      <w:r w:rsidRPr="005719E1">
        <w:rPr>
          <w:rFonts w:ascii="Calibri" w:eastAsia="Times New Roman" w:hAnsi="Calibri" w:cs="Calibri"/>
          <w:kern w:val="0"/>
          <w:szCs w:val="24"/>
          <w:lang w:eastAsia="en-GB"/>
          <w14:ligatures w14:val="none"/>
        </w:rPr>
        <w:t>Uk</w:t>
      </w:r>
      <w:proofErr w:type="spellEnd"/>
      <w:r w:rsidRPr="005719E1">
        <w:rPr>
          <w:rFonts w:ascii="Calibri" w:eastAsia="Times New Roman" w:hAnsi="Calibri" w:cs="Calibri"/>
          <w:kern w:val="0"/>
          <w:szCs w:val="24"/>
          <w:lang w:eastAsia="en-GB"/>
          <w14:ligatures w14:val="none"/>
        </w:rPr>
        <w:t xml:space="preserve"> ;</w:t>
      </w:r>
      <w:proofErr w:type="gramEnd"/>
      <w:r w:rsidRPr="005719E1">
        <w:rPr>
          <w:rFonts w:ascii="Calibri" w:eastAsia="Times New Roman" w:hAnsi="Calibri" w:cs="Calibri"/>
          <w:kern w:val="0"/>
          <w:szCs w:val="24"/>
          <w:lang w:eastAsia="en-GB"/>
          <w14:ligatures w14:val="none"/>
        </w:rPr>
        <w:t xml:space="preserve"> Portland, Or.: Willan Pub, p.2.</w:t>
      </w:r>
    </w:p>
    <w:p w14:paraId="2B5A184D"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Brown, R. and Hobbs, A. (2023). Trust in the police. </w:t>
      </w:r>
      <w:r w:rsidRPr="005719E1">
        <w:rPr>
          <w:rFonts w:ascii="Calibri" w:eastAsia="Times New Roman" w:hAnsi="Calibri" w:cs="Calibri"/>
          <w:i/>
          <w:iCs/>
          <w:kern w:val="0"/>
          <w:szCs w:val="24"/>
          <w:lang w:eastAsia="en-GB"/>
          <w14:ligatures w14:val="none"/>
        </w:rPr>
        <w:t>Trust in the police</w:t>
      </w:r>
      <w:r w:rsidRPr="005719E1">
        <w:rPr>
          <w:rFonts w:ascii="Calibri" w:eastAsia="Times New Roman" w:hAnsi="Calibri" w:cs="Calibri"/>
          <w:kern w:val="0"/>
          <w:szCs w:val="24"/>
          <w:lang w:eastAsia="en-GB"/>
          <w14:ligatures w14:val="none"/>
        </w:rPr>
        <w:t xml:space="preserve">.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://doi.org/10.58248/pn693</w:t>
      </w:r>
      <w:proofErr w:type="gramEnd"/>
      <w:r w:rsidRPr="005719E1">
        <w:rPr>
          <w:rFonts w:ascii="Calibri" w:eastAsia="Times New Roman" w:hAnsi="Calibri" w:cs="Calibri"/>
          <w:kern w:val="0"/>
          <w:szCs w:val="24"/>
          <w:lang w:eastAsia="en-GB"/>
          <w14:ligatures w14:val="none"/>
        </w:rPr>
        <w:t>.</w:t>
      </w:r>
    </w:p>
    <w:p w14:paraId="3A6305C9"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Brown, V., Morgan, T. and Fralick, A. (2021). Isolation and mental health: thinking outside the box. </w:t>
      </w:r>
      <w:r w:rsidRPr="005719E1">
        <w:rPr>
          <w:rFonts w:ascii="Calibri" w:eastAsia="Times New Roman" w:hAnsi="Calibri" w:cs="Calibri"/>
          <w:i/>
          <w:iCs/>
          <w:kern w:val="0"/>
          <w:szCs w:val="24"/>
          <w:lang w:eastAsia="en-GB"/>
          <w14:ligatures w14:val="none"/>
        </w:rPr>
        <w:t>General Psychiatry</w:t>
      </w:r>
      <w:r w:rsidRPr="005719E1">
        <w:rPr>
          <w:rFonts w:ascii="Calibri" w:eastAsia="Times New Roman" w:hAnsi="Calibri" w:cs="Calibri"/>
          <w:kern w:val="0"/>
          <w:szCs w:val="24"/>
          <w:lang w:eastAsia="en-GB"/>
          <w14:ligatures w14:val="none"/>
        </w:rPr>
        <w:t xml:space="preserve">, [online] 34(3), p.e100461.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://doi.org/10.1136/gpsych-2020-100461</w:t>
      </w:r>
      <w:proofErr w:type="gramEnd"/>
      <w:r w:rsidRPr="005719E1">
        <w:rPr>
          <w:rFonts w:ascii="Calibri" w:eastAsia="Times New Roman" w:hAnsi="Calibri" w:cs="Calibri"/>
          <w:kern w:val="0"/>
          <w:szCs w:val="24"/>
          <w:lang w:eastAsia="en-GB"/>
          <w14:ligatures w14:val="none"/>
        </w:rPr>
        <w:t>.</w:t>
      </w:r>
    </w:p>
    <w:p w14:paraId="03E1B243"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Buck, R. and Deutsch, J. (2014). Effects of poverty on education. </w:t>
      </w:r>
      <w:r w:rsidRPr="005719E1">
        <w:rPr>
          <w:rFonts w:ascii="Calibri" w:eastAsia="Times New Roman" w:hAnsi="Calibri" w:cs="Calibri"/>
          <w:i/>
          <w:iCs/>
          <w:kern w:val="0"/>
          <w:szCs w:val="24"/>
          <w:lang w:eastAsia="en-GB"/>
          <w14:ligatures w14:val="none"/>
        </w:rPr>
        <w:t>International Journal of Human Sciences</w:t>
      </w:r>
      <w:r w:rsidRPr="005719E1">
        <w:rPr>
          <w:rFonts w:ascii="Calibri" w:eastAsia="Times New Roman" w:hAnsi="Calibri" w:cs="Calibri"/>
          <w:kern w:val="0"/>
          <w:szCs w:val="24"/>
          <w:lang w:eastAsia="en-GB"/>
          <w14:ligatures w14:val="none"/>
        </w:rPr>
        <w:t xml:space="preserve">, 11(2), p.1139.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://doi.org/10.14687/ijhs.v11i2.3043</w:t>
      </w:r>
      <w:proofErr w:type="gramEnd"/>
      <w:r w:rsidRPr="005719E1">
        <w:rPr>
          <w:rFonts w:ascii="Calibri" w:eastAsia="Times New Roman" w:hAnsi="Calibri" w:cs="Calibri"/>
          <w:kern w:val="0"/>
          <w:szCs w:val="24"/>
          <w:lang w:eastAsia="en-GB"/>
          <w14:ligatures w14:val="none"/>
        </w:rPr>
        <w:t>.</w:t>
      </w:r>
    </w:p>
    <w:p w14:paraId="04805756"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Casey, L. (2008). </w:t>
      </w:r>
      <w:r w:rsidRPr="005719E1">
        <w:rPr>
          <w:rFonts w:ascii="Calibri" w:eastAsia="Times New Roman" w:hAnsi="Calibri" w:cs="Calibri"/>
          <w:i/>
          <w:iCs/>
          <w:kern w:val="0"/>
          <w:szCs w:val="24"/>
          <w:lang w:eastAsia="en-GB"/>
          <w14:ligatures w14:val="none"/>
        </w:rPr>
        <w:t>Engaging Communities in Fighting Crime: A review by Louise Casey</w:t>
      </w:r>
      <w:r w:rsidRPr="005719E1">
        <w:rPr>
          <w:rFonts w:ascii="Calibri" w:eastAsia="Times New Roman" w:hAnsi="Calibri" w:cs="Calibri"/>
          <w:kern w:val="0"/>
          <w:szCs w:val="24"/>
          <w:lang w:eastAsia="en-GB"/>
          <w14:ligatures w14:val="none"/>
        </w:rPr>
        <w:t>. [online] Available at: http://news.bbc.co.uk/1/shared/bsp/hi/pdfs/18_06_08_caseyreport.pdf.</w:t>
      </w:r>
    </w:p>
    <w:p w14:paraId="4AA32B0D"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College of Policing (2018). </w:t>
      </w:r>
      <w:r w:rsidRPr="005719E1">
        <w:rPr>
          <w:rFonts w:ascii="Calibri" w:eastAsia="Times New Roman" w:hAnsi="Calibri" w:cs="Calibri"/>
          <w:i/>
          <w:iCs/>
          <w:kern w:val="0"/>
          <w:szCs w:val="24"/>
          <w:lang w:eastAsia="en-GB"/>
          <w14:ligatures w14:val="none"/>
        </w:rPr>
        <w:t>Cognitive behavioural therapy (CBT)</w:t>
      </w:r>
      <w:r w:rsidRPr="005719E1">
        <w:rPr>
          <w:rFonts w:ascii="Calibri" w:eastAsia="Times New Roman" w:hAnsi="Calibri" w:cs="Calibri"/>
          <w:kern w:val="0"/>
          <w:szCs w:val="24"/>
          <w:lang w:eastAsia="en-GB"/>
          <w14:ligatures w14:val="none"/>
        </w:rPr>
        <w:t>. [online] College of Policing. Available at: https://www.college.police.uk/research/crime-reduction-toolkit/cbt.</w:t>
      </w:r>
    </w:p>
    <w:p w14:paraId="70B75D06"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College of Policing (2021). </w:t>
      </w:r>
      <w:r w:rsidRPr="005719E1">
        <w:rPr>
          <w:rFonts w:ascii="Calibri" w:eastAsia="Times New Roman" w:hAnsi="Calibri" w:cs="Calibri"/>
          <w:i/>
          <w:iCs/>
          <w:kern w:val="0"/>
          <w:szCs w:val="24"/>
          <w:lang w:eastAsia="en-GB"/>
          <w14:ligatures w14:val="none"/>
        </w:rPr>
        <w:t>Recognising and responding to vulnerability-related risks</w:t>
      </w:r>
      <w:r w:rsidRPr="005719E1">
        <w:rPr>
          <w:rFonts w:ascii="Calibri" w:eastAsia="Times New Roman" w:hAnsi="Calibri" w:cs="Calibri"/>
          <w:kern w:val="0"/>
          <w:szCs w:val="24"/>
          <w:lang w:eastAsia="en-GB"/>
          <w14:ligatures w14:val="none"/>
        </w:rPr>
        <w:t>. [online] Available at: https://assets.production.copweb.aws.college.police.uk/s3fs-public/2021-11/Recognising-responding-vulnerability-related-risks-guidelines.pdf [Accessed 23 May 2024].</w:t>
      </w:r>
    </w:p>
    <w:p w14:paraId="45789E13"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College of Policing (2024a). </w:t>
      </w:r>
      <w:r w:rsidRPr="005719E1">
        <w:rPr>
          <w:rFonts w:ascii="Calibri" w:eastAsia="Times New Roman" w:hAnsi="Calibri" w:cs="Calibri"/>
          <w:i/>
          <w:iCs/>
          <w:kern w:val="0"/>
          <w:szCs w:val="24"/>
          <w:lang w:eastAsia="en-GB"/>
          <w14:ligatures w14:val="none"/>
        </w:rPr>
        <w:t>Ethical policing principles</w:t>
      </w:r>
      <w:r w:rsidRPr="005719E1">
        <w:rPr>
          <w:rFonts w:ascii="Calibri" w:eastAsia="Times New Roman" w:hAnsi="Calibri" w:cs="Calibri"/>
          <w:kern w:val="0"/>
          <w:szCs w:val="24"/>
          <w:lang w:eastAsia="en-GB"/>
          <w14:ligatures w14:val="none"/>
        </w:rPr>
        <w:t>. [online] www.college.police.uk. Available at: https://www.college.police.uk/ethics/code-of-ethics/principles.</w:t>
      </w:r>
    </w:p>
    <w:p w14:paraId="3F551226"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College of Policing (2024b). </w:t>
      </w:r>
      <w:r w:rsidRPr="005719E1">
        <w:rPr>
          <w:rFonts w:ascii="Calibri" w:eastAsia="Times New Roman" w:hAnsi="Calibri" w:cs="Calibri"/>
          <w:i/>
          <w:iCs/>
          <w:kern w:val="0"/>
          <w:szCs w:val="24"/>
          <w:lang w:eastAsia="en-GB"/>
          <w14:ligatures w14:val="none"/>
        </w:rPr>
        <w:t>Knife Crime – a Problem Solving Guide</w:t>
      </w:r>
      <w:r w:rsidRPr="005719E1">
        <w:rPr>
          <w:rFonts w:ascii="Calibri" w:eastAsia="Times New Roman" w:hAnsi="Calibri" w:cs="Calibri"/>
          <w:kern w:val="0"/>
          <w:szCs w:val="24"/>
          <w:lang w:eastAsia="en-GB"/>
          <w14:ligatures w14:val="none"/>
        </w:rPr>
        <w:t>. [online] College of Policing. Available at: https://www.college.police.uk/guidance/knife-crime-problem-solving-guide.</w:t>
      </w:r>
    </w:p>
    <w:p w14:paraId="3DA60E14"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Dando, C., Wilcock, R. and Milne, R. (2009). The Cognitive Interview: novice police officers’ witness/victim interviewing practices. </w:t>
      </w:r>
      <w:r w:rsidRPr="005719E1">
        <w:rPr>
          <w:rFonts w:ascii="Calibri" w:eastAsia="Times New Roman" w:hAnsi="Calibri" w:cs="Calibri"/>
          <w:i/>
          <w:iCs/>
          <w:kern w:val="0"/>
          <w:szCs w:val="24"/>
          <w:lang w:eastAsia="en-GB"/>
          <w14:ligatures w14:val="none"/>
        </w:rPr>
        <w:t>Psychology, Crime &amp; Law</w:t>
      </w:r>
      <w:r w:rsidRPr="005719E1">
        <w:rPr>
          <w:rFonts w:ascii="Calibri" w:eastAsia="Times New Roman" w:hAnsi="Calibri" w:cs="Calibri"/>
          <w:kern w:val="0"/>
          <w:szCs w:val="24"/>
          <w:lang w:eastAsia="en-GB"/>
          <w14:ligatures w14:val="none"/>
        </w:rPr>
        <w:t xml:space="preserve">, 15(8), pp.679–696.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://doi.org/10.1080/10683160802203963</w:t>
      </w:r>
      <w:proofErr w:type="gramEnd"/>
      <w:r w:rsidRPr="005719E1">
        <w:rPr>
          <w:rFonts w:ascii="Calibri" w:eastAsia="Times New Roman" w:hAnsi="Calibri" w:cs="Calibri"/>
          <w:kern w:val="0"/>
          <w:szCs w:val="24"/>
          <w:lang w:eastAsia="en-GB"/>
          <w14:ligatures w14:val="none"/>
        </w:rPr>
        <w:t>.</w:t>
      </w:r>
    </w:p>
    <w:p w14:paraId="2676D9AD"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proofErr w:type="spellStart"/>
      <w:r w:rsidRPr="005719E1">
        <w:rPr>
          <w:rFonts w:ascii="Calibri" w:eastAsia="Times New Roman" w:hAnsi="Calibri" w:cs="Calibri"/>
          <w:kern w:val="0"/>
          <w:szCs w:val="24"/>
          <w:lang w:eastAsia="en-GB"/>
          <w14:ligatures w14:val="none"/>
        </w:rPr>
        <w:lastRenderedPageBreak/>
        <w:t>DeCamp</w:t>
      </w:r>
      <w:proofErr w:type="spellEnd"/>
      <w:r w:rsidRPr="005719E1">
        <w:rPr>
          <w:rFonts w:ascii="Calibri" w:eastAsia="Times New Roman" w:hAnsi="Calibri" w:cs="Calibri"/>
          <w:kern w:val="0"/>
          <w:szCs w:val="24"/>
          <w:lang w:eastAsia="en-GB"/>
          <w14:ligatures w14:val="none"/>
        </w:rPr>
        <w:t xml:space="preserve">, W., Lunn, B.K. and Bottom, N.R. (2020). </w:t>
      </w:r>
      <w:r w:rsidRPr="005719E1">
        <w:rPr>
          <w:rFonts w:ascii="Calibri" w:eastAsia="Times New Roman" w:hAnsi="Calibri" w:cs="Calibri"/>
          <w:i/>
          <w:iCs/>
          <w:kern w:val="0"/>
          <w:szCs w:val="24"/>
          <w:lang w:eastAsia="en-GB"/>
          <w14:ligatures w14:val="none"/>
        </w:rPr>
        <w:t>Workplace Crime and Deviance</w:t>
      </w:r>
      <w:r w:rsidRPr="005719E1">
        <w:rPr>
          <w:rFonts w:ascii="Calibri" w:eastAsia="Times New Roman" w:hAnsi="Calibri" w:cs="Calibri"/>
          <w:kern w:val="0"/>
          <w:szCs w:val="24"/>
          <w:lang w:eastAsia="en-GB"/>
          <w14:ligatures w14:val="none"/>
        </w:rPr>
        <w:t xml:space="preserve">. </w:t>
      </w:r>
      <w:r w:rsidRPr="005719E1">
        <w:rPr>
          <w:rFonts w:ascii="Calibri" w:eastAsia="Times New Roman" w:hAnsi="Calibri" w:cs="Calibri"/>
          <w:i/>
          <w:iCs/>
          <w:kern w:val="0"/>
          <w:szCs w:val="24"/>
          <w:lang w:eastAsia="en-GB"/>
          <w14:ligatures w14:val="none"/>
        </w:rPr>
        <w:t>Elsevier eBooks</w:t>
      </w:r>
      <w:r w:rsidRPr="005719E1">
        <w:rPr>
          <w:rFonts w:ascii="Calibri" w:eastAsia="Times New Roman" w:hAnsi="Calibri" w:cs="Calibri"/>
          <w:kern w:val="0"/>
          <w:szCs w:val="24"/>
          <w:lang w:eastAsia="en-GB"/>
          <w14:ligatures w14:val="none"/>
        </w:rPr>
        <w:t xml:space="preserve">, Elsevier BV, pp.305–320.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://doi.org/10.1016/b978-0-12-817748-8.00027-4</w:t>
      </w:r>
      <w:proofErr w:type="gramEnd"/>
      <w:r w:rsidRPr="005719E1">
        <w:rPr>
          <w:rFonts w:ascii="Calibri" w:eastAsia="Times New Roman" w:hAnsi="Calibri" w:cs="Calibri"/>
          <w:kern w:val="0"/>
          <w:szCs w:val="24"/>
          <w:lang w:eastAsia="en-GB"/>
          <w14:ligatures w14:val="none"/>
        </w:rPr>
        <w:t>.</w:t>
      </w:r>
    </w:p>
    <w:p w14:paraId="38899578"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Dodier, O., Ginet, M., Teissedre, F., </w:t>
      </w:r>
      <w:proofErr w:type="spellStart"/>
      <w:r w:rsidRPr="005719E1">
        <w:rPr>
          <w:rFonts w:ascii="Calibri" w:eastAsia="Times New Roman" w:hAnsi="Calibri" w:cs="Calibri"/>
          <w:kern w:val="0"/>
          <w:szCs w:val="24"/>
          <w:lang w:eastAsia="en-GB"/>
          <w14:ligatures w14:val="none"/>
        </w:rPr>
        <w:t>Verkampt</w:t>
      </w:r>
      <w:proofErr w:type="spellEnd"/>
      <w:r w:rsidRPr="005719E1">
        <w:rPr>
          <w:rFonts w:ascii="Calibri" w:eastAsia="Times New Roman" w:hAnsi="Calibri" w:cs="Calibri"/>
          <w:kern w:val="0"/>
          <w:szCs w:val="24"/>
          <w:lang w:eastAsia="en-GB"/>
          <w14:ligatures w14:val="none"/>
        </w:rPr>
        <w:t xml:space="preserve">, F. and Fisher, R.P. (2021). Using the cognitive interview to recall real‐world emotionally stressful experiences: Road accidents. </w:t>
      </w:r>
      <w:r w:rsidRPr="005719E1">
        <w:rPr>
          <w:rFonts w:ascii="Calibri" w:eastAsia="Times New Roman" w:hAnsi="Calibri" w:cs="Calibri"/>
          <w:i/>
          <w:iCs/>
          <w:kern w:val="0"/>
          <w:szCs w:val="24"/>
          <w:lang w:eastAsia="en-GB"/>
          <w14:ligatures w14:val="none"/>
        </w:rPr>
        <w:t>Applied Cognitive Psychology</w:t>
      </w:r>
      <w:r w:rsidRPr="005719E1">
        <w:rPr>
          <w:rFonts w:ascii="Calibri" w:eastAsia="Times New Roman" w:hAnsi="Calibri" w:cs="Calibri"/>
          <w:kern w:val="0"/>
          <w:szCs w:val="24"/>
          <w:lang w:eastAsia="en-GB"/>
          <w14:ligatures w14:val="none"/>
        </w:rPr>
        <w:t xml:space="preserve">, 35(4), pp.1099–1105.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://doi.org/10.1002/acp.3828</w:t>
      </w:r>
      <w:proofErr w:type="gramEnd"/>
      <w:r w:rsidRPr="005719E1">
        <w:rPr>
          <w:rFonts w:ascii="Calibri" w:eastAsia="Times New Roman" w:hAnsi="Calibri" w:cs="Calibri"/>
          <w:kern w:val="0"/>
          <w:szCs w:val="24"/>
          <w:lang w:eastAsia="en-GB"/>
          <w14:ligatures w14:val="none"/>
        </w:rPr>
        <w:t>.</w:t>
      </w:r>
    </w:p>
    <w:p w14:paraId="1137EB59"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Eades, C., Grimshaw, R., Silvestri, A. and Solomon, E. (2007). </w:t>
      </w:r>
      <w:r w:rsidRPr="005719E1">
        <w:rPr>
          <w:rFonts w:ascii="Calibri" w:eastAsia="Times New Roman" w:hAnsi="Calibri" w:cs="Calibri"/>
          <w:i/>
          <w:iCs/>
          <w:kern w:val="0"/>
          <w:szCs w:val="24"/>
          <w:lang w:eastAsia="en-GB"/>
          <w14:ligatures w14:val="none"/>
        </w:rPr>
        <w:t>‘Knife Crime’ A review of evidence and policy</w:t>
      </w:r>
      <w:r w:rsidRPr="005719E1">
        <w:rPr>
          <w:rFonts w:ascii="Calibri" w:eastAsia="Times New Roman" w:hAnsi="Calibri" w:cs="Calibri"/>
          <w:kern w:val="0"/>
          <w:szCs w:val="24"/>
          <w:lang w:eastAsia="en-GB"/>
          <w14:ligatures w14:val="none"/>
        </w:rPr>
        <w:t>. [online] Available at: https://www.crimeandjustice.org.uk/sites/crimeandjustice.org.uk/files/ccjs_knife_report.pdf.</w:t>
      </w:r>
    </w:p>
    <w:p w14:paraId="294C6523"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Ferguson, H., Bovaird, S. and Mueller, M. (2007). The impact of poverty on educational outcomes for children. </w:t>
      </w:r>
      <w:r w:rsidRPr="005719E1">
        <w:rPr>
          <w:rFonts w:ascii="Calibri" w:eastAsia="Times New Roman" w:hAnsi="Calibri" w:cs="Calibri"/>
          <w:i/>
          <w:iCs/>
          <w:kern w:val="0"/>
          <w:szCs w:val="24"/>
          <w:lang w:eastAsia="en-GB"/>
          <w14:ligatures w14:val="none"/>
        </w:rPr>
        <w:t>Paediatrics &amp; Child Health</w:t>
      </w:r>
      <w:r w:rsidRPr="005719E1">
        <w:rPr>
          <w:rFonts w:ascii="Calibri" w:eastAsia="Times New Roman" w:hAnsi="Calibri" w:cs="Calibri"/>
          <w:kern w:val="0"/>
          <w:szCs w:val="24"/>
          <w:lang w:eastAsia="en-GB"/>
          <w14:ligatures w14:val="none"/>
        </w:rPr>
        <w:t xml:space="preserve">, [online] 12(8), pp.701–706.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://doi.org/10.1093/</w:t>
      </w:r>
      <w:proofErr w:type="spellStart"/>
      <w:r w:rsidRPr="005719E1">
        <w:rPr>
          <w:rFonts w:ascii="Calibri" w:eastAsia="Times New Roman" w:hAnsi="Calibri" w:cs="Calibri"/>
          <w:kern w:val="0"/>
          <w:szCs w:val="24"/>
          <w:lang w:eastAsia="en-GB"/>
          <w14:ligatures w14:val="none"/>
        </w:rPr>
        <w:t>pch</w:t>
      </w:r>
      <w:proofErr w:type="spellEnd"/>
      <w:r w:rsidRPr="005719E1">
        <w:rPr>
          <w:rFonts w:ascii="Calibri" w:eastAsia="Times New Roman" w:hAnsi="Calibri" w:cs="Calibri"/>
          <w:kern w:val="0"/>
          <w:szCs w:val="24"/>
          <w:lang w:eastAsia="en-GB"/>
          <w14:ligatures w14:val="none"/>
        </w:rPr>
        <w:t>/12.8.701</w:t>
      </w:r>
      <w:proofErr w:type="gramEnd"/>
      <w:r w:rsidRPr="005719E1">
        <w:rPr>
          <w:rFonts w:ascii="Calibri" w:eastAsia="Times New Roman" w:hAnsi="Calibri" w:cs="Calibri"/>
          <w:kern w:val="0"/>
          <w:szCs w:val="24"/>
          <w:lang w:eastAsia="en-GB"/>
          <w14:ligatures w14:val="none"/>
        </w:rPr>
        <w:t>.</w:t>
      </w:r>
    </w:p>
    <w:p w14:paraId="72D0C535"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Fin, W., </w:t>
      </w:r>
      <w:proofErr w:type="spellStart"/>
      <w:r w:rsidRPr="005719E1">
        <w:rPr>
          <w:rFonts w:ascii="Calibri" w:eastAsia="Times New Roman" w:hAnsi="Calibri" w:cs="Calibri"/>
          <w:kern w:val="0"/>
          <w:szCs w:val="24"/>
          <w:lang w:eastAsia="en-GB"/>
          <w14:ligatures w14:val="none"/>
        </w:rPr>
        <w:t>Mcneill</w:t>
      </w:r>
      <w:proofErr w:type="spellEnd"/>
      <w:r w:rsidRPr="005719E1">
        <w:rPr>
          <w:rFonts w:ascii="Calibri" w:eastAsia="Times New Roman" w:hAnsi="Calibri" w:cs="Calibri"/>
          <w:kern w:val="0"/>
          <w:szCs w:val="24"/>
          <w:lang w:eastAsia="en-GB"/>
          <w14:ligatures w14:val="none"/>
        </w:rPr>
        <w:t xml:space="preserve">, A. and Mclean, F. (2019). </w:t>
      </w:r>
      <w:r w:rsidRPr="005719E1">
        <w:rPr>
          <w:rFonts w:ascii="Calibri" w:eastAsia="Times New Roman" w:hAnsi="Calibri" w:cs="Calibri"/>
          <w:i/>
          <w:iCs/>
          <w:kern w:val="0"/>
          <w:szCs w:val="24"/>
          <w:lang w:eastAsia="en-GB"/>
          <w14:ligatures w14:val="none"/>
        </w:rPr>
        <w:t>Obtaining initial accounts from victims and witnesses</w:t>
      </w:r>
      <w:r w:rsidRPr="005719E1">
        <w:rPr>
          <w:rFonts w:ascii="Calibri" w:eastAsia="Times New Roman" w:hAnsi="Calibri" w:cs="Calibri"/>
          <w:kern w:val="0"/>
          <w:szCs w:val="24"/>
          <w:lang w:eastAsia="en-GB"/>
          <w14:ligatures w14:val="none"/>
        </w:rPr>
        <w:t>. [online] College of Policing. Available at: https://assets.production.copweb.aws.college.police.uk/s3fs-public/2020-11/Initial_Accounts_REA.pdf.</w:t>
      </w:r>
    </w:p>
    <w:p w14:paraId="4E2A65C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Foster, R. (2013). </w:t>
      </w:r>
      <w:r w:rsidRPr="005719E1">
        <w:rPr>
          <w:rFonts w:ascii="Calibri" w:eastAsia="Times New Roman" w:hAnsi="Calibri" w:cs="Calibri"/>
          <w:i/>
          <w:iCs/>
          <w:kern w:val="0"/>
          <w:szCs w:val="24"/>
          <w:lang w:eastAsia="en-GB"/>
          <w14:ligatures w14:val="none"/>
        </w:rPr>
        <w:t>Knife Crime Interventions: ‘What Works?’</w:t>
      </w:r>
      <w:r w:rsidRPr="005719E1">
        <w:rPr>
          <w:rFonts w:ascii="Calibri" w:eastAsia="Times New Roman" w:hAnsi="Calibri" w:cs="Calibri"/>
          <w:kern w:val="0"/>
          <w:szCs w:val="24"/>
          <w:lang w:eastAsia="en-GB"/>
          <w14:ligatures w14:val="none"/>
        </w:rPr>
        <w:t xml:space="preserve"> [online] The Scottish Centre for Crime and Justice Research. Available at: https://www.sccjr.ac.uk/wp-content/uploads/2014/01/SCCJR_Report_No_04.2013_Knife_Crime_Interventions.pdf [Accessed 24 May 2024].</w:t>
      </w:r>
    </w:p>
    <w:p w14:paraId="4B8EA5B5"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Garner, R. (2005). Police attitudes: The impact of experience after training. </w:t>
      </w:r>
      <w:r w:rsidRPr="005719E1">
        <w:rPr>
          <w:rFonts w:ascii="Calibri" w:eastAsia="Times New Roman" w:hAnsi="Calibri" w:cs="Calibri"/>
          <w:i/>
          <w:iCs/>
          <w:kern w:val="0"/>
          <w:szCs w:val="24"/>
          <w:lang w:eastAsia="en-GB"/>
          <w14:ligatures w14:val="none"/>
        </w:rPr>
        <w:t>Applied Psychology in Criminal Justice</w:t>
      </w:r>
      <w:r w:rsidRPr="005719E1">
        <w:rPr>
          <w:rFonts w:ascii="Calibri" w:eastAsia="Times New Roman" w:hAnsi="Calibri" w:cs="Calibri"/>
          <w:kern w:val="0"/>
          <w:szCs w:val="24"/>
          <w:lang w:eastAsia="en-GB"/>
          <w14:ligatures w14:val="none"/>
        </w:rPr>
        <w:t>, 1(1), pp.56–70.</w:t>
      </w:r>
    </w:p>
    <w:p w14:paraId="3A77EF9D"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Geiselman, R.E., Fisher, R.P., MacKinnon, D.P. and Holland, H.L. (1985). Eyewitness memory enhancement in the police interview: Cognitive retrieval mnemonics versus hypnosis. </w:t>
      </w:r>
      <w:r w:rsidRPr="005719E1">
        <w:rPr>
          <w:rFonts w:ascii="Calibri" w:eastAsia="Times New Roman" w:hAnsi="Calibri" w:cs="Calibri"/>
          <w:i/>
          <w:iCs/>
          <w:kern w:val="0"/>
          <w:szCs w:val="24"/>
          <w:lang w:eastAsia="en-GB"/>
          <w14:ligatures w14:val="none"/>
        </w:rPr>
        <w:t>Journal of Applied Psychology</w:t>
      </w:r>
      <w:r w:rsidRPr="005719E1">
        <w:rPr>
          <w:rFonts w:ascii="Calibri" w:eastAsia="Times New Roman" w:hAnsi="Calibri" w:cs="Calibri"/>
          <w:kern w:val="0"/>
          <w:szCs w:val="24"/>
          <w:lang w:eastAsia="en-GB"/>
          <w14:ligatures w14:val="none"/>
        </w:rPr>
        <w:t>, 70(2), pp.401–412.</w:t>
      </w:r>
    </w:p>
    <w:p w14:paraId="2630323A"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HM Government (2018). </w:t>
      </w:r>
      <w:r w:rsidRPr="005719E1">
        <w:rPr>
          <w:rFonts w:ascii="Calibri" w:eastAsia="Times New Roman" w:hAnsi="Calibri" w:cs="Calibri"/>
          <w:i/>
          <w:iCs/>
          <w:kern w:val="0"/>
          <w:szCs w:val="24"/>
          <w:lang w:eastAsia="en-GB"/>
          <w14:ligatures w14:val="none"/>
        </w:rPr>
        <w:t>Serious Violence Strategy</w:t>
      </w:r>
      <w:r w:rsidRPr="005719E1">
        <w:rPr>
          <w:rFonts w:ascii="Calibri" w:eastAsia="Times New Roman" w:hAnsi="Calibri" w:cs="Calibri"/>
          <w:kern w:val="0"/>
          <w:szCs w:val="24"/>
          <w:lang w:eastAsia="en-GB"/>
          <w14:ligatures w14:val="none"/>
        </w:rPr>
        <w:t>. [online] Available at: https://assets.publishing.service.gov.uk/media/5acb21d140f0b64fed0afd55/serious-violence-strategy.pdf.</w:t>
      </w:r>
    </w:p>
    <w:p w14:paraId="2203ACE5"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lastRenderedPageBreak/>
        <w:t xml:space="preserve">Home Office (2023). </w:t>
      </w:r>
      <w:r w:rsidRPr="005719E1">
        <w:rPr>
          <w:rFonts w:ascii="Calibri" w:eastAsia="Times New Roman" w:hAnsi="Calibri" w:cs="Calibri"/>
          <w:i/>
          <w:iCs/>
          <w:kern w:val="0"/>
          <w:szCs w:val="24"/>
          <w:lang w:eastAsia="en-GB"/>
          <w14:ligatures w14:val="none"/>
        </w:rPr>
        <w:t>Violence Reduction Units 2022 to 2023</w:t>
      </w:r>
      <w:r w:rsidRPr="005719E1">
        <w:rPr>
          <w:rFonts w:ascii="Calibri" w:eastAsia="Times New Roman" w:hAnsi="Calibri" w:cs="Calibri"/>
          <w:kern w:val="0"/>
          <w:szCs w:val="24"/>
          <w:lang w:eastAsia="en-GB"/>
          <w14:ligatures w14:val="none"/>
        </w:rPr>
        <w:t>. [online] GOV.UK. Available at: https://www.gov.uk/government/publications/violence-reduction-units-year-ending-march-2023-evaluation-report/violence-reduction-units-2022-to-2023.</w:t>
      </w:r>
    </w:p>
    <w:p w14:paraId="020C8E29"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Kabir, R., Vinnakota, D., Rahman, Q.M., </w:t>
      </w:r>
      <w:proofErr w:type="spellStart"/>
      <w:r w:rsidRPr="005719E1">
        <w:rPr>
          <w:rFonts w:ascii="Calibri" w:eastAsia="Times New Roman" w:hAnsi="Calibri" w:cs="Calibri"/>
          <w:kern w:val="0"/>
          <w:szCs w:val="24"/>
          <w:lang w:eastAsia="en-GB"/>
          <w14:ligatures w14:val="none"/>
        </w:rPr>
        <w:t>Sathian</w:t>
      </w:r>
      <w:proofErr w:type="spellEnd"/>
      <w:r w:rsidRPr="005719E1">
        <w:rPr>
          <w:rFonts w:ascii="Calibri" w:eastAsia="Times New Roman" w:hAnsi="Calibri" w:cs="Calibri"/>
          <w:kern w:val="0"/>
          <w:szCs w:val="24"/>
          <w:lang w:eastAsia="en-GB"/>
          <w14:ligatures w14:val="none"/>
        </w:rPr>
        <w:t xml:space="preserve">, B., Bai, A.C.M., Deividas, N., </w:t>
      </w:r>
      <w:proofErr w:type="spellStart"/>
      <w:r w:rsidRPr="005719E1">
        <w:rPr>
          <w:rFonts w:ascii="Calibri" w:eastAsia="Times New Roman" w:hAnsi="Calibri" w:cs="Calibri"/>
          <w:kern w:val="0"/>
          <w:szCs w:val="24"/>
          <w:lang w:eastAsia="en-GB"/>
          <w14:ligatures w14:val="none"/>
        </w:rPr>
        <w:t>Pellissery</w:t>
      </w:r>
      <w:proofErr w:type="spellEnd"/>
      <w:r w:rsidRPr="005719E1">
        <w:rPr>
          <w:rFonts w:ascii="Calibri" w:eastAsia="Times New Roman" w:hAnsi="Calibri" w:cs="Calibri"/>
          <w:kern w:val="0"/>
          <w:szCs w:val="24"/>
          <w:lang w:eastAsia="en-GB"/>
          <w14:ligatures w14:val="none"/>
        </w:rPr>
        <w:t xml:space="preserve">, M.-V., Kareem, S.K.A., Hasan, </w:t>
      </w:r>
      <w:proofErr w:type="spellStart"/>
      <w:r w:rsidRPr="005719E1">
        <w:rPr>
          <w:rFonts w:ascii="Calibri" w:eastAsia="Times New Roman" w:hAnsi="Calibri" w:cs="Calibri"/>
          <w:kern w:val="0"/>
          <w:szCs w:val="24"/>
          <w:lang w:eastAsia="en-GB"/>
          <w14:ligatures w14:val="none"/>
        </w:rPr>
        <w:t>Md.R</w:t>
      </w:r>
      <w:proofErr w:type="spellEnd"/>
      <w:r w:rsidRPr="005719E1">
        <w:rPr>
          <w:rFonts w:ascii="Calibri" w:eastAsia="Times New Roman" w:hAnsi="Calibri" w:cs="Calibri"/>
          <w:kern w:val="0"/>
          <w:szCs w:val="24"/>
          <w:lang w:eastAsia="en-GB"/>
          <w14:ligatures w14:val="none"/>
        </w:rPr>
        <w:t xml:space="preserve">. and Parsa, A.D. (2022). Exploring UK Knife Crime and Its Associated factors: a Content Analysis of Online Newspapers. </w:t>
      </w:r>
      <w:r w:rsidRPr="005719E1">
        <w:rPr>
          <w:rFonts w:ascii="Calibri" w:eastAsia="Times New Roman" w:hAnsi="Calibri" w:cs="Calibri"/>
          <w:i/>
          <w:iCs/>
          <w:kern w:val="0"/>
          <w:szCs w:val="24"/>
          <w:lang w:eastAsia="en-GB"/>
          <w14:ligatures w14:val="none"/>
        </w:rPr>
        <w:t>Nepal Journal of Epidemiology</w:t>
      </w:r>
      <w:r w:rsidRPr="005719E1">
        <w:rPr>
          <w:rFonts w:ascii="Calibri" w:eastAsia="Times New Roman" w:hAnsi="Calibri" w:cs="Calibri"/>
          <w:kern w:val="0"/>
          <w:szCs w:val="24"/>
          <w:lang w:eastAsia="en-GB"/>
          <w14:ligatures w14:val="none"/>
        </w:rPr>
        <w:t xml:space="preserve">, [online] 12(4), pp.1242–1247.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://doi.org/10.3126/nje.v12i4.49994</w:t>
      </w:r>
      <w:proofErr w:type="gramEnd"/>
      <w:r w:rsidRPr="005719E1">
        <w:rPr>
          <w:rFonts w:ascii="Calibri" w:eastAsia="Times New Roman" w:hAnsi="Calibri" w:cs="Calibri"/>
          <w:kern w:val="0"/>
          <w:szCs w:val="24"/>
          <w:lang w:eastAsia="en-GB"/>
          <w14:ligatures w14:val="none"/>
        </w:rPr>
        <w:t>.</w:t>
      </w:r>
    </w:p>
    <w:p w14:paraId="36B65A84"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proofErr w:type="spellStart"/>
      <w:r w:rsidRPr="005719E1">
        <w:rPr>
          <w:rFonts w:ascii="Calibri" w:eastAsia="Times New Roman" w:hAnsi="Calibri" w:cs="Calibri"/>
          <w:kern w:val="0"/>
          <w:szCs w:val="24"/>
          <w:lang w:eastAsia="en-GB"/>
          <w14:ligatures w14:val="none"/>
        </w:rPr>
        <w:t>Knifton</w:t>
      </w:r>
      <w:proofErr w:type="spellEnd"/>
      <w:r w:rsidRPr="005719E1">
        <w:rPr>
          <w:rFonts w:ascii="Calibri" w:eastAsia="Times New Roman" w:hAnsi="Calibri" w:cs="Calibri"/>
          <w:kern w:val="0"/>
          <w:szCs w:val="24"/>
          <w:lang w:eastAsia="en-GB"/>
          <w14:ligatures w14:val="none"/>
        </w:rPr>
        <w:t xml:space="preserve">, L. and Inglis, G. (2020). Poverty and mental health: policy, </w:t>
      </w:r>
      <w:proofErr w:type="gramStart"/>
      <w:r w:rsidRPr="005719E1">
        <w:rPr>
          <w:rFonts w:ascii="Calibri" w:eastAsia="Times New Roman" w:hAnsi="Calibri" w:cs="Calibri"/>
          <w:kern w:val="0"/>
          <w:szCs w:val="24"/>
          <w:lang w:eastAsia="en-GB"/>
          <w14:ligatures w14:val="none"/>
        </w:rPr>
        <w:t>practice</w:t>
      </w:r>
      <w:proofErr w:type="gramEnd"/>
      <w:r w:rsidRPr="005719E1">
        <w:rPr>
          <w:rFonts w:ascii="Calibri" w:eastAsia="Times New Roman" w:hAnsi="Calibri" w:cs="Calibri"/>
          <w:kern w:val="0"/>
          <w:szCs w:val="24"/>
          <w:lang w:eastAsia="en-GB"/>
          <w14:ligatures w14:val="none"/>
        </w:rPr>
        <w:t xml:space="preserve"> and research implications. </w:t>
      </w:r>
      <w:proofErr w:type="spellStart"/>
      <w:r w:rsidRPr="005719E1">
        <w:rPr>
          <w:rFonts w:ascii="Calibri" w:eastAsia="Times New Roman" w:hAnsi="Calibri" w:cs="Calibri"/>
          <w:i/>
          <w:iCs/>
          <w:kern w:val="0"/>
          <w:szCs w:val="24"/>
          <w:lang w:eastAsia="en-GB"/>
          <w14:ligatures w14:val="none"/>
        </w:rPr>
        <w:t>BJPsych</w:t>
      </w:r>
      <w:proofErr w:type="spellEnd"/>
      <w:r w:rsidRPr="005719E1">
        <w:rPr>
          <w:rFonts w:ascii="Calibri" w:eastAsia="Times New Roman" w:hAnsi="Calibri" w:cs="Calibri"/>
          <w:i/>
          <w:iCs/>
          <w:kern w:val="0"/>
          <w:szCs w:val="24"/>
          <w:lang w:eastAsia="en-GB"/>
          <w14:ligatures w14:val="none"/>
        </w:rPr>
        <w:t xml:space="preserve"> Bulletin</w:t>
      </w:r>
      <w:r w:rsidRPr="005719E1">
        <w:rPr>
          <w:rFonts w:ascii="Calibri" w:eastAsia="Times New Roman" w:hAnsi="Calibri" w:cs="Calibri"/>
          <w:kern w:val="0"/>
          <w:szCs w:val="24"/>
          <w:lang w:eastAsia="en-GB"/>
          <w14:ligatures w14:val="none"/>
        </w:rPr>
        <w:t>, [online] 44(5), pp.193–196. Available at: https://www.ncbi.nlm.nih.gov/pmc/articles/PMC7525587/.</w:t>
      </w:r>
    </w:p>
    <w:p w14:paraId="0CBB4676"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Lipsey, M.W. and Cullen, F.T. (2007). The Effectiveness of Correctional Rehabilitation: A Review of Systematic Reviews. </w:t>
      </w:r>
      <w:r w:rsidRPr="005719E1">
        <w:rPr>
          <w:rFonts w:ascii="Calibri" w:eastAsia="Times New Roman" w:hAnsi="Calibri" w:cs="Calibri"/>
          <w:i/>
          <w:iCs/>
          <w:kern w:val="0"/>
          <w:szCs w:val="24"/>
          <w:lang w:eastAsia="en-GB"/>
          <w14:ligatures w14:val="none"/>
        </w:rPr>
        <w:t>Annual Review of Law and Social Science</w:t>
      </w:r>
      <w:r w:rsidRPr="005719E1">
        <w:rPr>
          <w:rFonts w:ascii="Calibri" w:eastAsia="Times New Roman" w:hAnsi="Calibri" w:cs="Calibri"/>
          <w:kern w:val="0"/>
          <w:szCs w:val="24"/>
          <w:lang w:eastAsia="en-GB"/>
          <w14:ligatures w14:val="none"/>
        </w:rPr>
        <w:t xml:space="preserve">, 3(1), pp.297–320.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://doi.org/10.1146/annurev.lawsocsci.3.081806.112833</w:t>
      </w:r>
      <w:proofErr w:type="gramEnd"/>
      <w:r w:rsidRPr="005719E1">
        <w:rPr>
          <w:rFonts w:ascii="Calibri" w:eastAsia="Times New Roman" w:hAnsi="Calibri" w:cs="Calibri"/>
          <w:kern w:val="0"/>
          <w:szCs w:val="24"/>
          <w:lang w:eastAsia="en-GB"/>
          <w14:ligatures w14:val="none"/>
        </w:rPr>
        <w:t>.</w:t>
      </w:r>
    </w:p>
    <w:p w14:paraId="078AD27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proofErr w:type="spellStart"/>
      <w:r w:rsidRPr="005719E1">
        <w:rPr>
          <w:rFonts w:ascii="Calibri" w:eastAsia="Times New Roman" w:hAnsi="Calibri" w:cs="Calibri"/>
          <w:kern w:val="0"/>
          <w:szCs w:val="24"/>
          <w:lang w:eastAsia="en-GB"/>
          <w14:ligatures w14:val="none"/>
        </w:rPr>
        <w:t>Mcleod</w:t>
      </w:r>
      <w:proofErr w:type="spellEnd"/>
      <w:r w:rsidRPr="005719E1">
        <w:rPr>
          <w:rFonts w:ascii="Calibri" w:eastAsia="Times New Roman" w:hAnsi="Calibri" w:cs="Calibri"/>
          <w:kern w:val="0"/>
          <w:szCs w:val="24"/>
          <w:lang w:eastAsia="en-GB"/>
          <w14:ligatures w14:val="none"/>
        </w:rPr>
        <w:t xml:space="preserve">, S. (2023). </w:t>
      </w:r>
      <w:r w:rsidRPr="005719E1">
        <w:rPr>
          <w:rFonts w:ascii="Calibri" w:eastAsia="Times New Roman" w:hAnsi="Calibri" w:cs="Calibri"/>
          <w:i/>
          <w:iCs/>
          <w:kern w:val="0"/>
          <w:szCs w:val="24"/>
          <w:lang w:eastAsia="en-GB"/>
          <w14:ligatures w14:val="none"/>
        </w:rPr>
        <w:t>Cognitive Interview Technique | Simply Psychology</w:t>
      </w:r>
      <w:r w:rsidRPr="005719E1">
        <w:rPr>
          <w:rFonts w:ascii="Calibri" w:eastAsia="Times New Roman" w:hAnsi="Calibri" w:cs="Calibri"/>
          <w:kern w:val="0"/>
          <w:szCs w:val="24"/>
          <w:lang w:eastAsia="en-GB"/>
          <w14:ligatures w14:val="none"/>
        </w:rPr>
        <w:t>. [online] Simplypsychology.org. Available at: https://www.simplypsychology.org/cognitive-interview.html [Accessed 22 May 2024].</w:t>
      </w:r>
    </w:p>
    <w:p w14:paraId="73B80E04"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proofErr w:type="spellStart"/>
      <w:r w:rsidRPr="005719E1">
        <w:rPr>
          <w:rFonts w:ascii="Calibri" w:eastAsia="Times New Roman" w:hAnsi="Calibri" w:cs="Calibri"/>
          <w:kern w:val="0"/>
          <w:szCs w:val="24"/>
          <w:lang w:eastAsia="en-GB"/>
          <w14:ligatures w14:val="none"/>
        </w:rPr>
        <w:t>Mcneill</w:t>
      </w:r>
      <w:proofErr w:type="spellEnd"/>
      <w:r w:rsidRPr="005719E1">
        <w:rPr>
          <w:rFonts w:ascii="Calibri" w:eastAsia="Times New Roman" w:hAnsi="Calibri" w:cs="Calibri"/>
          <w:kern w:val="0"/>
          <w:szCs w:val="24"/>
          <w:lang w:eastAsia="en-GB"/>
          <w14:ligatures w14:val="none"/>
        </w:rPr>
        <w:t xml:space="preserve">, A. and Wheller, L. (2019). </w:t>
      </w:r>
      <w:r w:rsidRPr="005719E1">
        <w:rPr>
          <w:rFonts w:ascii="Calibri" w:eastAsia="Times New Roman" w:hAnsi="Calibri" w:cs="Calibri"/>
          <w:i/>
          <w:iCs/>
          <w:kern w:val="0"/>
          <w:szCs w:val="24"/>
          <w:lang w:eastAsia="en-GB"/>
          <w14:ligatures w14:val="none"/>
        </w:rPr>
        <w:t>Knife Crime: Evidence Briefing</w:t>
      </w:r>
      <w:r w:rsidRPr="005719E1">
        <w:rPr>
          <w:rFonts w:ascii="Calibri" w:eastAsia="Times New Roman" w:hAnsi="Calibri" w:cs="Calibri"/>
          <w:kern w:val="0"/>
          <w:szCs w:val="24"/>
          <w:lang w:eastAsia="en-GB"/>
          <w14:ligatures w14:val="none"/>
        </w:rPr>
        <w:t>. [online] Available at: https://assets.production.copweb.aws.college.police.uk/s3fs-public/2022-03/Knife_Crime_Evidence_Briefing.pdf.</w:t>
      </w:r>
    </w:p>
    <w:p w14:paraId="76FEAEE7"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Memon, A., Meissner, C.A. and Fraser, J. (2010). The Cognitive Interview: A meta-analytic review and study space analysis of the past 25 years. </w:t>
      </w:r>
      <w:r w:rsidRPr="005719E1">
        <w:rPr>
          <w:rFonts w:ascii="Calibri" w:eastAsia="Times New Roman" w:hAnsi="Calibri" w:cs="Calibri"/>
          <w:i/>
          <w:iCs/>
          <w:kern w:val="0"/>
          <w:szCs w:val="24"/>
          <w:lang w:eastAsia="en-GB"/>
          <w14:ligatures w14:val="none"/>
        </w:rPr>
        <w:t>Psychology, Public Policy, and Law</w:t>
      </w:r>
      <w:r w:rsidRPr="005719E1">
        <w:rPr>
          <w:rFonts w:ascii="Calibri" w:eastAsia="Times New Roman" w:hAnsi="Calibri" w:cs="Calibri"/>
          <w:kern w:val="0"/>
          <w:szCs w:val="24"/>
          <w:lang w:eastAsia="en-GB"/>
          <w14:ligatures w14:val="none"/>
        </w:rPr>
        <w:t xml:space="preserve">, 16(4), pp.340–372.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://doi.org/10.1037/a0020518</w:t>
      </w:r>
      <w:proofErr w:type="gramEnd"/>
      <w:r w:rsidRPr="005719E1">
        <w:rPr>
          <w:rFonts w:ascii="Calibri" w:eastAsia="Times New Roman" w:hAnsi="Calibri" w:cs="Calibri"/>
          <w:kern w:val="0"/>
          <w:szCs w:val="24"/>
          <w:lang w:eastAsia="en-GB"/>
          <w14:ligatures w14:val="none"/>
        </w:rPr>
        <w:t>.</w:t>
      </w:r>
    </w:p>
    <w:p w14:paraId="2388D313"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Merry, S., Power, N., McManus, M. and Alison, L. (2012). Drivers of Public Trust and Confidence in Police in the UK. </w:t>
      </w:r>
      <w:r w:rsidRPr="005719E1">
        <w:rPr>
          <w:rFonts w:ascii="Calibri" w:eastAsia="Times New Roman" w:hAnsi="Calibri" w:cs="Calibri"/>
          <w:i/>
          <w:iCs/>
          <w:kern w:val="0"/>
          <w:szCs w:val="24"/>
          <w:lang w:eastAsia="en-GB"/>
          <w14:ligatures w14:val="none"/>
        </w:rPr>
        <w:t>International Journal of Police Science &amp; Management</w:t>
      </w:r>
      <w:r w:rsidRPr="005719E1">
        <w:rPr>
          <w:rFonts w:ascii="Calibri" w:eastAsia="Times New Roman" w:hAnsi="Calibri" w:cs="Calibri"/>
          <w:kern w:val="0"/>
          <w:szCs w:val="24"/>
          <w:lang w:eastAsia="en-GB"/>
          <w14:ligatures w14:val="none"/>
        </w:rPr>
        <w:t>, 14(2), pp.118–135.</w:t>
      </w:r>
    </w:p>
    <w:p w14:paraId="53163CD1"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Ministry of Justice (2022). </w:t>
      </w:r>
      <w:r w:rsidRPr="005719E1">
        <w:rPr>
          <w:rFonts w:ascii="Calibri" w:eastAsia="Times New Roman" w:hAnsi="Calibri" w:cs="Calibri"/>
          <w:i/>
          <w:iCs/>
          <w:kern w:val="0"/>
          <w:szCs w:val="24"/>
          <w:lang w:eastAsia="en-GB"/>
          <w14:ligatures w14:val="none"/>
        </w:rPr>
        <w:t>Offending behaviour programmes and interventions</w:t>
      </w:r>
      <w:r w:rsidRPr="005719E1">
        <w:rPr>
          <w:rFonts w:ascii="Calibri" w:eastAsia="Times New Roman" w:hAnsi="Calibri" w:cs="Calibri"/>
          <w:kern w:val="0"/>
          <w:szCs w:val="24"/>
          <w:lang w:eastAsia="en-GB"/>
          <w14:ligatures w14:val="none"/>
        </w:rPr>
        <w:t>. [online] GOV.UK. Available at: https://www.gov.uk/guidance/offending-behaviour-programmes-and-interventions.</w:t>
      </w:r>
    </w:p>
    <w:p w14:paraId="1728119E"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lastRenderedPageBreak/>
        <w:t xml:space="preserve">Ministry of Justice (2024). </w:t>
      </w:r>
      <w:r w:rsidRPr="005719E1">
        <w:rPr>
          <w:rFonts w:ascii="Calibri" w:eastAsia="Times New Roman" w:hAnsi="Calibri" w:cs="Calibri"/>
          <w:i/>
          <w:iCs/>
          <w:kern w:val="0"/>
          <w:szCs w:val="24"/>
          <w:lang w:eastAsia="en-GB"/>
          <w14:ligatures w14:val="none"/>
        </w:rPr>
        <w:t>Proven reoffending statistics: January to March 2022</w:t>
      </w:r>
      <w:r w:rsidRPr="005719E1">
        <w:rPr>
          <w:rFonts w:ascii="Calibri" w:eastAsia="Times New Roman" w:hAnsi="Calibri" w:cs="Calibri"/>
          <w:kern w:val="0"/>
          <w:szCs w:val="24"/>
          <w:lang w:eastAsia="en-GB"/>
          <w14:ligatures w14:val="none"/>
        </w:rPr>
        <w:t>. [online] GOV.UK. Available at: https://www.gov.uk/government/statistics/proven-reoffending-statistics-january-to-march-2022/proven-reoffending-statistics-january-to-march-2022#reoffending-by-proven-reoffence-type.</w:t>
      </w:r>
    </w:p>
    <w:p w14:paraId="77389F41"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Office for National Statistics (2024). </w:t>
      </w:r>
      <w:r w:rsidRPr="005719E1">
        <w:rPr>
          <w:rFonts w:ascii="Calibri" w:eastAsia="Times New Roman" w:hAnsi="Calibri" w:cs="Calibri"/>
          <w:i/>
          <w:iCs/>
          <w:kern w:val="0"/>
          <w:szCs w:val="24"/>
          <w:lang w:eastAsia="en-GB"/>
          <w14:ligatures w14:val="none"/>
        </w:rPr>
        <w:t>Crime in England and Wales - Office for National Statistics</w:t>
      </w:r>
      <w:r w:rsidRPr="005719E1">
        <w:rPr>
          <w:rFonts w:ascii="Calibri" w:eastAsia="Times New Roman" w:hAnsi="Calibri" w:cs="Calibri"/>
          <w:kern w:val="0"/>
          <w:szCs w:val="24"/>
          <w:lang w:eastAsia="en-GB"/>
          <w14:ligatures w14:val="none"/>
        </w:rPr>
        <w:t>. [online] www.ons.gov.uk. Available at: https://www.ons.gov.uk/peoplepopulationandcommunity/crimeandjustice/bulletins/crimeinenglandandwales/yearendingdecember2023#knife-or-sharp-instrument-offences.</w:t>
      </w:r>
    </w:p>
    <w:p w14:paraId="52427E0B"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Popham, C. (2023). </w:t>
      </w:r>
      <w:r w:rsidRPr="005719E1">
        <w:rPr>
          <w:rFonts w:ascii="Calibri" w:eastAsia="Times New Roman" w:hAnsi="Calibri" w:cs="Calibri"/>
          <w:i/>
          <w:iCs/>
          <w:kern w:val="0"/>
          <w:szCs w:val="24"/>
          <w:lang w:eastAsia="en-GB"/>
          <w14:ligatures w14:val="none"/>
        </w:rPr>
        <w:t>Is knife crime at a record high?</w:t>
      </w:r>
      <w:r w:rsidRPr="005719E1">
        <w:rPr>
          <w:rFonts w:ascii="Calibri" w:eastAsia="Times New Roman" w:hAnsi="Calibri" w:cs="Calibri"/>
          <w:kern w:val="0"/>
          <w:szCs w:val="24"/>
          <w:lang w:eastAsia="en-GB"/>
          <w14:ligatures w14:val="none"/>
        </w:rPr>
        <w:t xml:space="preserve"> [online] Youth Endowment Fund. Available at: https://youthendowmentfund.org.uk/is-knife-crime-at-record-highs/.</w:t>
      </w:r>
    </w:p>
    <w:p w14:paraId="5BEA4888"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Quinton, P. (2015). </w:t>
      </w:r>
      <w:r w:rsidRPr="005719E1">
        <w:rPr>
          <w:rFonts w:ascii="Calibri" w:eastAsia="Times New Roman" w:hAnsi="Calibri" w:cs="Calibri"/>
          <w:i/>
          <w:iCs/>
          <w:kern w:val="0"/>
          <w:szCs w:val="24"/>
          <w:lang w:eastAsia="en-GB"/>
          <w14:ligatures w14:val="none"/>
        </w:rPr>
        <w:t>It’s a Fair Cop? Police Legitimacy, Public Cooperation, and Crime Reduction. An Interpretative Evidence Commentary</w:t>
      </w:r>
      <w:r w:rsidRPr="005719E1">
        <w:rPr>
          <w:rFonts w:ascii="Calibri" w:eastAsia="Times New Roman" w:hAnsi="Calibri" w:cs="Calibri"/>
          <w:kern w:val="0"/>
          <w:szCs w:val="24"/>
          <w:lang w:eastAsia="en-GB"/>
          <w14:ligatures w14:val="none"/>
        </w:rPr>
        <w:t>. NPIA.</w:t>
      </w:r>
    </w:p>
    <w:p w14:paraId="45ED6FC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Rossetti, P., Cumbo, E., Forbes, A. and Bell, L. (2010). </w:t>
      </w:r>
      <w:r w:rsidRPr="005719E1">
        <w:rPr>
          <w:rFonts w:ascii="Calibri" w:eastAsia="Times New Roman" w:hAnsi="Calibri" w:cs="Calibri"/>
          <w:i/>
          <w:iCs/>
          <w:kern w:val="0"/>
          <w:szCs w:val="24"/>
          <w:lang w:eastAsia="en-GB"/>
          <w14:ligatures w14:val="none"/>
        </w:rPr>
        <w:t>Victims’ justice? What victims and witnesses really want from sentencing</w:t>
      </w:r>
      <w:r w:rsidRPr="005719E1">
        <w:rPr>
          <w:rFonts w:ascii="Calibri" w:eastAsia="Times New Roman" w:hAnsi="Calibri" w:cs="Calibri"/>
          <w:kern w:val="0"/>
          <w:szCs w:val="24"/>
          <w:lang w:eastAsia="en-GB"/>
          <w14:ligatures w14:val="none"/>
        </w:rPr>
        <w:t>. [online] Available at: https://www.victimsupport.org.uk/wp-content/uploads/documents/files/Victims%27%20justice%20-%20What%20victims%20and%20witnesses%20really%20want%20from%20sentencing.pdf.</w:t>
      </w:r>
    </w:p>
    <w:p w14:paraId="40E543F6"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Scottish Violence Reduction Unit (2020). </w:t>
      </w:r>
      <w:r w:rsidRPr="005719E1">
        <w:rPr>
          <w:rFonts w:ascii="Calibri" w:eastAsia="Times New Roman" w:hAnsi="Calibri" w:cs="Calibri"/>
          <w:i/>
          <w:iCs/>
          <w:kern w:val="0"/>
          <w:szCs w:val="24"/>
          <w:lang w:eastAsia="en-GB"/>
          <w14:ligatures w14:val="none"/>
        </w:rPr>
        <w:t>Glasgow’s Community Initiative to Reduce Violence: Second Year Report</w:t>
      </w:r>
      <w:r w:rsidRPr="005719E1">
        <w:rPr>
          <w:rFonts w:ascii="Calibri" w:eastAsia="Times New Roman" w:hAnsi="Calibri" w:cs="Calibri"/>
          <w:kern w:val="0"/>
          <w:szCs w:val="24"/>
          <w:lang w:eastAsia="en-GB"/>
          <w14:ligatures w14:val="none"/>
        </w:rPr>
        <w:t>. [online] Available at: https://www.svru.co.uk/wp-content/uploads/2020/02/CIRV_2nd_year_report.pdf.</w:t>
      </w:r>
    </w:p>
    <w:p w14:paraId="366D1015"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Shaw, </w:t>
      </w:r>
      <w:proofErr w:type="gramStart"/>
      <w:r w:rsidRPr="005719E1">
        <w:rPr>
          <w:rFonts w:ascii="Calibri" w:eastAsia="Times New Roman" w:hAnsi="Calibri" w:cs="Calibri"/>
          <w:kern w:val="0"/>
          <w:szCs w:val="24"/>
          <w:lang w:eastAsia="en-GB"/>
          <w14:ligatures w14:val="none"/>
        </w:rPr>
        <w:t>C.R.</w:t>
      </w:r>
      <w:proofErr w:type="gramEnd"/>
      <w:r w:rsidRPr="005719E1">
        <w:rPr>
          <w:rFonts w:ascii="Calibri" w:eastAsia="Times New Roman" w:hAnsi="Calibri" w:cs="Calibri"/>
          <w:kern w:val="0"/>
          <w:szCs w:val="24"/>
          <w:lang w:eastAsia="en-GB"/>
          <w14:ligatures w14:val="none"/>
        </w:rPr>
        <w:t xml:space="preserve"> and MacKay, H.D. (1942). </w:t>
      </w:r>
      <w:r w:rsidRPr="005719E1">
        <w:rPr>
          <w:rFonts w:ascii="Calibri" w:eastAsia="Times New Roman" w:hAnsi="Calibri" w:cs="Calibri"/>
          <w:i/>
          <w:iCs/>
          <w:kern w:val="0"/>
          <w:szCs w:val="24"/>
          <w:lang w:eastAsia="en-GB"/>
          <w14:ligatures w14:val="none"/>
        </w:rPr>
        <w:t>Juvenile Delinquency and Urban Areas</w:t>
      </w:r>
      <w:r w:rsidRPr="005719E1">
        <w:rPr>
          <w:rFonts w:ascii="Calibri" w:eastAsia="Times New Roman" w:hAnsi="Calibri" w:cs="Calibri"/>
          <w:kern w:val="0"/>
          <w:szCs w:val="24"/>
          <w:lang w:eastAsia="en-GB"/>
          <w14:ligatures w14:val="none"/>
        </w:rPr>
        <w:t>. University of Chicago Press.</w:t>
      </w:r>
    </w:p>
    <w:p w14:paraId="110EB5B2"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Spicer, J., Moyle, L. and Coomber, R. (2019). The variable and evolving nature of ‘cuckooing’ as a form of criminal exploitation in street level drug markets. </w:t>
      </w:r>
      <w:r w:rsidRPr="005719E1">
        <w:rPr>
          <w:rFonts w:ascii="Calibri" w:eastAsia="Times New Roman" w:hAnsi="Calibri" w:cs="Calibri"/>
          <w:i/>
          <w:iCs/>
          <w:kern w:val="0"/>
          <w:szCs w:val="24"/>
          <w:lang w:eastAsia="en-GB"/>
          <w14:ligatures w14:val="none"/>
        </w:rPr>
        <w:t>Trends in Organized Crime</w:t>
      </w:r>
      <w:r w:rsidRPr="005719E1">
        <w:rPr>
          <w:rFonts w:ascii="Calibri" w:eastAsia="Times New Roman" w:hAnsi="Calibri" w:cs="Calibri"/>
          <w:kern w:val="0"/>
          <w:szCs w:val="24"/>
          <w:lang w:eastAsia="en-GB"/>
          <w14:ligatures w14:val="none"/>
        </w:rPr>
        <w:t xml:space="preserve">, 23(4).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://doi.org/10.1007/s12117-019-09368-5</w:t>
      </w:r>
      <w:proofErr w:type="gramEnd"/>
      <w:r w:rsidRPr="005719E1">
        <w:rPr>
          <w:rFonts w:ascii="Calibri" w:eastAsia="Times New Roman" w:hAnsi="Calibri" w:cs="Calibri"/>
          <w:kern w:val="0"/>
          <w:szCs w:val="24"/>
          <w:lang w:eastAsia="en-GB"/>
          <w14:ligatures w14:val="none"/>
        </w:rPr>
        <w:t>.</w:t>
      </w:r>
    </w:p>
    <w:p w14:paraId="7C5D2CC0"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Tudor, S. (2023). </w:t>
      </w:r>
      <w:r w:rsidRPr="005719E1">
        <w:rPr>
          <w:rFonts w:ascii="Calibri" w:eastAsia="Times New Roman" w:hAnsi="Calibri" w:cs="Calibri"/>
          <w:i/>
          <w:iCs/>
          <w:kern w:val="0"/>
          <w:szCs w:val="24"/>
          <w:lang w:eastAsia="en-GB"/>
          <w14:ligatures w14:val="none"/>
        </w:rPr>
        <w:t>Police standards and culture: Restoring public trust</w:t>
      </w:r>
      <w:r w:rsidRPr="005719E1">
        <w:rPr>
          <w:rFonts w:ascii="Calibri" w:eastAsia="Times New Roman" w:hAnsi="Calibri" w:cs="Calibri"/>
          <w:kern w:val="0"/>
          <w:szCs w:val="24"/>
          <w:lang w:eastAsia="en-GB"/>
          <w14:ligatures w14:val="none"/>
        </w:rPr>
        <w:t>. [online] House of Lords Library. Available at: https://lordslibrary.parliament.uk/police-standards-and-culture-restoring-public-trust/.</w:t>
      </w:r>
    </w:p>
    <w:p w14:paraId="1D8ABFB5"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lastRenderedPageBreak/>
        <w:t xml:space="preserve">University of Glasgow (2015). </w:t>
      </w:r>
      <w:r w:rsidRPr="005719E1">
        <w:rPr>
          <w:rFonts w:ascii="Calibri" w:eastAsia="Times New Roman" w:hAnsi="Calibri" w:cs="Calibri"/>
          <w:i/>
          <w:iCs/>
          <w:kern w:val="0"/>
          <w:szCs w:val="24"/>
          <w:lang w:eastAsia="en-GB"/>
          <w14:ligatures w14:val="none"/>
        </w:rPr>
        <w:t>What is prison for?</w:t>
      </w:r>
      <w:r w:rsidRPr="005719E1">
        <w:rPr>
          <w:rFonts w:ascii="Calibri" w:eastAsia="Times New Roman" w:hAnsi="Calibri" w:cs="Calibri"/>
          <w:kern w:val="0"/>
          <w:szCs w:val="24"/>
          <w:lang w:eastAsia="en-GB"/>
          <w14:ligatures w14:val="none"/>
        </w:rPr>
        <w:t xml:space="preserve"> [online] Available at: https://www.sccjr.ac.uk/wp-content/uploads/2015/10/SCCJR-What-is-prison-for-.pdf.</w:t>
      </w:r>
    </w:p>
    <w:p w14:paraId="6EE94344"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University of Glasgow (2016). </w:t>
      </w:r>
      <w:r w:rsidRPr="005719E1">
        <w:rPr>
          <w:rFonts w:ascii="Calibri" w:eastAsia="Times New Roman" w:hAnsi="Calibri" w:cs="Calibri"/>
          <w:i/>
          <w:iCs/>
          <w:kern w:val="0"/>
          <w:szCs w:val="24"/>
          <w:lang w:eastAsia="en-GB"/>
          <w14:ligatures w14:val="none"/>
        </w:rPr>
        <w:t>Theories and causes of crime</w:t>
      </w:r>
      <w:r w:rsidRPr="005719E1">
        <w:rPr>
          <w:rFonts w:ascii="Calibri" w:eastAsia="Times New Roman" w:hAnsi="Calibri" w:cs="Calibri"/>
          <w:kern w:val="0"/>
          <w:szCs w:val="24"/>
          <w:lang w:eastAsia="en-GB"/>
          <w14:ligatures w14:val="none"/>
        </w:rPr>
        <w:t>. [online] Available at: https://www.sccjr.ac.uk/wp-content/uploads/2016/02/SCCJR-Causes-of-Crime.pdf.</w:t>
      </w:r>
    </w:p>
    <w:p w14:paraId="05C6709B"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proofErr w:type="spellStart"/>
      <w:r w:rsidRPr="005719E1">
        <w:rPr>
          <w:rFonts w:ascii="Calibri" w:eastAsia="Times New Roman" w:hAnsi="Calibri" w:cs="Calibri"/>
          <w:kern w:val="0"/>
          <w:szCs w:val="24"/>
          <w:lang w:eastAsia="en-GB"/>
          <w14:ligatures w14:val="none"/>
        </w:rPr>
        <w:t>Westmarland</w:t>
      </w:r>
      <w:proofErr w:type="spellEnd"/>
      <w:r w:rsidRPr="005719E1">
        <w:rPr>
          <w:rFonts w:ascii="Calibri" w:eastAsia="Times New Roman" w:hAnsi="Calibri" w:cs="Calibri"/>
          <w:kern w:val="0"/>
          <w:szCs w:val="24"/>
          <w:lang w:eastAsia="en-GB"/>
          <w14:ligatures w14:val="none"/>
        </w:rPr>
        <w:t xml:space="preserve">, L. and Rowe, M. (2016). Police Ethics and integrity: Can a New Code Overturn the Blue code? </w:t>
      </w:r>
      <w:r w:rsidRPr="005719E1">
        <w:rPr>
          <w:rFonts w:ascii="Calibri" w:eastAsia="Times New Roman" w:hAnsi="Calibri" w:cs="Calibri"/>
          <w:i/>
          <w:iCs/>
          <w:kern w:val="0"/>
          <w:szCs w:val="24"/>
          <w:lang w:eastAsia="en-GB"/>
          <w14:ligatures w14:val="none"/>
        </w:rPr>
        <w:t>Policing and Society</w:t>
      </w:r>
      <w:r w:rsidRPr="005719E1">
        <w:rPr>
          <w:rFonts w:ascii="Calibri" w:eastAsia="Times New Roman" w:hAnsi="Calibri" w:cs="Calibri"/>
          <w:kern w:val="0"/>
          <w:szCs w:val="24"/>
          <w:lang w:eastAsia="en-GB"/>
          <w14:ligatures w14:val="none"/>
        </w:rPr>
        <w:t xml:space="preserve">, [online] 28(7), pp.854–870.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://doi.org/10.1080/10439463.2016.1262365</w:t>
      </w:r>
      <w:proofErr w:type="gramEnd"/>
      <w:r w:rsidRPr="005719E1">
        <w:rPr>
          <w:rFonts w:ascii="Calibri" w:eastAsia="Times New Roman" w:hAnsi="Calibri" w:cs="Calibri"/>
          <w:kern w:val="0"/>
          <w:szCs w:val="24"/>
          <w:lang w:eastAsia="en-GB"/>
          <w14:ligatures w14:val="none"/>
        </w:rPr>
        <w:t>.</w:t>
      </w:r>
    </w:p>
    <w:p w14:paraId="28DAA92D"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Williams, C. (2021). </w:t>
      </w:r>
      <w:r w:rsidRPr="005719E1">
        <w:rPr>
          <w:rFonts w:ascii="Calibri" w:eastAsia="Times New Roman" w:hAnsi="Calibri" w:cs="Calibri"/>
          <w:i/>
          <w:iCs/>
          <w:kern w:val="0"/>
          <w:szCs w:val="24"/>
          <w:lang w:eastAsia="en-GB"/>
          <w14:ligatures w14:val="none"/>
        </w:rPr>
        <w:t>How does internal, initial police officer training affect police officer ethical decision-making?</w:t>
      </w:r>
      <w:r w:rsidRPr="005719E1">
        <w:rPr>
          <w:rFonts w:ascii="Calibri" w:eastAsia="Times New Roman" w:hAnsi="Calibri" w:cs="Calibri"/>
          <w:kern w:val="0"/>
          <w:szCs w:val="24"/>
          <w:lang w:eastAsia="en-GB"/>
          <w14:ligatures w14:val="none"/>
        </w:rPr>
        <w:t xml:space="preserve"> [online] Available at: http://clok.uclan.ac.uk/41304/1/41304%20Carl%20Williams%202021%2009%2001%20-%20Professional%20Doctorate%20Thesis%20-%20Carl%20Williams%20-%20FINAL.pdf.</w:t>
      </w:r>
    </w:p>
    <w:p w14:paraId="6798E608" w14:textId="77777777"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Williams, D.J., Currie, D., Linden, </w:t>
      </w:r>
      <w:proofErr w:type="gramStart"/>
      <w:r w:rsidRPr="005719E1">
        <w:rPr>
          <w:rFonts w:ascii="Calibri" w:eastAsia="Times New Roman" w:hAnsi="Calibri" w:cs="Calibri"/>
          <w:kern w:val="0"/>
          <w:szCs w:val="24"/>
          <w:lang w:eastAsia="en-GB"/>
          <w14:ligatures w14:val="none"/>
        </w:rPr>
        <w:t>W.</w:t>
      </w:r>
      <w:proofErr w:type="gramEnd"/>
      <w:r w:rsidRPr="005719E1">
        <w:rPr>
          <w:rFonts w:ascii="Calibri" w:eastAsia="Times New Roman" w:hAnsi="Calibri" w:cs="Calibri"/>
          <w:kern w:val="0"/>
          <w:szCs w:val="24"/>
          <w:lang w:eastAsia="en-GB"/>
          <w14:ligatures w14:val="none"/>
        </w:rPr>
        <w:t xml:space="preserve"> and Donnelly, P.D. (2014). Addressing gang-related violence in Glasgow: A preliminary pragmatic quasi-experimental evaluation of the Community Initiative to Reduce Violence (CIRV). </w:t>
      </w:r>
      <w:r w:rsidRPr="005719E1">
        <w:rPr>
          <w:rFonts w:ascii="Calibri" w:eastAsia="Times New Roman" w:hAnsi="Calibri" w:cs="Calibri"/>
          <w:i/>
          <w:iCs/>
          <w:kern w:val="0"/>
          <w:szCs w:val="24"/>
          <w:lang w:eastAsia="en-GB"/>
          <w14:ligatures w14:val="none"/>
        </w:rPr>
        <w:t xml:space="preserve">Aggression and Violent </w:t>
      </w:r>
      <w:proofErr w:type="spellStart"/>
      <w:r w:rsidRPr="005719E1">
        <w:rPr>
          <w:rFonts w:ascii="Calibri" w:eastAsia="Times New Roman" w:hAnsi="Calibri" w:cs="Calibri"/>
          <w:i/>
          <w:iCs/>
          <w:kern w:val="0"/>
          <w:szCs w:val="24"/>
          <w:lang w:eastAsia="en-GB"/>
          <w14:ligatures w14:val="none"/>
        </w:rPr>
        <w:t>Behavior</w:t>
      </w:r>
      <w:proofErr w:type="spellEnd"/>
      <w:r w:rsidRPr="005719E1">
        <w:rPr>
          <w:rFonts w:ascii="Calibri" w:eastAsia="Times New Roman" w:hAnsi="Calibri" w:cs="Calibri"/>
          <w:kern w:val="0"/>
          <w:szCs w:val="24"/>
          <w:lang w:eastAsia="en-GB"/>
          <w14:ligatures w14:val="none"/>
        </w:rPr>
        <w:t xml:space="preserve">, [online] 19(6), pp.686–691.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://doi.org/10.1016/j.avb.2014.09.011</w:t>
      </w:r>
      <w:proofErr w:type="gramEnd"/>
      <w:r w:rsidRPr="005719E1">
        <w:rPr>
          <w:rFonts w:ascii="Calibri" w:eastAsia="Times New Roman" w:hAnsi="Calibri" w:cs="Calibri"/>
          <w:kern w:val="0"/>
          <w:szCs w:val="24"/>
          <w:lang w:eastAsia="en-GB"/>
          <w14:ligatures w14:val="none"/>
        </w:rPr>
        <w:t>.</w:t>
      </w:r>
    </w:p>
    <w:p w14:paraId="2938D6EB" w14:textId="599691E5" w:rsidR="005719E1" w:rsidRPr="005719E1" w:rsidRDefault="005719E1" w:rsidP="005719E1">
      <w:pPr>
        <w:spacing w:after="240" w:line="360" w:lineRule="auto"/>
        <w:rPr>
          <w:rFonts w:ascii="Calibri" w:eastAsia="Times New Roman" w:hAnsi="Calibri" w:cs="Calibri"/>
          <w:kern w:val="0"/>
          <w:szCs w:val="24"/>
          <w:lang w:eastAsia="en-GB"/>
          <w14:ligatures w14:val="none"/>
        </w:rPr>
      </w:pPr>
      <w:r w:rsidRPr="005719E1">
        <w:rPr>
          <w:rFonts w:ascii="Calibri" w:eastAsia="Times New Roman" w:hAnsi="Calibri" w:cs="Calibri"/>
          <w:kern w:val="0"/>
          <w:szCs w:val="24"/>
          <w:lang w:eastAsia="en-GB"/>
          <w14:ligatures w14:val="none"/>
        </w:rPr>
        <w:t xml:space="preserve">Wilson, C., Seaman, L. and </w:t>
      </w:r>
      <w:proofErr w:type="spellStart"/>
      <w:r w:rsidRPr="005719E1">
        <w:rPr>
          <w:rFonts w:ascii="Calibri" w:eastAsia="Times New Roman" w:hAnsi="Calibri" w:cs="Calibri"/>
          <w:kern w:val="0"/>
          <w:szCs w:val="24"/>
          <w:lang w:eastAsia="en-GB"/>
          <w14:ligatures w14:val="none"/>
        </w:rPr>
        <w:t>Nettelbeck</w:t>
      </w:r>
      <w:proofErr w:type="spellEnd"/>
      <w:r w:rsidRPr="005719E1">
        <w:rPr>
          <w:rFonts w:ascii="Calibri" w:eastAsia="Times New Roman" w:hAnsi="Calibri" w:cs="Calibri"/>
          <w:kern w:val="0"/>
          <w:szCs w:val="24"/>
          <w:lang w:eastAsia="en-GB"/>
          <w14:ligatures w14:val="none"/>
        </w:rPr>
        <w:t xml:space="preserve">, T. (1996). Vulnerability to criminal exploitation: influence of interpersonal competence differences among people with mental retardation. </w:t>
      </w:r>
      <w:r w:rsidRPr="005719E1">
        <w:rPr>
          <w:rFonts w:ascii="Calibri" w:eastAsia="Times New Roman" w:hAnsi="Calibri" w:cs="Calibri"/>
          <w:i/>
          <w:iCs/>
          <w:kern w:val="0"/>
          <w:szCs w:val="24"/>
          <w:lang w:eastAsia="en-GB"/>
          <w14:ligatures w14:val="none"/>
        </w:rPr>
        <w:t>Journal of Intellectual Disability Research</w:t>
      </w:r>
      <w:r w:rsidRPr="005719E1">
        <w:rPr>
          <w:rFonts w:ascii="Calibri" w:eastAsia="Times New Roman" w:hAnsi="Calibri" w:cs="Calibri"/>
          <w:kern w:val="0"/>
          <w:szCs w:val="24"/>
          <w:lang w:eastAsia="en-GB"/>
          <w14:ligatures w14:val="none"/>
        </w:rPr>
        <w:t xml:space="preserve">, [online] 40(1), pp.8–16. </w:t>
      </w:r>
      <w:proofErr w:type="spellStart"/>
      <w:proofErr w:type="gramStart"/>
      <w:r w:rsidRPr="005719E1">
        <w:rPr>
          <w:rFonts w:ascii="Calibri" w:eastAsia="Times New Roman" w:hAnsi="Calibri" w:cs="Calibri"/>
          <w:kern w:val="0"/>
          <w:szCs w:val="24"/>
          <w:lang w:eastAsia="en-GB"/>
          <w14:ligatures w14:val="none"/>
        </w:rPr>
        <w:t>doi:https</w:t>
      </w:r>
      <w:proofErr w:type="spellEnd"/>
      <w:r w:rsidRPr="005719E1">
        <w:rPr>
          <w:rFonts w:ascii="Calibri" w:eastAsia="Times New Roman" w:hAnsi="Calibri" w:cs="Calibri"/>
          <w:kern w:val="0"/>
          <w:szCs w:val="24"/>
          <w:lang w:eastAsia="en-GB"/>
          <w14:ligatures w14:val="none"/>
        </w:rPr>
        <w:t>://doi.org/10.1111/j.1365-2788.1996.tb00597.x</w:t>
      </w:r>
      <w:proofErr w:type="gramEnd"/>
      <w:r w:rsidRPr="005719E1">
        <w:rPr>
          <w:rFonts w:ascii="Calibri" w:eastAsia="Times New Roman" w:hAnsi="Calibri" w:cs="Calibri"/>
          <w:kern w:val="0"/>
          <w:szCs w:val="24"/>
          <w:lang w:eastAsia="en-GB"/>
          <w14:ligatures w14:val="none"/>
        </w:rPr>
        <w:t>.</w:t>
      </w:r>
    </w:p>
    <w:sectPr w:rsidR="005719E1" w:rsidRPr="005719E1" w:rsidSect="00031E62">
      <w:headerReference w:type="default" r:id="rId7"/>
      <w:footerReference w:type="default" r:id="rId8"/>
      <w:footerReference w:type="first" r:id="rId9"/>
      <w:pgSz w:w="11906" w:h="16838"/>
      <w:pgMar w:top="1440" w:right="1440" w:bottom="113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D3BB3" w14:textId="77777777" w:rsidR="00E04C8C" w:rsidRDefault="00E04C8C" w:rsidP="00E04C8C">
      <w:pPr>
        <w:spacing w:after="0"/>
      </w:pPr>
      <w:r>
        <w:separator/>
      </w:r>
    </w:p>
    <w:p w14:paraId="31435C31" w14:textId="77777777" w:rsidR="00920014" w:rsidRDefault="00920014"/>
  </w:endnote>
  <w:endnote w:type="continuationSeparator" w:id="0">
    <w:p w14:paraId="25D8EABC" w14:textId="77777777" w:rsidR="00E04C8C" w:rsidRDefault="00E04C8C" w:rsidP="00E04C8C">
      <w:pPr>
        <w:spacing w:after="0"/>
      </w:pPr>
      <w:r>
        <w:continuationSeparator/>
      </w:r>
    </w:p>
    <w:p w14:paraId="05910AC0" w14:textId="77777777" w:rsidR="00920014" w:rsidRDefault="009200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09980" w14:textId="4E9FCBD0" w:rsidR="00920014" w:rsidRDefault="00E04C8C" w:rsidP="008848D3">
    <w:pPr>
      <w:pStyle w:val="Footer"/>
      <w:jc w:val="center"/>
    </w:pP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w:t>
    </w:r>
    <w:r>
      <w:rPr>
        <w:noProof/>
      </w:rPr>
      <w:fldChar w:fldCharType="begin"/>
    </w:r>
    <w:r>
      <w:rPr>
        <w:noProof/>
      </w:rPr>
      <w:instrText xml:space="preserve"> NUMPAGES   \* MERGEFORMAT </w:instrText>
    </w:r>
    <w:r>
      <w:rPr>
        <w:noProof/>
      </w:rPr>
      <w:fldChar w:fldCharType="separate"/>
    </w:r>
    <w:r>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FF77" w14:textId="61D2BCF4" w:rsidR="00E04C8C" w:rsidRDefault="00E04C8C" w:rsidP="00E04C8C">
    <w:pPr>
      <w:pStyle w:val="Footer"/>
      <w:jc w:val="center"/>
    </w:pPr>
    <w:r>
      <w:t xml:space="preserve">Page </w:t>
    </w:r>
    <w:r>
      <w:fldChar w:fldCharType="begin"/>
    </w:r>
    <w:r>
      <w:instrText xml:space="preserve"> PAGE   \* MERGEFORMAT </w:instrText>
    </w:r>
    <w:r>
      <w:fldChar w:fldCharType="separate"/>
    </w:r>
    <w:r>
      <w:t>2</w:t>
    </w:r>
    <w:r>
      <w:rPr>
        <w:noProof/>
      </w:rPr>
      <w:fldChar w:fldCharType="end"/>
    </w:r>
    <w:r>
      <w:rPr>
        <w:noProof/>
      </w:rPr>
      <w:t xml:space="preserve"> of </w:t>
    </w:r>
    <w:r>
      <w:rPr>
        <w:noProof/>
      </w:rPr>
      <w:fldChar w:fldCharType="begin"/>
    </w:r>
    <w:r>
      <w:rPr>
        <w:noProof/>
      </w:rPr>
      <w:instrText xml:space="preserve"> NUMPAGES   \* MERGEFORMAT </w:instrText>
    </w:r>
    <w:r>
      <w:rPr>
        <w:noProof/>
      </w:rPr>
      <w:fldChar w:fldCharType="separate"/>
    </w:r>
    <w:r>
      <w:rPr>
        <w:noProof/>
      </w:rPr>
      <w:t>5</w:t>
    </w:r>
    <w:r>
      <w:rPr>
        <w:noProof/>
      </w:rPr>
      <w:fldChar w:fldCharType="end"/>
    </w:r>
  </w:p>
  <w:p w14:paraId="64FEAF01" w14:textId="77777777" w:rsidR="00920014" w:rsidRDefault="009200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9E2B0" w14:textId="77777777" w:rsidR="00E04C8C" w:rsidRDefault="00E04C8C" w:rsidP="00E04C8C">
      <w:pPr>
        <w:spacing w:after="0"/>
      </w:pPr>
      <w:r>
        <w:separator/>
      </w:r>
    </w:p>
    <w:p w14:paraId="1AA9143D" w14:textId="77777777" w:rsidR="00920014" w:rsidRDefault="00920014"/>
  </w:footnote>
  <w:footnote w:type="continuationSeparator" w:id="0">
    <w:p w14:paraId="00DAFFAF" w14:textId="77777777" w:rsidR="00E04C8C" w:rsidRDefault="00E04C8C" w:rsidP="00E04C8C">
      <w:pPr>
        <w:spacing w:after="0"/>
      </w:pPr>
      <w:r>
        <w:continuationSeparator/>
      </w:r>
    </w:p>
    <w:p w14:paraId="75534EB9" w14:textId="77777777" w:rsidR="00920014" w:rsidRDefault="009200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B775" w14:textId="59613FD4" w:rsidR="00E04C8C" w:rsidRDefault="00E04C8C">
    <w:pPr>
      <w:pStyle w:val="Header"/>
    </w:pPr>
    <w:r>
      <w:t xml:space="preserve">Operational Policing Practice </w:t>
    </w:r>
    <w:r w:rsidR="00090471">
      <w:t>4</w:t>
    </w:r>
    <w:r>
      <w:ptab w:relativeTo="margin" w:alignment="center" w:leader="none"/>
    </w:r>
    <w:r w:rsidRPr="00E04C8C">
      <w:rPr>
        <w:b/>
        <w:bCs/>
      </w:rPr>
      <w:t>Academic Assignment</w:t>
    </w:r>
    <w:r>
      <w:ptab w:relativeTo="margin" w:alignment="right" w:leader="none"/>
    </w:r>
    <w:r>
      <w:t>Lewis Clarke (2222277)</w:t>
    </w:r>
  </w:p>
  <w:p w14:paraId="5E754E44" w14:textId="77777777" w:rsidR="00920014" w:rsidRDefault="009200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E2EC8"/>
    <w:multiLevelType w:val="hybridMultilevel"/>
    <w:tmpl w:val="C1F43A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938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8C"/>
    <w:rsid w:val="0002307E"/>
    <w:rsid w:val="00031E62"/>
    <w:rsid w:val="000766C2"/>
    <w:rsid w:val="00090471"/>
    <w:rsid w:val="000B4E3C"/>
    <w:rsid w:val="000C089C"/>
    <w:rsid w:val="000C7486"/>
    <w:rsid w:val="00114925"/>
    <w:rsid w:val="001652AF"/>
    <w:rsid w:val="00171F70"/>
    <w:rsid w:val="001B36FD"/>
    <w:rsid w:val="001B79DD"/>
    <w:rsid w:val="001E7688"/>
    <w:rsid w:val="00246D0B"/>
    <w:rsid w:val="002A5E68"/>
    <w:rsid w:val="002D7F94"/>
    <w:rsid w:val="00317630"/>
    <w:rsid w:val="00343449"/>
    <w:rsid w:val="00363A10"/>
    <w:rsid w:val="00382632"/>
    <w:rsid w:val="00390C82"/>
    <w:rsid w:val="0039363C"/>
    <w:rsid w:val="003A7A61"/>
    <w:rsid w:val="003B6EBA"/>
    <w:rsid w:val="003E0D66"/>
    <w:rsid w:val="003F73C3"/>
    <w:rsid w:val="00400E0F"/>
    <w:rsid w:val="00421688"/>
    <w:rsid w:val="00423677"/>
    <w:rsid w:val="00441A51"/>
    <w:rsid w:val="00455C0C"/>
    <w:rsid w:val="004F3602"/>
    <w:rsid w:val="00546084"/>
    <w:rsid w:val="00547A87"/>
    <w:rsid w:val="00554CC7"/>
    <w:rsid w:val="005719E1"/>
    <w:rsid w:val="00586530"/>
    <w:rsid w:val="00590E14"/>
    <w:rsid w:val="005B53A3"/>
    <w:rsid w:val="005F01B1"/>
    <w:rsid w:val="006243B5"/>
    <w:rsid w:val="00665F3E"/>
    <w:rsid w:val="00693088"/>
    <w:rsid w:val="006A7266"/>
    <w:rsid w:val="006C0B5E"/>
    <w:rsid w:val="006F308B"/>
    <w:rsid w:val="00710D54"/>
    <w:rsid w:val="007148A0"/>
    <w:rsid w:val="007163A0"/>
    <w:rsid w:val="00721BA9"/>
    <w:rsid w:val="00723014"/>
    <w:rsid w:val="00760079"/>
    <w:rsid w:val="00790466"/>
    <w:rsid w:val="007B06CE"/>
    <w:rsid w:val="007B7D02"/>
    <w:rsid w:val="007E6CEA"/>
    <w:rsid w:val="00825A4C"/>
    <w:rsid w:val="00857B77"/>
    <w:rsid w:val="008630BB"/>
    <w:rsid w:val="008848D3"/>
    <w:rsid w:val="008850E7"/>
    <w:rsid w:val="008A2C2D"/>
    <w:rsid w:val="008A486B"/>
    <w:rsid w:val="008B3315"/>
    <w:rsid w:val="008B694D"/>
    <w:rsid w:val="00912483"/>
    <w:rsid w:val="00920014"/>
    <w:rsid w:val="00920C4F"/>
    <w:rsid w:val="0093784B"/>
    <w:rsid w:val="009450FB"/>
    <w:rsid w:val="00953ECE"/>
    <w:rsid w:val="00983845"/>
    <w:rsid w:val="009869CC"/>
    <w:rsid w:val="009A4CF1"/>
    <w:rsid w:val="009D6F7C"/>
    <w:rsid w:val="009F175D"/>
    <w:rsid w:val="00A02326"/>
    <w:rsid w:val="00A4305F"/>
    <w:rsid w:val="00A532E6"/>
    <w:rsid w:val="00A70E72"/>
    <w:rsid w:val="00A71570"/>
    <w:rsid w:val="00A73A52"/>
    <w:rsid w:val="00A943D3"/>
    <w:rsid w:val="00AA60B7"/>
    <w:rsid w:val="00AD4261"/>
    <w:rsid w:val="00AF59CC"/>
    <w:rsid w:val="00B0367F"/>
    <w:rsid w:val="00B16A16"/>
    <w:rsid w:val="00B442D9"/>
    <w:rsid w:val="00B60991"/>
    <w:rsid w:val="00B80462"/>
    <w:rsid w:val="00B84D15"/>
    <w:rsid w:val="00B86530"/>
    <w:rsid w:val="00B86DCC"/>
    <w:rsid w:val="00BA459F"/>
    <w:rsid w:val="00BD754F"/>
    <w:rsid w:val="00BE3BC0"/>
    <w:rsid w:val="00BF25C7"/>
    <w:rsid w:val="00C33667"/>
    <w:rsid w:val="00C508F5"/>
    <w:rsid w:val="00CC25AF"/>
    <w:rsid w:val="00D159AF"/>
    <w:rsid w:val="00D43851"/>
    <w:rsid w:val="00D45287"/>
    <w:rsid w:val="00D6639E"/>
    <w:rsid w:val="00D81869"/>
    <w:rsid w:val="00DB7389"/>
    <w:rsid w:val="00DC2795"/>
    <w:rsid w:val="00DC423E"/>
    <w:rsid w:val="00E04C8C"/>
    <w:rsid w:val="00E06657"/>
    <w:rsid w:val="00E1540C"/>
    <w:rsid w:val="00E33746"/>
    <w:rsid w:val="00E52990"/>
    <w:rsid w:val="00E67EE9"/>
    <w:rsid w:val="00E77036"/>
    <w:rsid w:val="00E929A8"/>
    <w:rsid w:val="00F16A4D"/>
    <w:rsid w:val="00F36FA5"/>
    <w:rsid w:val="00F97880"/>
    <w:rsid w:val="00FA178D"/>
    <w:rsid w:val="00FB0AF9"/>
    <w:rsid w:val="00FF1847"/>
    <w:rsid w:val="00FF4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2F235"/>
  <w15:chartTrackingRefBased/>
  <w15:docId w15:val="{3F9268A2-AB56-49BE-8F02-12799F9D8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77"/>
    <w:pPr>
      <w:spacing w:line="240" w:lineRule="auto"/>
    </w:pPr>
    <w:rPr>
      <w:sz w:val="24"/>
    </w:rPr>
  </w:style>
  <w:style w:type="paragraph" w:styleId="Heading1">
    <w:name w:val="heading 1"/>
    <w:basedOn w:val="Normal"/>
    <w:link w:val="Heading1Char"/>
    <w:uiPriority w:val="9"/>
    <w:qFormat/>
    <w:rsid w:val="005719E1"/>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C8C"/>
    <w:pPr>
      <w:tabs>
        <w:tab w:val="center" w:pos="4513"/>
        <w:tab w:val="right" w:pos="9026"/>
      </w:tabs>
      <w:spacing w:after="0"/>
    </w:pPr>
  </w:style>
  <w:style w:type="character" w:customStyle="1" w:styleId="HeaderChar">
    <w:name w:val="Header Char"/>
    <w:basedOn w:val="DefaultParagraphFont"/>
    <w:link w:val="Header"/>
    <w:uiPriority w:val="99"/>
    <w:rsid w:val="00E04C8C"/>
  </w:style>
  <w:style w:type="paragraph" w:styleId="Footer">
    <w:name w:val="footer"/>
    <w:basedOn w:val="Normal"/>
    <w:link w:val="FooterChar"/>
    <w:uiPriority w:val="99"/>
    <w:unhideWhenUsed/>
    <w:rsid w:val="00E04C8C"/>
    <w:pPr>
      <w:tabs>
        <w:tab w:val="center" w:pos="4513"/>
        <w:tab w:val="right" w:pos="9026"/>
      </w:tabs>
      <w:spacing w:after="0"/>
    </w:pPr>
  </w:style>
  <w:style w:type="character" w:customStyle="1" w:styleId="FooterChar">
    <w:name w:val="Footer Char"/>
    <w:basedOn w:val="DefaultParagraphFont"/>
    <w:link w:val="Footer"/>
    <w:uiPriority w:val="99"/>
    <w:rsid w:val="00E04C8C"/>
  </w:style>
  <w:style w:type="paragraph" w:customStyle="1" w:styleId="Answer">
    <w:name w:val="Answer"/>
    <w:basedOn w:val="Normal"/>
    <w:link w:val="AnswerChar"/>
    <w:qFormat/>
    <w:rsid w:val="002D7F94"/>
    <w:pPr>
      <w:spacing w:line="300" w:lineRule="auto"/>
      <w:jc w:val="both"/>
    </w:pPr>
  </w:style>
  <w:style w:type="character" w:customStyle="1" w:styleId="AnswerChar">
    <w:name w:val="Answer Char"/>
    <w:basedOn w:val="DefaultParagraphFont"/>
    <w:link w:val="Answer"/>
    <w:rsid w:val="002D7F94"/>
    <w:rPr>
      <w:sz w:val="24"/>
    </w:rPr>
  </w:style>
  <w:style w:type="character" w:styleId="Hyperlink">
    <w:name w:val="Hyperlink"/>
    <w:basedOn w:val="DefaultParagraphFont"/>
    <w:uiPriority w:val="99"/>
    <w:semiHidden/>
    <w:unhideWhenUsed/>
    <w:rsid w:val="00CC25AF"/>
    <w:rPr>
      <w:color w:val="0000FF"/>
      <w:u w:val="single"/>
    </w:rPr>
  </w:style>
  <w:style w:type="character" w:styleId="FollowedHyperlink">
    <w:name w:val="FollowedHyperlink"/>
    <w:basedOn w:val="DefaultParagraphFont"/>
    <w:uiPriority w:val="99"/>
    <w:semiHidden/>
    <w:unhideWhenUsed/>
    <w:rsid w:val="00090471"/>
    <w:rPr>
      <w:color w:val="954F72" w:themeColor="followedHyperlink"/>
      <w:u w:val="single"/>
    </w:rPr>
  </w:style>
  <w:style w:type="character" w:customStyle="1" w:styleId="Heading1Char">
    <w:name w:val="Heading 1 Char"/>
    <w:basedOn w:val="DefaultParagraphFont"/>
    <w:link w:val="Heading1"/>
    <w:uiPriority w:val="9"/>
    <w:rsid w:val="005719E1"/>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5719E1"/>
    <w:pPr>
      <w:spacing w:before="100" w:beforeAutospacing="1" w:after="100" w:afterAutospacing="1"/>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05492">
      <w:bodyDiv w:val="1"/>
      <w:marLeft w:val="0"/>
      <w:marRight w:val="0"/>
      <w:marTop w:val="0"/>
      <w:marBottom w:val="0"/>
      <w:divBdr>
        <w:top w:val="none" w:sz="0" w:space="0" w:color="auto"/>
        <w:left w:val="none" w:sz="0" w:space="0" w:color="auto"/>
        <w:bottom w:val="none" w:sz="0" w:space="0" w:color="auto"/>
        <w:right w:val="none" w:sz="0" w:space="0" w:color="auto"/>
      </w:divBdr>
    </w:div>
    <w:div w:id="308707208">
      <w:bodyDiv w:val="1"/>
      <w:marLeft w:val="0"/>
      <w:marRight w:val="0"/>
      <w:marTop w:val="0"/>
      <w:marBottom w:val="0"/>
      <w:divBdr>
        <w:top w:val="none" w:sz="0" w:space="0" w:color="auto"/>
        <w:left w:val="none" w:sz="0" w:space="0" w:color="auto"/>
        <w:bottom w:val="none" w:sz="0" w:space="0" w:color="auto"/>
        <w:right w:val="none" w:sz="0" w:space="0" w:color="auto"/>
      </w:divBdr>
    </w:div>
    <w:div w:id="1109933040">
      <w:bodyDiv w:val="1"/>
      <w:marLeft w:val="0"/>
      <w:marRight w:val="0"/>
      <w:marTop w:val="0"/>
      <w:marBottom w:val="0"/>
      <w:divBdr>
        <w:top w:val="none" w:sz="0" w:space="0" w:color="auto"/>
        <w:left w:val="none" w:sz="0" w:space="0" w:color="auto"/>
        <w:bottom w:val="none" w:sz="0" w:space="0" w:color="auto"/>
        <w:right w:val="none" w:sz="0" w:space="0" w:color="auto"/>
      </w:divBdr>
    </w:div>
    <w:div w:id="1166094892">
      <w:bodyDiv w:val="1"/>
      <w:marLeft w:val="0"/>
      <w:marRight w:val="0"/>
      <w:marTop w:val="0"/>
      <w:marBottom w:val="0"/>
      <w:divBdr>
        <w:top w:val="none" w:sz="0" w:space="0" w:color="auto"/>
        <w:left w:val="none" w:sz="0" w:space="0" w:color="auto"/>
        <w:bottom w:val="none" w:sz="0" w:space="0" w:color="auto"/>
        <w:right w:val="none" w:sz="0" w:space="0" w:color="auto"/>
      </w:divBdr>
    </w:div>
    <w:div w:id="1352872545">
      <w:bodyDiv w:val="1"/>
      <w:marLeft w:val="0"/>
      <w:marRight w:val="0"/>
      <w:marTop w:val="0"/>
      <w:marBottom w:val="0"/>
      <w:divBdr>
        <w:top w:val="none" w:sz="0" w:space="0" w:color="auto"/>
        <w:left w:val="none" w:sz="0" w:space="0" w:color="auto"/>
        <w:bottom w:val="none" w:sz="0" w:space="0" w:color="auto"/>
        <w:right w:val="none" w:sz="0" w:space="0" w:color="auto"/>
      </w:divBdr>
      <w:divsChild>
        <w:div w:id="2129034928">
          <w:marLeft w:val="0"/>
          <w:marRight w:val="0"/>
          <w:marTop w:val="0"/>
          <w:marBottom w:val="0"/>
          <w:divBdr>
            <w:top w:val="none" w:sz="0" w:space="0" w:color="auto"/>
            <w:left w:val="none" w:sz="0" w:space="0" w:color="auto"/>
            <w:bottom w:val="none" w:sz="0" w:space="0" w:color="auto"/>
            <w:right w:val="none" w:sz="0" w:space="0" w:color="auto"/>
          </w:divBdr>
        </w:div>
      </w:divsChild>
    </w:div>
    <w:div w:id="198496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3493</TotalTime>
  <Pages>19</Pages>
  <Words>6046</Words>
  <Characters>34463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Clarke,Lewis swp8483</dc:creator>
  <cp:keywords/>
  <dc:description/>
  <cp:lastModifiedBy>Clarke,Lewis swp8483</cp:lastModifiedBy>
  <cp:revision>43</cp:revision>
  <dcterms:created xsi:type="dcterms:W3CDTF">2024-05-13T10:52:00Z</dcterms:created>
  <dcterms:modified xsi:type="dcterms:W3CDTF">2024-05-27T15:10:00Z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2024-05-13T10:57:09Z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e1bd7857-fdf3-4f74-9e0c-33fee0e98959</vt:lpwstr>
  </property>
  <property fmtid="{D5CDD505-2E9C-101B-9397-08002B2CF9AE}" pid="8" name="MSIP_Label_66cf8fe5-b7b7-4df7-b38d-1c61ac2f6639_ContentBits">
    <vt:lpwstr>0</vt:lpwstr>
  </property>
</Properties>
</file>