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697599" w14:textId="0A954D2B" w:rsidR="0022089F" w:rsidRPr="0022089F" w:rsidRDefault="0022089F">
      <w:pPr>
        <w:rPr>
          <w:u w:val="single"/>
        </w:rPr>
      </w:pPr>
      <w:r w:rsidRPr="0022089F">
        <w:rPr>
          <w:u w:val="single"/>
        </w:rPr>
        <w:t xml:space="preserve">Compare and contrast the role and status of women </w:t>
      </w:r>
      <w:r w:rsidRPr="0022089F">
        <w:rPr>
          <w:u w:val="single"/>
        </w:rPr>
        <w:t>in the Four Branches of the Mabinogion</w:t>
      </w:r>
      <w:r w:rsidRPr="0022089F">
        <w:rPr>
          <w:u w:val="single"/>
        </w:rPr>
        <w:t xml:space="preserve"> and </w:t>
      </w:r>
      <w:r w:rsidRPr="0022089F">
        <w:rPr>
          <w:i/>
          <w:u w:val="single"/>
        </w:rPr>
        <w:t>Táin Bó Cúailnge.</w:t>
      </w:r>
    </w:p>
    <w:p w14:paraId="6EB2494F" w14:textId="141EA287" w:rsidR="00673F58" w:rsidRDefault="000061BA">
      <w:r>
        <w:t xml:space="preserve">The comparison between the portrayal of the role and status of women in the Four Branches of the Mabinogion and the </w:t>
      </w:r>
      <w:r w:rsidR="0022089F" w:rsidRPr="00105DCB">
        <w:rPr>
          <w:iCs/>
        </w:rPr>
        <w:t>Táin Bó Cúailnge</w:t>
      </w:r>
      <w:r w:rsidR="0022089F" w:rsidRPr="0022089F">
        <w:t xml:space="preserve"> </w:t>
      </w:r>
      <w:r>
        <w:t xml:space="preserve">is a topic widely debated by Celtic historians; on one hand, it reveals the difference </w:t>
      </w:r>
      <w:r w:rsidR="008B61E3">
        <w:t>in portrayal of women being seen as low status and not worth listening to; on the other hand, it shows how they saw women as having different strengths and roles in society</w:t>
      </w:r>
      <w:r>
        <w:t>. In the Mabinogion, this is evidenced mainly in the character of Rhiannon,</w:t>
      </w:r>
      <w:r w:rsidR="008B61E3">
        <w:t xml:space="preserve"> being both beautiful but conniving and able to trick people to following her plan</w:t>
      </w:r>
      <w:r>
        <w:t xml:space="preserve">. In the </w:t>
      </w:r>
      <w:r w:rsidR="0022089F" w:rsidRPr="00105DCB">
        <w:rPr>
          <w:iCs/>
        </w:rPr>
        <w:t>Táin</w:t>
      </w:r>
      <w:r>
        <w:t xml:space="preserve">, </w:t>
      </w:r>
      <w:r w:rsidR="008B61E3">
        <w:t>the character of Medb is a warrior queen, often mercilessly choosing the most violent option and refusing the advice of the male characters, yet her appearance is never mentioned in the way the other female characters in the Mabinogion’s are.</w:t>
      </w:r>
    </w:p>
    <w:p w14:paraId="1BE534A4" w14:textId="6DDC61E2" w:rsidR="000061BA" w:rsidRDefault="000061BA">
      <w:r>
        <w:t xml:space="preserve">Initially, </w:t>
      </w:r>
      <w:r w:rsidR="008B61E3">
        <w:t>both texts</w:t>
      </w:r>
      <w:r>
        <w:t xml:space="preserve"> introduce a variety of female characters that more or less portray a full span of womanhood;</w:t>
      </w:r>
      <w:r w:rsidR="008B61E3">
        <w:t xml:space="preserve"> Medb is introduced as argumentative and defensive of her own power. Her role in society is an Irish warrior queen equal in power to her husband Ailil. It is best summarised by Dhanya Baird, </w:t>
      </w:r>
      <w:r w:rsidR="0022089F">
        <w:t>‘</w:t>
      </w:r>
      <w:r w:rsidR="008B61E3">
        <w:t xml:space="preserve">The complicated and powerful Queen Medb of Connacht […] decides to invade Ulster for the purpose of the titular </w:t>
      </w:r>
      <w:r w:rsidR="0022089F" w:rsidRPr="00105DCB">
        <w:rPr>
          <w:iCs/>
        </w:rPr>
        <w:t>t</w:t>
      </w:r>
      <w:r w:rsidR="0022089F" w:rsidRPr="00105DCB">
        <w:rPr>
          <w:iCs/>
        </w:rPr>
        <w:t>áin</w:t>
      </w:r>
      <w:r w:rsidR="008B61E3" w:rsidRPr="00105DCB">
        <w:rPr>
          <w:iCs/>
        </w:rPr>
        <w:t xml:space="preserve"> </w:t>
      </w:r>
      <w:r w:rsidR="008B61E3">
        <w:t>(cattle raid).</w:t>
      </w:r>
      <w:r w:rsidR="0022089F">
        <w:t>’</w:t>
      </w:r>
      <w:r w:rsidR="008B61E3">
        <w:rPr>
          <w:rStyle w:val="FootnoteReference"/>
        </w:rPr>
        <w:footnoteReference w:id="1"/>
      </w:r>
      <w:r w:rsidR="008B58E8">
        <w:t xml:space="preserve"> The cattle raid itself is performed out of spite by Medb herself, as she wants the only other bull equal to her husband’s, which lives in Ulster.</w:t>
      </w:r>
      <w:r>
        <w:t xml:space="preserve"> </w:t>
      </w:r>
      <w:r w:rsidR="008B58E8">
        <w:t xml:space="preserve">In the Mabinogion, </w:t>
      </w:r>
      <w:r>
        <w:t xml:space="preserve">Rhiannon, a horse-riding woman who attracts the attention of </w:t>
      </w:r>
      <w:r w:rsidR="008B58E8">
        <w:t>Pwyll</w:t>
      </w:r>
      <w:r>
        <w:t xml:space="preserve"> is seen as clever, sharp, and not easily attainable</w:t>
      </w:r>
      <w:r w:rsidR="008B58E8">
        <w:t>, and serves as the motivation for the First Branch.</w:t>
      </w:r>
      <w:r>
        <w:t xml:space="preserve"> She accepts </w:t>
      </w:r>
      <w:r w:rsidR="008B58E8">
        <w:t>Pwyll’s</w:t>
      </w:r>
      <w:r>
        <w:t xml:space="preserve"> hand in marriage but refuses to do so without a </w:t>
      </w:r>
      <w:r w:rsidR="008B58E8">
        <w:t>plan to kill the man she is meant to be married to</w:t>
      </w:r>
      <w:r w:rsidR="00122B73">
        <w:t xml:space="preserve">. She is later reiterated as a character with great power and beauty, </w:t>
      </w:r>
      <w:r w:rsidR="008B58E8">
        <w:t xml:space="preserve">going from a mysterious woman to a beautiful queen. This is comparable to Medb as she is also a queen, but the main difference can be seen in that Medb is valued as a woman for her strength whilst Rhiannon is valued for her knowledge. Their characters are also comparable to Cigfa in the Mabinogion, a character who is endlessly kind and also beautiful, and upon not knowing whether her husband was alive </w:t>
      </w:r>
      <w:r w:rsidR="0022089F">
        <w:t>‘</w:t>
      </w:r>
      <w:r w:rsidR="008B58E8">
        <w:t>she did not care whether she lived or died.</w:t>
      </w:r>
      <w:r w:rsidR="0022089F">
        <w:t>’</w:t>
      </w:r>
      <w:r w:rsidR="008B58E8">
        <w:rPr>
          <w:rStyle w:val="FootnoteReference"/>
        </w:rPr>
        <w:footnoteReference w:id="2"/>
      </w:r>
      <w:r w:rsidR="008B58E8">
        <w:t xml:space="preserve"> However, Cigfa is written as foolish instead of intelligent, yet incredibly kind, a trait neither of the other women are described to have. She encourages </w:t>
      </w:r>
      <w:r w:rsidR="0022089F">
        <w:t xml:space="preserve">small animals to ravage the fields, and offers little resolution to the problem. She acts selflessly, referring back to her empathetical nature. This also refers to R.L. Valente’s understanding of the Mabinogion – ‘The women of the Mabinogi – whose personalities range from the mysteriously elusive to the humorously practical – </w:t>
      </w:r>
      <w:r w:rsidR="0022089F">
        <w:lastRenderedPageBreak/>
        <w:t>are among the most vivid characters in the world of the Four Branches.’</w:t>
      </w:r>
      <w:r w:rsidR="0022089F">
        <w:rPr>
          <w:rStyle w:val="FootnoteReference"/>
        </w:rPr>
        <w:footnoteReference w:id="3"/>
      </w:r>
      <w:r w:rsidR="0022089F">
        <w:t xml:space="preserve"> This analysis is furthered only by the inclusion of the characters in the </w:t>
      </w:r>
      <w:r w:rsidR="0022089F" w:rsidRPr="00105DCB">
        <w:rPr>
          <w:iCs/>
        </w:rPr>
        <w:t>Táin</w:t>
      </w:r>
      <w:r w:rsidR="0022089F" w:rsidRPr="00105DCB">
        <w:rPr>
          <w:iCs/>
        </w:rPr>
        <w:t xml:space="preserve"> </w:t>
      </w:r>
      <w:r w:rsidR="0022089F">
        <w:t>– Medb herself adds to the vibrant spectrum of women in Irish and Welsh mythologies. Therefore, all three women, despite their roles in the stories, are different in personality, attitude and knowledge, also regardless of their status.</w:t>
      </w:r>
    </w:p>
    <w:p w14:paraId="5E883922" w14:textId="63F22FEA" w:rsidR="005801D1" w:rsidRDefault="005801D1">
      <w:r>
        <w:t xml:space="preserve">In the </w:t>
      </w:r>
      <w:r w:rsidR="0022089F" w:rsidRPr="00105DCB">
        <w:rPr>
          <w:iCs/>
        </w:rPr>
        <w:t>Táin</w:t>
      </w:r>
      <w:r>
        <w:t xml:space="preserve">, one of the first female characters introduced is Fedelm, a beautiful and otherworldly poet with the </w:t>
      </w:r>
      <w:r w:rsidR="0022089F">
        <w:t>‘</w:t>
      </w:r>
      <w:r>
        <w:t>Second Sight</w:t>
      </w:r>
      <w:r w:rsidR="0022089F">
        <w:t>’</w:t>
      </w:r>
      <w:r>
        <w:t xml:space="preserve">. She is mystical in nature and speaks to the men to help predict their future, but simply saying </w:t>
      </w:r>
      <w:r w:rsidR="0022089F">
        <w:t>‘</w:t>
      </w:r>
      <w:r>
        <w:t>I see it crimson, I see it red.</w:t>
      </w:r>
      <w:r w:rsidR="0022089F">
        <w:t>’</w:t>
      </w:r>
      <w:r w:rsidR="0022089F">
        <w:rPr>
          <w:rStyle w:val="FootnoteReference"/>
        </w:rPr>
        <w:footnoteReference w:id="4"/>
      </w:r>
      <w:r w:rsidR="004C03BB">
        <w:t xml:space="preserve"> Then, she speaks of a poem that predicts their loss in battle, but they refuse to believe her, not only because of their stubbornness but likely also because she is a woman telling them their fate. She rhymes in a very specific rhyming scheme, the first and third lines not rhyming but the second and fourth always. Nonetheless, despite her poetic warning, the men decide to carry on their path and ignore her, proving how the women’s warnings are never listened to</w:t>
      </w:r>
      <w:r w:rsidR="00105DCB">
        <w:t xml:space="preserve">. </w:t>
      </w:r>
      <w:r w:rsidR="004C03BB">
        <w:t xml:space="preserve">In the army there are a great amount of female warriors though; they are named as Medb, daughter of Eochaid Fedlech, and Finnabair, daughter of Aillil. Medb sets off to inspect the army and once she comes back and reports her findings, she is accused of disrespect by Aillil, to which she says </w:t>
      </w:r>
      <w:r w:rsidR="00105DCB">
        <w:t>‘</w:t>
      </w:r>
      <w:r w:rsidR="004C03BB">
        <w:t>I don’t disrespect them, they are excellent soldiers.</w:t>
      </w:r>
      <w:r w:rsidR="00105DCB">
        <w:t>’</w:t>
      </w:r>
      <w:r w:rsidR="004C03BB">
        <w:rPr>
          <w:rStyle w:val="FootnoteReference"/>
        </w:rPr>
        <w:footnoteReference w:id="5"/>
      </w:r>
      <w:r w:rsidR="004C03BB">
        <w:t xml:space="preserve"> Her solution to the rival army is also to neither allow for them to stay or go, she says they should be wiped out, to which Aillil replies </w:t>
      </w:r>
      <w:r w:rsidR="00105DCB">
        <w:t>‘</w:t>
      </w:r>
      <w:r w:rsidR="004C03BB">
        <w:t>A typical woman’s ploy, I have to say</w:t>
      </w:r>
      <w:r w:rsidR="00105DCB">
        <w:t>’</w:t>
      </w:r>
      <w:r w:rsidR="004C03BB">
        <w:rPr>
          <w:rStyle w:val="FootnoteReference"/>
        </w:rPr>
        <w:footnoteReference w:id="6"/>
      </w:r>
      <w:r w:rsidR="004C03BB">
        <w:t xml:space="preserve"> This says a lot about femininity in Irish culture compared to Welsh; whilst the Mabinogion puts a great emphasis on kind, docile, pretty women who are very delicate and almost always listen to their husbands but are still much smarter than them, Irish women are portrayed as bloodthirsty warriors, endlessly reliant on killing even their close rivals in order to maintain glory in battle as well as the lands that belong to them.</w:t>
      </w:r>
      <w:r w:rsidR="00543D5B">
        <w:t xml:space="preserve"> The armies also elaborate on a Battle Goddess called Nemain – this suggests a mo</w:t>
      </w:r>
      <w:r w:rsidR="003E5142">
        <w:t>r</w:t>
      </w:r>
      <w:r w:rsidR="00543D5B">
        <w:t xml:space="preserve">e positive outlook on women in Ireland at the time, as the figure they relied upon to give them their strength in battle was a woman, clearly their epitome of fierce and bloodthirsty. Their visions of her assailing them suggests they have high hopes for winning the battle and believe that the goddess is on their side. It also suggests that, unlike Welsh mythology, Irish mythology did not seem to tell tales that were highly patriarchal, instead showing a great respect for the women that did choose to fight and go into battle. Nonetheless, markings of literature can be noted in the modern day as being read as patriarchal, but at the time likely being quite commonplace; such as Medb rarely being referred to by her name but rather as </w:t>
      </w:r>
      <w:r w:rsidR="00105DCB">
        <w:t>‘w</w:t>
      </w:r>
      <w:r w:rsidR="00543D5B">
        <w:t>oman</w:t>
      </w:r>
      <w:r w:rsidR="00105DCB">
        <w:t>’</w:t>
      </w:r>
      <w:r w:rsidR="00543D5B">
        <w:t xml:space="preserve">. This is again perhaps not a sign of disrespect, as a modern day reading would suggest, but could even be a </w:t>
      </w:r>
      <w:r w:rsidR="00543D5B">
        <w:lastRenderedPageBreak/>
        <w:t>sign of respect, to remind her of her gender and how strong and powerful she is perceived to be.</w:t>
      </w:r>
    </w:p>
    <w:p w14:paraId="32DDE44B" w14:textId="10FD8172" w:rsidR="00A414B7" w:rsidRPr="00A414B7" w:rsidRDefault="00A414B7">
      <w:r>
        <w:t xml:space="preserve">To compare characters from the two writings directly, one could compare Mebd from the </w:t>
      </w:r>
      <w:r w:rsidR="00105DCB" w:rsidRPr="00105DCB">
        <w:rPr>
          <w:iCs/>
        </w:rPr>
        <w:t>Táin Bó Cúailnge</w:t>
      </w:r>
      <w:r w:rsidR="00105DCB">
        <w:rPr>
          <w:i/>
          <w:u w:val="single"/>
        </w:rPr>
        <w:t xml:space="preserve"> </w:t>
      </w:r>
      <w:r>
        <w:t xml:space="preserve">with Branwen from the Mabinogion. Mebd is introduced as a battle-torn Irish woman, who sees herself as infinitely more powerful as her husband – rightfully so, as she seems to match him in every exact essence aside from missing one bull. This is the premise of the </w:t>
      </w:r>
      <w:r w:rsidR="00105DCB" w:rsidRPr="00105DCB">
        <w:rPr>
          <w:iCs/>
        </w:rPr>
        <w:t>Táin</w:t>
      </w:r>
      <w:r>
        <w:t>, a ‘cattle raid’ to match Mebd’s possessions with that of her husband’s. She is a strong woman, willing and able to lead armies to fight for what she desires, and her looks do not seem to be mentioned as much as her intelligence or strength. In comparison, Branwen from the Second Branch is a woman described as ‘one of the Three Chief Maidens of this Island: she was the most beautiful girl in the world.’</w:t>
      </w:r>
      <w:r>
        <w:rPr>
          <w:rStyle w:val="FootnoteReference"/>
        </w:rPr>
        <w:footnoteReference w:id="7"/>
      </w:r>
      <w:r>
        <w:t xml:space="preserve"> In her story, she is taken and held hostage, using her intelligence to </w:t>
      </w:r>
      <w:r w:rsidR="00E63BF7">
        <w:t xml:space="preserve">train a starling to get her help. Her attitude here can be compared to the at times brutish Medb, whose solution to any conflict seems to be violence, outright claiming they should kill one of their allied armies at one point because she believes they will steal the praise and glory for themselves, despite no suggestion of that taking place. Branwen, on the other hand, suffers in silence for a long while before speaking out against her captors, only once she knows there is someone on her side willing to defend her. The attitude towards women in the two mythologies says a great deal about the difference in cultures – the men in the </w:t>
      </w:r>
      <w:r w:rsidR="00105DCB" w:rsidRPr="00105DCB">
        <w:rPr>
          <w:iCs/>
        </w:rPr>
        <w:t>Táin</w:t>
      </w:r>
      <w:r w:rsidR="00E63BF7">
        <w:t xml:space="preserve"> almost expect Medb to be shy and demure, and sit off to the side while the men do the hard work, perhaps more akin to her daughter Finnabair, whose character focuses on her being in love with a man. Alternatively, she shifts all the expectations of herself to live true to being a brutish, warrior Irish woman, with her riches and power and large family. Her status in society has no effect on how the men around her treat her, as they simply take her as her violent self, but she evidences that she can fight for herself easily. Branwen herself is the epitome of the shy and beautiful wife, who is taken advantage of by her kindness and in exchange has to cheat her way out by use of a starling carrying a letter back to her home land. Once her brother finds out about her mistreatment, he rushes to help and defend her, despite her being a similar status as him, proving how in Welsh mythology it seems that the status of a woman does affect how she is treated, as she is rushed to be assisted much more, and nobody expects her to fight her own battles, even if she is relatively capable of doing so.</w:t>
      </w:r>
    </w:p>
    <w:p w14:paraId="7DA4EB77" w14:textId="1E2EB68E" w:rsidR="00E63BF7" w:rsidRDefault="00E63BF7">
      <w:r>
        <w:t>A similar comparison can also be observed in the women on the horses across the two mythologies; in the Mabinogion, Rhiannon is introduced on a white horse, and similar to Branwen is introduced as ‘The face of every maiden and every woman he had ever seen was unattractive compared with her face.’</w:t>
      </w:r>
      <w:r>
        <w:rPr>
          <w:rStyle w:val="FootnoteReference"/>
        </w:rPr>
        <w:footnoteReference w:id="8"/>
      </w:r>
      <w:r>
        <w:t xml:space="preserve"> She is beautiful and mysterious, and catches </w:t>
      </w:r>
      <w:r>
        <w:lastRenderedPageBreak/>
        <w:t xml:space="preserve">Pwyll’s attention almost instantly. Upon catching her she reveals her only devotion is to marry Pwyll, initially suggesting that she is alike Branwen and </w:t>
      </w:r>
      <w:r w:rsidR="00E25CC4">
        <w:t xml:space="preserve">only has a significant role in the mythology to be beautiful and act the victim. However, Rhiannon later reveals herself to be much more mysterious, revealing she is destined to be married off to another man unless Pwyll will help her trick him into falling into a bag to be thrown under horses, at which point they can marry. This side of her shows something more conniving and masterful, perhaps more knowledgeable than the men she is surrounded with, and reveals she is again just as intelligent as Branwen in getting herself out of a situation she is displeased with. In comparison, the first woman to appear on a horse in the </w:t>
      </w:r>
      <w:r w:rsidR="00105DCB" w:rsidRPr="00105DCB">
        <w:rPr>
          <w:iCs/>
        </w:rPr>
        <w:t>Táin</w:t>
      </w:r>
      <w:r w:rsidR="00E25CC4" w:rsidRPr="00105DCB">
        <w:rPr>
          <w:iCs/>
        </w:rPr>
        <w:t xml:space="preserve"> </w:t>
      </w:r>
      <w:r w:rsidR="00E25CC4">
        <w:t>is Fedelm, a female poet blessed with the Second Sight. Medb asks her to look forward in the future to see if their cattle raid is successful, but she plainly replies three times with ‘I see it crimson, I see it red.’</w:t>
      </w:r>
      <w:r w:rsidR="00E25CC4">
        <w:rPr>
          <w:rStyle w:val="FootnoteReference"/>
        </w:rPr>
        <w:footnoteReference w:id="9"/>
      </w:r>
      <w:r w:rsidR="00E25CC4">
        <w:t xml:space="preserve"> This is taken as an ominous omen by everyone around her, suggesting an instant trust of the female poet, even though what she claims is against their favour, however they do quickly deny such a possibility, perhaps proving her status as a mere poet and traveller is not nearly as important as the warriors and leaders of the cattle raid itself. Both Rhiannon and Fedelm are seen as mystical and ominous women on horses, both perhaps nods to the Celtic Goddess Epona, who was not only a warrior herself but the goddess of horses and fertility. The references to the goddess may yet still show that despite their varying stages of being seen as trustworthy by other characters, they are both still highly valued for their status in society due to their connection to the horse goddess herself.</w:t>
      </w:r>
    </w:p>
    <w:p w14:paraId="0E2C1FAE" w14:textId="419457F1" w:rsidR="00E25CC4" w:rsidRDefault="00E25CC4">
      <w:r>
        <w:t xml:space="preserve">Ultimately, the comparison of women in the </w:t>
      </w:r>
      <w:r w:rsidR="00105DCB" w:rsidRPr="00105DCB">
        <w:rPr>
          <w:iCs/>
        </w:rPr>
        <w:t>Táin</w:t>
      </w:r>
      <w:r>
        <w:t xml:space="preserve"> and the Mabinogion is interesting to observe between the two texts as it appears that certain limitations make women more or less trustworthy, and more or less valued. In the </w:t>
      </w:r>
      <w:r w:rsidR="00105DCB" w:rsidRPr="00105DCB">
        <w:rPr>
          <w:iCs/>
        </w:rPr>
        <w:t>Táin</w:t>
      </w:r>
      <w:r>
        <w:t>, this appears to directly link to their role and status in society, as Finnabair the daughter who runs off with her lover is treated less valued than Medb, the warrior queen who swears to have the exact equal amount as her husband. In the Mabinogion, the role and status seem to differ towards the value of women, as they seem to be more valued by their beauty and intelligence, rather than their ability to fight or own property.</w:t>
      </w:r>
    </w:p>
    <w:p w14:paraId="5E538B49" w14:textId="77777777" w:rsidR="005A255B" w:rsidRDefault="005A255B"/>
    <w:p w14:paraId="600BDE74" w14:textId="0DE3169F" w:rsidR="005A255B" w:rsidRDefault="005A255B">
      <w:pPr>
        <w:rPr>
          <w:u w:val="single"/>
        </w:rPr>
      </w:pPr>
      <w:r w:rsidRPr="005A255B">
        <w:rPr>
          <w:u w:val="single"/>
        </w:rPr>
        <w:t>Bibliography</w:t>
      </w:r>
    </w:p>
    <w:p w14:paraId="6D9038FA" w14:textId="13E3CAC6" w:rsidR="005A255B" w:rsidRDefault="005A255B">
      <w:pPr>
        <w:rPr>
          <w:u w:val="single"/>
        </w:rPr>
      </w:pPr>
      <w:r>
        <w:rPr>
          <w:u w:val="single"/>
        </w:rPr>
        <w:t>Primary Sources</w:t>
      </w:r>
    </w:p>
    <w:p w14:paraId="3F93AF46" w14:textId="04EFA342" w:rsidR="005A255B" w:rsidRPr="005A255B" w:rsidRDefault="005A255B">
      <w:r w:rsidRPr="005E77EC">
        <w:t>Carson, C</w:t>
      </w:r>
      <w:r>
        <w:t>iaran</w:t>
      </w:r>
      <w:r w:rsidRPr="005E77EC">
        <w:t xml:space="preserve">. (2009) </w:t>
      </w:r>
      <w:r w:rsidRPr="005E77EC">
        <w:rPr>
          <w:i/>
          <w:iCs/>
        </w:rPr>
        <w:t>The Táin: a new translation of the T</w:t>
      </w:r>
      <w:r w:rsidRPr="005E77EC">
        <w:rPr>
          <w:rFonts w:ascii="Aptos" w:hAnsi="Aptos" w:cs="Aptos"/>
          <w:i/>
          <w:iCs/>
        </w:rPr>
        <w:t>á</w:t>
      </w:r>
      <w:r w:rsidRPr="005E77EC">
        <w:rPr>
          <w:i/>
          <w:iCs/>
        </w:rPr>
        <w:t>in bo Cuailnge</w:t>
      </w:r>
      <w:r w:rsidRPr="005E77EC">
        <w:t>. London: Penguin.</w:t>
      </w:r>
    </w:p>
    <w:p w14:paraId="2BC50437" w14:textId="6E778C6D" w:rsidR="005A255B" w:rsidRPr="005A255B" w:rsidRDefault="005A255B">
      <w:r w:rsidRPr="0021017A">
        <w:t xml:space="preserve">Davies, Sioned, </w:t>
      </w:r>
      <w:r w:rsidRPr="0021017A">
        <w:rPr>
          <w:i/>
          <w:iCs/>
        </w:rPr>
        <w:t>The Mabinogion</w:t>
      </w:r>
      <w:r w:rsidRPr="0021017A">
        <w:t xml:space="preserve"> (Oxford University Press, 2007)</w:t>
      </w:r>
    </w:p>
    <w:p w14:paraId="45C70B3C" w14:textId="12C17593" w:rsidR="005A255B" w:rsidRDefault="005A255B">
      <w:pPr>
        <w:rPr>
          <w:u w:val="single"/>
        </w:rPr>
      </w:pPr>
      <w:r>
        <w:rPr>
          <w:u w:val="single"/>
        </w:rPr>
        <w:lastRenderedPageBreak/>
        <w:t>Secondary Sources</w:t>
      </w:r>
    </w:p>
    <w:p w14:paraId="41376E29" w14:textId="4C7E4B0D" w:rsidR="005A255B" w:rsidRDefault="005A255B" w:rsidP="005A255B">
      <w:r w:rsidRPr="0021017A">
        <w:t>Baird, D</w:t>
      </w:r>
      <w:r>
        <w:t xml:space="preserve">hanya, </w:t>
      </w:r>
      <w:r w:rsidRPr="0021017A">
        <w:t xml:space="preserve">(2024) </w:t>
      </w:r>
      <w:r w:rsidRPr="0021017A">
        <w:rPr>
          <w:i/>
          <w:iCs/>
        </w:rPr>
        <w:t>Broken bonds: hierarchies of loyalty and the gendering of betrayal in Táin Bó Cúailnge</w:t>
      </w:r>
      <w:r w:rsidRPr="0021017A">
        <w:t>. The University of Edinburgh</w:t>
      </w:r>
      <w:r>
        <w:t xml:space="preserve">, </w:t>
      </w:r>
      <w:hyperlink r:id="rId7" w:history="1">
        <w:r w:rsidRPr="002D3FA3">
          <w:rPr>
            <w:rStyle w:val="Hyperlink"/>
          </w:rPr>
          <w:t>https://doi.org/10.7488/era/4955</w:t>
        </w:r>
      </w:hyperlink>
      <w:r>
        <w:t xml:space="preserve"> Accessed 23/5/26</w:t>
      </w:r>
    </w:p>
    <w:p w14:paraId="4064C811" w14:textId="2CB267A7" w:rsidR="005A255B" w:rsidRDefault="005A255B" w:rsidP="005A255B">
      <w:bookmarkStart w:id="1" w:name="_Hlk218699662"/>
      <w:r w:rsidRPr="00E5418F">
        <w:t>Gantz,</w:t>
      </w:r>
      <w:r>
        <w:t xml:space="preserve"> Jeffrey,</w:t>
      </w:r>
      <w:r w:rsidRPr="00E5418F">
        <w:t xml:space="preserve"> “Thematic Structure In The Four Branches Of The Mabinogi.” </w:t>
      </w:r>
      <w:r w:rsidRPr="00E5418F">
        <w:rPr>
          <w:i/>
          <w:iCs/>
        </w:rPr>
        <w:t>Medium Ævum</w:t>
      </w:r>
      <w:r w:rsidRPr="00E5418F">
        <w:t xml:space="preserve">, vol. 47, no. 2, 1978, pp. 247–54. </w:t>
      </w:r>
      <w:r w:rsidRPr="00E5418F">
        <w:rPr>
          <w:i/>
          <w:iCs/>
        </w:rPr>
        <w:t>JSTOR</w:t>
      </w:r>
      <w:r w:rsidRPr="00E5418F">
        <w:t xml:space="preserve">, </w:t>
      </w:r>
      <w:hyperlink r:id="rId8" w:history="1">
        <w:r w:rsidRPr="002D3FA3">
          <w:rPr>
            <w:rStyle w:val="Hyperlink"/>
          </w:rPr>
          <w:t>https://doi.org</w:t>
        </w:r>
        <w:r w:rsidRPr="002D3FA3">
          <w:rPr>
            <w:rStyle w:val="Hyperlink"/>
          </w:rPr>
          <w:t>/</w:t>
        </w:r>
        <w:r w:rsidRPr="002D3FA3">
          <w:rPr>
            <w:rStyle w:val="Hyperlink"/>
          </w:rPr>
          <w:t>10.2307/43631333</w:t>
        </w:r>
      </w:hyperlink>
      <w:bookmarkEnd w:id="1"/>
      <w:r>
        <w:t xml:space="preserve"> Accessed 25/3/26</w:t>
      </w:r>
    </w:p>
    <w:p w14:paraId="48123354" w14:textId="7D00D57D" w:rsidR="005A255B" w:rsidRPr="005A255B" w:rsidRDefault="005A255B" w:rsidP="005A255B">
      <w:pPr>
        <w:rPr>
          <w:sz w:val="32"/>
          <w:szCs w:val="32"/>
        </w:rPr>
      </w:pPr>
      <w:r w:rsidRPr="005A255B">
        <w:t>Valente</w:t>
      </w:r>
      <w:r>
        <w:t>, R.L.</w:t>
      </w:r>
      <w:r w:rsidRPr="005A255B">
        <w:t xml:space="preserve"> (1986) ‘Merched y Mabinogi: Women and the thematic structure of the Four Branches’ (Ph.D. Thesis Cornell University)</w:t>
      </w:r>
    </w:p>
    <w:p w14:paraId="76F5D52D" w14:textId="77447355" w:rsidR="005A255B" w:rsidRPr="005A255B" w:rsidRDefault="005A255B">
      <w:bookmarkStart w:id="2" w:name="_Hlk218699600"/>
      <w:r w:rsidRPr="005E77EC">
        <w:t>Winward</w:t>
      </w:r>
      <w:r>
        <w:t>, Fiona,</w:t>
      </w:r>
      <w:r w:rsidRPr="005E77EC">
        <w:t xml:space="preserve"> (1997) ‘Some Aspects of the Women in The Four Branches’, Cambrian Medieval Celtic Studies 34, pp.77-106</w:t>
      </w:r>
      <w:bookmarkEnd w:id="2"/>
    </w:p>
    <w:sectPr w:rsidR="005A255B" w:rsidRPr="005A255B">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24091C" w14:textId="77777777" w:rsidR="00A54120" w:rsidRDefault="00A54120" w:rsidP="004C03BB">
      <w:pPr>
        <w:spacing w:after="0" w:line="240" w:lineRule="auto"/>
      </w:pPr>
      <w:r>
        <w:separator/>
      </w:r>
    </w:p>
  </w:endnote>
  <w:endnote w:type="continuationSeparator" w:id="0">
    <w:p w14:paraId="25D45ED3" w14:textId="77777777" w:rsidR="00A54120" w:rsidRDefault="00A54120" w:rsidP="004C03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355189" w14:textId="77777777" w:rsidR="00A54120" w:rsidRDefault="00A54120" w:rsidP="004C03BB">
      <w:pPr>
        <w:spacing w:after="0" w:line="240" w:lineRule="auto"/>
      </w:pPr>
      <w:r>
        <w:separator/>
      </w:r>
    </w:p>
  </w:footnote>
  <w:footnote w:type="continuationSeparator" w:id="0">
    <w:p w14:paraId="7B06EE5D" w14:textId="77777777" w:rsidR="00A54120" w:rsidRDefault="00A54120" w:rsidP="004C03BB">
      <w:pPr>
        <w:spacing w:after="0" w:line="240" w:lineRule="auto"/>
      </w:pPr>
      <w:r>
        <w:continuationSeparator/>
      </w:r>
    </w:p>
  </w:footnote>
  <w:footnote w:id="1">
    <w:p w14:paraId="7388408C" w14:textId="7507B348" w:rsidR="008B61E3" w:rsidRDefault="008B61E3" w:rsidP="00105DCB">
      <w:r>
        <w:rPr>
          <w:rStyle w:val="FootnoteReference"/>
        </w:rPr>
        <w:footnoteRef/>
      </w:r>
      <w:r w:rsidRPr="00105DCB">
        <w:rPr>
          <w:sz w:val="20"/>
          <w:szCs w:val="20"/>
        </w:rPr>
        <w:t xml:space="preserve"> </w:t>
      </w:r>
      <w:r w:rsidR="00105DCB" w:rsidRPr="00105DCB">
        <w:rPr>
          <w:sz w:val="20"/>
          <w:szCs w:val="20"/>
        </w:rPr>
        <w:t>Dhanya</w:t>
      </w:r>
      <w:r w:rsidR="00105DCB">
        <w:rPr>
          <w:sz w:val="20"/>
          <w:szCs w:val="20"/>
        </w:rPr>
        <w:t xml:space="preserve"> Baird</w:t>
      </w:r>
      <w:r w:rsidR="00105DCB" w:rsidRPr="00105DCB">
        <w:rPr>
          <w:sz w:val="20"/>
          <w:szCs w:val="20"/>
        </w:rPr>
        <w:t xml:space="preserve">, (2024) </w:t>
      </w:r>
      <w:r w:rsidR="00105DCB" w:rsidRPr="00105DCB">
        <w:rPr>
          <w:i/>
          <w:iCs/>
          <w:sz w:val="20"/>
          <w:szCs w:val="20"/>
        </w:rPr>
        <w:t>Broken bonds: hierarchies of loyalty and the gendering of betrayal in Táin Bó Cúailnge</w:t>
      </w:r>
      <w:r w:rsidR="00105DCB" w:rsidRPr="00105DCB">
        <w:rPr>
          <w:sz w:val="20"/>
          <w:szCs w:val="20"/>
        </w:rPr>
        <w:t>. The University of Edinburgh</w:t>
      </w:r>
      <w:r w:rsidR="00105DCB">
        <w:rPr>
          <w:sz w:val="20"/>
          <w:szCs w:val="20"/>
        </w:rPr>
        <w:t xml:space="preserve">, </w:t>
      </w:r>
      <w:hyperlink r:id="rId1" w:history="1">
        <w:r w:rsidR="00105DCB" w:rsidRPr="002D3FA3">
          <w:rPr>
            <w:rStyle w:val="Hyperlink"/>
            <w:sz w:val="20"/>
            <w:szCs w:val="20"/>
          </w:rPr>
          <w:t>https://doi.org/10.7488/era/4955</w:t>
        </w:r>
      </w:hyperlink>
      <w:r w:rsidR="00105DCB">
        <w:rPr>
          <w:sz w:val="20"/>
          <w:szCs w:val="20"/>
        </w:rPr>
        <w:t xml:space="preserve"> [last accessed 23/3/26], p.24</w:t>
      </w:r>
    </w:p>
  </w:footnote>
  <w:footnote w:id="2">
    <w:p w14:paraId="6F9BE71B" w14:textId="658750D0" w:rsidR="008B58E8" w:rsidRPr="00105DCB" w:rsidRDefault="008B58E8" w:rsidP="00105DCB">
      <w:pPr>
        <w:rPr>
          <w:sz w:val="20"/>
          <w:szCs w:val="20"/>
        </w:rPr>
      </w:pPr>
      <w:r w:rsidRPr="00105DCB">
        <w:rPr>
          <w:rStyle w:val="FootnoteReference"/>
          <w:sz w:val="20"/>
          <w:szCs w:val="20"/>
        </w:rPr>
        <w:footnoteRef/>
      </w:r>
      <w:bookmarkStart w:id="0" w:name="_Hlk218699272"/>
      <w:r w:rsidR="00105DCB">
        <w:rPr>
          <w:sz w:val="20"/>
          <w:szCs w:val="20"/>
        </w:rPr>
        <w:t xml:space="preserve"> </w:t>
      </w:r>
      <w:r w:rsidR="00105DCB" w:rsidRPr="00105DCB">
        <w:rPr>
          <w:sz w:val="20"/>
          <w:szCs w:val="20"/>
        </w:rPr>
        <w:t>Sioned</w:t>
      </w:r>
      <w:r w:rsidR="00105DCB">
        <w:rPr>
          <w:sz w:val="20"/>
          <w:szCs w:val="20"/>
        </w:rPr>
        <w:t xml:space="preserve"> Davies</w:t>
      </w:r>
      <w:r w:rsidR="00105DCB" w:rsidRPr="00105DCB">
        <w:rPr>
          <w:sz w:val="20"/>
          <w:szCs w:val="20"/>
        </w:rPr>
        <w:t xml:space="preserve">, </w:t>
      </w:r>
      <w:r w:rsidR="00105DCB" w:rsidRPr="00105DCB">
        <w:rPr>
          <w:i/>
          <w:iCs/>
          <w:sz w:val="20"/>
          <w:szCs w:val="20"/>
        </w:rPr>
        <w:t>The Mabinogion</w:t>
      </w:r>
      <w:r w:rsidR="00105DCB" w:rsidRPr="00105DCB">
        <w:rPr>
          <w:sz w:val="20"/>
          <w:szCs w:val="20"/>
        </w:rPr>
        <w:t xml:space="preserve"> (Oxford University Press, 2007)</w:t>
      </w:r>
      <w:bookmarkEnd w:id="0"/>
      <w:r w:rsidR="00105DCB">
        <w:rPr>
          <w:sz w:val="20"/>
          <w:szCs w:val="20"/>
        </w:rPr>
        <w:t>,</w:t>
      </w:r>
      <w:r w:rsidRPr="00105DCB">
        <w:rPr>
          <w:sz w:val="20"/>
          <w:szCs w:val="20"/>
        </w:rPr>
        <w:t xml:space="preserve"> p</w:t>
      </w:r>
      <w:r w:rsidR="00105DCB">
        <w:rPr>
          <w:sz w:val="20"/>
          <w:szCs w:val="20"/>
        </w:rPr>
        <w:t>.</w:t>
      </w:r>
      <w:r w:rsidRPr="00105DCB">
        <w:rPr>
          <w:sz w:val="20"/>
          <w:szCs w:val="20"/>
        </w:rPr>
        <w:t>40</w:t>
      </w:r>
    </w:p>
  </w:footnote>
  <w:footnote w:id="3">
    <w:p w14:paraId="3449ED79" w14:textId="7BFCC1D7" w:rsidR="0022089F" w:rsidRPr="00105DCB" w:rsidRDefault="0022089F">
      <w:pPr>
        <w:pStyle w:val="FootnoteText"/>
      </w:pPr>
      <w:r>
        <w:rPr>
          <w:rStyle w:val="FootnoteReference"/>
        </w:rPr>
        <w:footnoteRef/>
      </w:r>
      <w:r w:rsidRPr="00105DCB">
        <w:t xml:space="preserve"> </w:t>
      </w:r>
      <w:r w:rsidR="00105DCB" w:rsidRPr="00C07E02">
        <w:t>R.L. Valente (1986) ‘Merched y Mabinogi: Women and the thematic structure of the Four Branches’ (Ph.D. Thesis Cornell University)</w:t>
      </w:r>
    </w:p>
  </w:footnote>
  <w:footnote w:id="4">
    <w:p w14:paraId="0ACE9017" w14:textId="367FC5F0" w:rsidR="0022089F" w:rsidRPr="00105DCB" w:rsidRDefault="0022089F" w:rsidP="00105DCB">
      <w:pPr>
        <w:rPr>
          <w:sz w:val="20"/>
          <w:szCs w:val="20"/>
        </w:rPr>
      </w:pPr>
      <w:r w:rsidRPr="00105DCB">
        <w:rPr>
          <w:rStyle w:val="FootnoteReference"/>
          <w:sz w:val="20"/>
          <w:szCs w:val="20"/>
        </w:rPr>
        <w:footnoteRef/>
      </w:r>
      <w:r w:rsidRPr="00105DCB">
        <w:rPr>
          <w:sz w:val="20"/>
          <w:szCs w:val="20"/>
        </w:rPr>
        <w:t xml:space="preserve"> </w:t>
      </w:r>
      <w:r w:rsidR="00105DCB" w:rsidRPr="00105DCB">
        <w:rPr>
          <w:sz w:val="20"/>
          <w:szCs w:val="20"/>
        </w:rPr>
        <w:t>Ciaran</w:t>
      </w:r>
      <w:r w:rsidR="00105DCB">
        <w:rPr>
          <w:sz w:val="20"/>
          <w:szCs w:val="20"/>
        </w:rPr>
        <w:t xml:space="preserve"> Carson,</w:t>
      </w:r>
      <w:r w:rsidR="00105DCB" w:rsidRPr="00105DCB">
        <w:rPr>
          <w:sz w:val="20"/>
          <w:szCs w:val="20"/>
        </w:rPr>
        <w:t xml:space="preserve"> (2009) </w:t>
      </w:r>
      <w:r w:rsidR="00105DCB" w:rsidRPr="00105DCB">
        <w:rPr>
          <w:i/>
          <w:iCs/>
          <w:sz w:val="20"/>
          <w:szCs w:val="20"/>
        </w:rPr>
        <w:t>The Táin: a new translation of the T</w:t>
      </w:r>
      <w:r w:rsidR="00105DCB" w:rsidRPr="00105DCB">
        <w:rPr>
          <w:rFonts w:ascii="Aptos" w:hAnsi="Aptos" w:cs="Aptos"/>
          <w:i/>
          <w:iCs/>
          <w:sz w:val="20"/>
          <w:szCs w:val="20"/>
        </w:rPr>
        <w:t>á</w:t>
      </w:r>
      <w:r w:rsidR="00105DCB" w:rsidRPr="00105DCB">
        <w:rPr>
          <w:i/>
          <w:iCs/>
          <w:sz w:val="20"/>
          <w:szCs w:val="20"/>
        </w:rPr>
        <w:t>in bo Cuailnge</w:t>
      </w:r>
      <w:r w:rsidR="00105DCB" w:rsidRPr="00105DCB">
        <w:rPr>
          <w:sz w:val="20"/>
          <w:szCs w:val="20"/>
        </w:rPr>
        <w:t>. London: Penguin</w:t>
      </w:r>
      <w:r w:rsidR="00105DCB">
        <w:rPr>
          <w:sz w:val="20"/>
          <w:szCs w:val="20"/>
        </w:rPr>
        <w:t>, p.21</w:t>
      </w:r>
    </w:p>
  </w:footnote>
  <w:footnote w:id="5">
    <w:p w14:paraId="0B8334BF" w14:textId="4035078C" w:rsidR="004C03BB" w:rsidRPr="00105DCB" w:rsidRDefault="004C03BB">
      <w:pPr>
        <w:pStyle w:val="FootnoteText"/>
      </w:pPr>
      <w:r>
        <w:rPr>
          <w:rStyle w:val="FootnoteReference"/>
        </w:rPr>
        <w:footnoteRef/>
      </w:r>
      <w:r w:rsidRPr="00105DCB">
        <w:t xml:space="preserve"> </w:t>
      </w:r>
      <w:r w:rsidR="00105DCB">
        <w:t xml:space="preserve">Carson, </w:t>
      </w:r>
      <w:r w:rsidR="00105DCB" w:rsidRPr="00105DCB">
        <w:rPr>
          <w:i/>
          <w:iCs/>
        </w:rPr>
        <w:t>Táin</w:t>
      </w:r>
      <w:r w:rsidR="00105DCB">
        <w:rPr>
          <w:i/>
          <w:iCs/>
        </w:rPr>
        <w:t xml:space="preserve">, </w:t>
      </w:r>
      <w:r w:rsidR="00105DCB">
        <w:t>p</w:t>
      </w:r>
      <w:r w:rsidR="005A255B">
        <w:t>.24</w:t>
      </w:r>
    </w:p>
  </w:footnote>
  <w:footnote w:id="6">
    <w:p w14:paraId="0EA96E6C" w14:textId="4D6F4A91" w:rsidR="004C03BB" w:rsidRPr="005A255B" w:rsidRDefault="004C03BB">
      <w:pPr>
        <w:pStyle w:val="FootnoteText"/>
      </w:pPr>
      <w:r>
        <w:rPr>
          <w:rStyle w:val="FootnoteReference"/>
        </w:rPr>
        <w:footnoteRef/>
      </w:r>
      <w:r>
        <w:t xml:space="preserve"> </w:t>
      </w:r>
      <w:r w:rsidR="005A255B">
        <w:t xml:space="preserve">Carson, </w:t>
      </w:r>
      <w:r w:rsidR="005A255B" w:rsidRPr="00105DCB">
        <w:rPr>
          <w:i/>
          <w:iCs/>
        </w:rPr>
        <w:t>Táin</w:t>
      </w:r>
      <w:r w:rsidR="005A255B">
        <w:rPr>
          <w:i/>
          <w:iCs/>
        </w:rPr>
        <w:t xml:space="preserve">, </w:t>
      </w:r>
      <w:r w:rsidR="005A255B">
        <w:t>p.25</w:t>
      </w:r>
    </w:p>
  </w:footnote>
  <w:footnote w:id="7">
    <w:p w14:paraId="57113154" w14:textId="56A62DB9" w:rsidR="00A414B7" w:rsidRDefault="00A414B7">
      <w:pPr>
        <w:pStyle w:val="FootnoteText"/>
      </w:pPr>
      <w:r>
        <w:rPr>
          <w:rStyle w:val="FootnoteReference"/>
        </w:rPr>
        <w:footnoteRef/>
      </w:r>
      <w:r>
        <w:t xml:space="preserve"> Sioned Davies, </w:t>
      </w:r>
      <w:r w:rsidR="005A255B">
        <w:t>Mabinogion,</w:t>
      </w:r>
      <w:r>
        <w:t xml:space="preserve"> p</w:t>
      </w:r>
      <w:r w:rsidR="005A255B">
        <w:t>.</w:t>
      </w:r>
      <w:r>
        <w:t>23</w:t>
      </w:r>
    </w:p>
  </w:footnote>
  <w:footnote w:id="8">
    <w:p w14:paraId="1464184D" w14:textId="47B74AAA" w:rsidR="00E63BF7" w:rsidRDefault="00E63BF7">
      <w:pPr>
        <w:pStyle w:val="FootnoteText"/>
      </w:pPr>
      <w:r>
        <w:rPr>
          <w:rStyle w:val="FootnoteReference"/>
        </w:rPr>
        <w:footnoteRef/>
      </w:r>
      <w:r>
        <w:t xml:space="preserve"> </w:t>
      </w:r>
      <w:r w:rsidR="005A255B">
        <w:t>Davies, Mabinogion</w:t>
      </w:r>
      <w:r>
        <w:t>, p</w:t>
      </w:r>
      <w:r w:rsidR="005A255B">
        <w:t>.</w:t>
      </w:r>
      <w:r>
        <w:t>11</w:t>
      </w:r>
    </w:p>
  </w:footnote>
  <w:footnote w:id="9">
    <w:p w14:paraId="47EEC268" w14:textId="0764EA90" w:rsidR="00E25CC4" w:rsidRDefault="00E25CC4">
      <w:pPr>
        <w:pStyle w:val="FootnoteText"/>
      </w:pPr>
      <w:r>
        <w:rPr>
          <w:rStyle w:val="FootnoteReference"/>
        </w:rPr>
        <w:footnoteRef/>
      </w:r>
      <w:r>
        <w:t xml:space="preserve"> </w:t>
      </w:r>
      <w:r w:rsidR="005A255B">
        <w:t xml:space="preserve">Carson, </w:t>
      </w:r>
      <w:r>
        <w:t>Tain, p</w:t>
      </w:r>
      <w:r w:rsidR="005A255B">
        <w:t>.</w:t>
      </w:r>
      <w:r>
        <w:t>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0EFCA9" w14:textId="0D4FA599" w:rsidR="005A255B" w:rsidRDefault="005A255B">
    <w:pPr>
      <w:pStyle w:val="Header"/>
    </w:pPr>
    <w:r>
      <w:t>Flynn Theisler</w:t>
    </w:r>
  </w:p>
  <w:p w14:paraId="1A407225" w14:textId="5A5460AD" w:rsidR="005A255B" w:rsidRDefault="005A255B">
    <w:pPr>
      <w:pStyle w:val="Header"/>
    </w:pPr>
    <w:r>
      <w:t>2503772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61BA"/>
    <w:rsid w:val="000061BA"/>
    <w:rsid w:val="00105DCB"/>
    <w:rsid w:val="00122B73"/>
    <w:rsid w:val="00147FC3"/>
    <w:rsid w:val="0022089F"/>
    <w:rsid w:val="003E5142"/>
    <w:rsid w:val="0041382A"/>
    <w:rsid w:val="00472E42"/>
    <w:rsid w:val="004C03BB"/>
    <w:rsid w:val="00543D5B"/>
    <w:rsid w:val="005801D1"/>
    <w:rsid w:val="005A255B"/>
    <w:rsid w:val="00673F58"/>
    <w:rsid w:val="007F6D2C"/>
    <w:rsid w:val="008B58E8"/>
    <w:rsid w:val="008B61E3"/>
    <w:rsid w:val="00A0454B"/>
    <w:rsid w:val="00A414B7"/>
    <w:rsid w:val="00A54120"/>
    <w:rsid w:val="00A66B3E"/>
    <w:rsid w:val="00D97036"/>
    <w:rsid w:val="00E25CC4"/>
    <w:rsid w:val="00E63BF7"/>
    <w:rsid w:val="00F50BE7"/>
    <w:rsid w:val="00FC74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3CA170"/>
  <w15:chartTrackingRefBased/>
  <w15:docId w15:val="{D7B56361-A63C-4CC0-9F83-44A827CDD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61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061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061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61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61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61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61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61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61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61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61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61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61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61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61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61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61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61BA"/>
    <w:rPr>
      <w:rFonts w:eastAsiaTheme="majorEastAsia" w:cstheme="majorBidi"/>
      <w:color w:val="272727" w:themeColor="text1" w:themeTint="D8"/>
    </w:rPr>
  </w:style>
  <w:style w:type="paragraph" w:styleId="Title">
    <w:name w:val="Title"/>
    <w:basedOn w:val="Normal"/>
    <w:next w:val="Normal"/>
    <w:link w:val="TitleChar"/>
    <w:uiPriority w:val="10"/>
    <w:qFormat/>
    <w:rsid w:val="000061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61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61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61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61BA"/>
    <w:pPr>
      <w:spacing w:before="160"/>
      <w:jc w:val="center"/>
    </w:pPr>
    <w:rPr>
      <w:i/>
      <w:iCs/>
      <w:color w:val="404040" w:themeColor="text1" w:themeTint="BF"/>
    </w:rPr>
  </w:style>
  <w:style w:type="character" w:customStyle="1" w:styleId="QuoteChar">
    <w:name w:val="Quote Char"/>
    <w:basedOn w:val="DefaultParagraphFont"/>
    <w:link w:val="Quote"/>
    <w:uiPriority w:val="29"/>
    <w:rsid w:val="000061BA"/>
    <w:rPr>
      <w:i/>
      <w:iCs/>
      <w:color w:val="404040" w:themeColor="text1" w:themeTint="BF"/>
    </w:rPr>
  </w:style>
  <w:style w:type="paragraph" w:styleId="ListParagraph">
    <w:name w:val="List Paragraph"/>
    <w:basedOn w:val="Normal"/>
    <w:uiPriority w:val="34"/>
    <w:qFormat/>
    <w:rsid w:val="000061BA"/>
    <w:pPr>
      <w:ind w:left="720"/>
      <w:contextualSpacing/>
    </w:pPr>
  </w:style>
  <w:style w:type="character" w:styleId="IntenseEmphasis">
    <w:name w:val="Intense Emphasis"/>
    <w:basedOn w:val="DefaultParagraphFont"/>
    <w:uiPriority w:val="21"/>
    <w:qFormat/>
    <w:rsid w:val="000061BA"/>
    <w:rPr>
      <w:i/>
      <w:iCs/>
      <w:color w:val="0F4761" w:themeColor="accent1" w:themeShade="BF"/>
    </w:rPr>
  </w:style>
  <w:style w:type="paragraph" w:styleId="IntenseQuote">
    <w:name w:val="Intense Quote"/>
    <w:basedOn w:val="Normal"/>
    <w:next w:val="Normal"/>
    <w:link w:val="IntenseQuoteChar"/>
    <w:uiPriority w:val="30"/>
    <w:qFormat/>
    <w:rsid w:val="000061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61BA"/>
    <w:rPr>
      <w:i/>
      <w:iCs/>
      <w:color w:val="0F4761" w:themeColor="accent1" w:themeShade="BF"/>
    </w:rPr>
  </w:style>
  <w:style w:type="character" w:styleId="IntenseReference">
    <w:name w:val="Intense Reference"/>
    <w:basedOn w:val="DefaultParagraphFont"/>
    <w:uiPriority w:val="32"/>
    <w:qFormat/>
    <w:rsid w:val="000061BA"/>
    <w:rPr>
      <w:b/>
      <w:bCs/>
      <w:smallCaps/>
      <w:color w:val="0F4761" w:themeColor="accent1" w:themeShade="BF"/>
      <w:spacing w:val="5"/>
    </w:rPr>
  </w:style>
  <w:style w:type="paragraph" w:styleId="FootnoteText">
    <w:name w:val="footnote text"/>
    <w:basedOn w:val="Normal"/>
    <w:link w:val="FootnoteTextChar"/>
    <w:uiPriority w:val="99"/>
    <w:semiHidden/>
    <w:unhideWhenUsed/>
    <w:rsid w:val="004C03B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C03BB"/>
    <w:rPr>
      <w:sz w:val="20"/>
      <w:szCs w:val="20"/>
    </w:rPr>
  </w:style>
  <w:style w:type="character" w:styleId="FootnoteReference">
    <w:name w:val="footnote reference"/>
    <w:basedOn w:val="DefaultParagraphFont"/>
    <w:uiPriority w:val="99"/>
    <w:semiHidden/>
    <w:unhideWhenUsed/>
    <w:rsid w:val="004C03BB"/>
    <w:rPr>
      <w:vertAlign w:val="superscript"/>
    </w:rPr>
  </w:style>
  <w:style w:type="character" w:styleId="Hyperlink">
    <w:name w:val="Hyperlink"/>
    <w:basedOn w:val="DefaultParagraphFont"/>
    <w:uiPriority w:val="99"/>
    <w:unhideWhenUsed/>
    <w:rsid w:val="0022089F"/>
    <w:rPr>
      <w:color w:val="467886" w:themeColor="hyperlink"/>
      <w:u w:val="single"/>
    </w:rPr>
  </w:style>
  <w:style w:type="character" w:styleId="UnresolvedMention">
    <w:name w:val="Unresolved Mention"/>
    <w:basedOn w:val="DefaultParagraphFont"/>
    <w:uiPriority w:val="99"/>
    <w:semiHidden/>
    <w:unhideWhenUsed/>
    <w:rsid w:val="0022089F"/>
    <w:rPr>
      <w:color w:val="605E5C"/>
      <w:shd w:val="clear" w:color="auto" w:fill="E1DFDD"/>
    </w:rPr>
  </w:style>
  <w:style w:type="paragraph" w:styleId="Header">
    <w:name w:val="header"/>
    <w:basedOn w:val="Normal"/>
    <w:link w:val="HeaderChar"/>
    <w:uiPriority w:val="99"/>
    <w:unhideWhenUsed/>
    <w:rsid w:val="005A25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255B"/>
  </w:style>
  <w:style w:type="paragraph" w:styleId="Footer">
    <w:name w:val="footer"/>
    <w:basedOn w:val="Normal"/>
    <w:link w:val="FooterChar"/>
    <w:uiPriority w:val="99"/>
    <w:unhideWhenUsed/>
    <w:rsid w:val="005A25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255B"/>
  </w:style>
  <w:style w:type="character" w:styleId="FollowedHyperlink">
    <w:name w:val="FollowedHyperlink"/>
    <w:basedOn w:val="DefaultParagraphFont"/>
    <w:uiPriority w:val="99"/>
    <w:semiHidden/>
    <w:unhideWhenUsed/>
    <w:rsid w:val="005A255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7/43631333" TargetMode="External"/><Relationship Id="rId3" Type="http://schemas.openxmlformats.org/officeDocument/2006/relationships/settings" Target="settings.xml"/><Relationship Id="rId7" Type="http://schemas.openxmlformats.org/officeDocument/2006/relationships/hyperlink" Target="https://doi.org/10.7488/era/4955"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doi.org/10.7488/era/49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2A576D-A644-4213-8AC4-606B19AB1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2179</Words>
  <Characters>10069</Characters>
  <Application>Microsoft Office Word</Application>
  <DocSecurity>0</DocSecurity>
  <Lines>145</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Flynn Theisler (2503772)</dc:creator>
  <cp:keywords/>
  <dc:description/>
  <cp:lastModifiedBy>Flynn Theisler (2503772)</cp:lastModifiedBy>
  <cp:revision>23</cp:revision>
  <dcterms:created xsi:type="dcterms:W3CDTF">2026-03-20T23:06:00Z</dcterms:created>
  <dcterms:modified xsi:type="dcterms:W3CDTF">2026-03-25T21:51:00Z</dcterms:modified>
</cp:coreProperties>
</file>