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item1.xml" ContentType="application/xml"/>
  <Override PartName="/customXml/itemProps1.xml" ContentType="application/vnd.openxmlformats-officedocument.customXmlProperties+xml"/>
  <Override PartName="/customXml/item2.xml" ContentType="application/xml"/>
  <Override PartName="/customXml/itemProps2.xml" ContentType="application/vnd.openxmlformats-officedocument.customXmlProperties+xml"/>
  <Override PartName="/customXml/_rels/item4.xml.rels" ContentType="application/vnd.openxmlformats-package.relationships+xml"/>
  <Override PartName="/customXml/_rels/item3.xml.rels" ContentType="application/vnd.openxmlformats-package.relationships+xml"/>
  <Override PartName="/customXml/_rels/item2.xml.rels" ContentType="application/vnd.openxmlformats-package.relationships+xml"/>
  <Override PartName="/customXml/_rels/item1.xml.rels" ContentType="application/vnd.openxmlformats-package.relationships+xml"/>
  <Override PartName="/customXml/item3.xml" ContentType="application/xml"/>
  <Override PartName="/customXml/itemProps3.xml" ContentType="application/vnd.openxmlformats-officedocument.customXmlProperties+xml"/>
  <Override PartName="/customXml/item4.xml" ContentType="application/xml"/>
  <Override PartName="/customXml/itemProps4.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Gower College Swansea</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Dr 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Emily Nyathi</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Dynamics, Control Systems and Instrumentation</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GOEE4002</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4</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 and 2)</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1 and 2</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 or 2 x 50%):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2 x 50%</w:t>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2024/5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1"/>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MS Gothic" w:ascii="MS Gothic" w:hAnsi="MS Gothic"/>
                    <w:sz w:val="20"/>
                    <w:szCs w:val="20"/>
                  </w:rPr>
                </w:r>
                <w:r>
                  <w:rPr>
                    <w:rFonts w:eastAsia="MS Gothic" w:cs="MS Gothic" w:ascii="MS Gothic" w:hAnsi="MS Gothic"/>
                    <w:sz w:val="20"/>
                    <w:szCs w:val="20"/>
                  </w:rPr>
                  <w:t>☒</w:t>
                </w:r>
              </w:sdtContent>
            </w:sdt>
            <w:r>
              <w:rPr>
                <w:rFonts w:eastAsia="Times New Roman" w:cs="Arial" w:ascii="Arial" w:hAnsi="Arial"/>
                <w:i/>
                <w:iCs/>
                <w:sz w:val="20"/>
                <w:szCs w:val="20"/>
              </w:rPr>
              <w:t xml:space="preserve"> </w:t>
            </w:r>
            <w:r>
              <w:rPr>
                <w:rFonts w:eastAsia="Times New Roman" w:cs="Arial" w:ascii="Arial" w:hAnsi="Arial"/>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sz w:val="20"/>
                    <w:szCs w:val="20"/>
                  </w:rPr>
                </w:r>
                <w:r>
                  <w:rPr>
                    <w:rFonts w:eastAsia="MS Gothic" w:cs="Arial" w:ascii="MS Gothic" w:hAnsi="MS Gothic"/>
                    <w:sz w:val="20"/>
                    <w:szCs w:val="20"/>
                  </w:rPr>
                  <w:t>☐</w:t>
                </w:r>
              </w:sdtContent>
            </w:sdt>
            <w:r>
              <w:rPr>
                <w:rFonts w:eastAsia="Times New Roman" w:cs="Arial" w:ascii="Arial" w:hAnsi="Arial"/>
                <w:sz w:val="20"/>
                <w:szCs w:val="20"/>
              </w:rPr>
              <w:t xml:space="preserve"> </w:t>
            </w:r>
            <w:r>
              <w:rPr>
                <w:rFonts w:eastAsia="Times New Roman" w:cs="Arial" w:ascii="Arial" w:hAnsi="Arial"/>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t>COMPONENT 1 (WEIGHTING:  50%)</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8"/>
        <w:gridCol w:w="2411"/>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8" w:type="dxa"/>
            <w:tcBorders/>
          </w:tcPr>
          <w:p>
            <w:pPr>
              <w:pStyle w:val="Normal"/>
              <w:widowControl/>
              <w:spacing w:lineRule="auto" w:line="240" w:before="0" w:after="0"/>
              <w:jc w:val="center"/>
              <w:rPr>
                <w:rFonts w:ascii="Arial" w:hAnsi="Arial" w:cs="Arial"/>
                <w:b/>
                <w:bCs/>
                <w:sz w:val="16"/>
                <w:szCs w:val="16"/>
              </w:rPr>
            </w:pPr>
            <w:r>
              <w:rPr>
                <w:rFonts w:eastAsia="Times New Roman" w:cs="Arial" w:ascii="Arial" w:hAnsi="Arial"/>
                <w:b/>
                <w:bCs/>
                <w:kern w:val="0"/>
                <w:sz w:val="16"/>
                <w:szCs w:val="16"/>
                <w:lang w:eastAsia="en-US" w:bidi="ar-SA"/>
              </w:rPr>
              <w:t>1</w:t>
            </w:r>
          </w:p>
        </w:tc>
        <w:tc>
          <w:tcPr>
            <w:tcW w:w="2411"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Alkarim Yacob</w:t>
            </w:r>
          </w:p>
        </w:tc>
        <w:tc>
          <w:tcPr>
            <w:tcW w:w="1133"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56%</w:t>
            </w:r>
          </w:p>
        </w:tc>
        <w:tc>
          <w:tcPr>
            <w:tcW w:w="1134"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r>
          </w:p>
        </w:tc>
        <w:tc>
          <w:tcPr>
            <w:tcW w:w="1843"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56%</w:t>
            </w:r>
          </w:p>
        </w:tc>
      </w:tr>
      <w:tr>
        <w:trPr/>
        <w:tc>
          <w:tcPr>
            <w:tcW w:w="278" w:type="dxa"/>
            <w:tcBorders/>
          </w:tcPr>
          <w:p>
            <w:pPr>
              <w:pStyle w:val="Normal"/>
              <w:widowControl/>
              <w:spacing w:lineRule="auto" w:line="240" w:before="0" w:after="0"/>
              <w:jc w:val="center"/>
              <w:rPr>
                <w:rFonts w:ascii="Arial" w:hAnsi="Arial" w:cs="Arial"/>
                <w:b/>
                <w:bCs/>
                <w:sz w:val="16"/>
                <w:szCs w:val="16"/>
              </w:rPr>
            </w:pPr>
            <w:r>
              <w:rPr>
                <w:rFonts w:eastAsia="Times New Roman" w:cs="Arial" w:ascii="Arial" w:hAnsi="Arial"/>
                <w:b/>
                <w:bCs/>
                <w:kern w:val="0"/>
                <w:sz w:val="16"/>
                <w:szCs w:val="16"/>
                <w:lang w:eastAsia="en-US" w:bidi="ar-SA"/>
              </w:rPr>
              <w:t>2</w:t>
            </w:r>
          </w:p>
        </w:tc>
        <w:tc>
          <w:tcPr>
            <w:tcW w:w="2411"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Armin Bailey</w:t>
            </w:r>
          </w:p>
        </w:tc>
        <w:tc>
          <w:tcPr>
            <w:tcW w:w="1133"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74%</w:t>
            </w:r>
          </w:p>
        </w:tc>
        <w:tc>
          <w:tcPr>
            <w:tcW w:w="1134"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r>
          </w:p>
        </w:tc>
        <w:tc>
          <w:tcPr>
            <w:tcW w:w="1843"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74%</w:t>
            </w:r>
          </w:p>
        </w:tc>
      </w:tr>
      <w:tr>
        <w:trPr/>
        <w:tc>
          <w:tcPr>
            <w:tcW w:w="278" w:type="dxa"/>
            <w:tcBorders/>
          </w:tcPr>
          <w:p>
            <w:pPr>
              <w:pStyle w:val="Normal"/>
              <w:widowControl/>
              <w:spacing w:lineRule="auto" w:line="240" w:before="0" w:after="0"/>
              <w:jc w:val="center"/>
              <w:rPr>
                <w:rFonts w:ascii="Arial" w:hAnsi="Arial" w:cs="Arial"/>
                <w:b/>
                <w:bCs/>
                <w:sz w:val="16"/>
                <w:szCs w:val="16"/>
              </w:rPr>
            </w:pPr>
            <w:r>
              <w:rPr>
                <w:rFonts w:eastAsia="Times New Roman" w:cs="Arial" w:ascii="Arial" w:hAnsi="Arial"/>
                <w:b/>
                <w:bCs/>
                <w:kern w:val="0"/>
                <w:sz w:val="16"/>
                <w:szCs w:val="16"/>
                <w:lang w:eastAsia="en-US" w:bidi="ar-SA"/>
              </w:rPr>
              <w:t>3</w:t>
            </w:r>
          </w:p>
        </w:tc>
        <w:tc>
          <w:tcPr>
            <w:tcW w:w="2411"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Cartwright Sam</w:t>
            </w:r>
          </w:p>
        </w:tc>
        <w:tc>
          <w:tcPr>
            <w:tcW w:w="1133"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65%</w:t>
            </w:r>
          </w:p>
        </w:tc>
        <w:tc>
          <w:tcPr>
            <w:tcW w:w="1134"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r>
          </w:p>
        </w:tc>
        <w:tc>
          <w:tcPr>
            <w:tcW w:w="1843"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65%</w:t>
            </w:r>
          </w:p>
        </w:tc>
      </w:tr>
      <w:tr>
        <w:trPr/>
        <w:tc>
          <w:tcPr>
            <w:tcW w:w="278" w:type="dxa"/>
            <w:tcBorders/>
          </w:tcPr>
          <w:p>
            <w:pPr>
              <w:pStyle w:val="Normal"/>
              <w:widowControl/>
              <w:spacing w:lineRule="auto" w:line="240" w:before="0" w:after="0"/>
              <w:jc w:val="center"/>
              <w:rPr>
                <w:rFonts w:ascii="Arial" w:hAnsi="Arial" w:cs="Arial"/>
                <w:b/>
                <w:bCs/>
                <w:sz w:val="16"/>
                <w:szCs w:val="16"/>
              </w:rPr>
            </w:pPr>
            <w:r>
              <w:rPr>
                <w:rFonts w:eastAsia="Times New Roman" w:cs="Arial" w:ascii="Arial" w:hAnsi="Arial"/>
                <w:b/>
                <w:bCs/>
                <w:kern w:val="0"/>
                <w:sz w:val="16"/>
                <w:szCs w:val="16"/>
                <w:lang w:eastAsia="en-US" w:bidi="ar-SA"/>
              </w:rPr>
              <w:t>4</w:t>
            </w:r>
          </w:p>
        </w:tc>
        <w:tc>
          <w:tcPr>
            <w:tcW w:w="2411"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David Sanchez Jairo Fabricio</w:t>
            </w:r>
          </w:p>
        </w:tc>
        <w:tc>
          <w:tcPr>
            <w:tcW w:w="1133"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62%</w:t>
            </w:r>
          </w:p>
        </w:tc>
        <w:tc>
          <w:tcPr>
            <w:tcW w:w="1134"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r>
          </w:p>
        </w:tc>
        <w:tc>
          <w:tcPr>
            <w:tcW w:w="1843"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62%</w:t>
            </w:r>
          </w:p>
        </w:tc>
      </w:tr>
      <w:tr>
        <w:trPr/>
        <w:tc>
          <w:tcPr>
            <w:tcW w:w="278" w:type="dxa"/>
            <w:tcBorders/>
          </w:tcPr>
          <w:p>
            <w:pPr>
              <w:pStyle w:val="Normal"/>
              <w:widowControl/>
              <w:spacing w:lineRule="auto" w:line="240" w:before="0" w:after="0"/>
              <w:jc w:val="center"/>
              <w:rPr>
                <w:rFonts w:ascii="Arial" w:hAnsi="Arial" w:cs="Arial"/>
                <w:b/>
                <w:bCs/>
                <w:sz w:val="16"/>
                <w:szCs w:val="16"/>
              </w:rPr>
            </w:pPr>
            <w:r>
              <w:rPr>
                <w:rFonts w:eastAsia="Times New Roman" w:cs="Arial" w:ascii="Arial" w:hAnsi="Arial"/>
                <w:b/>
                <w:bCs/>
                <w:kern w:val="0"/>
                <w:sz w:val="16"/>
                <w:szCs w:val="16"/>
                <w:lang w:eastAsia="en-US" w:bidi="ar-SA"/>
              </w:rPr>
              <w:t>5</w:t>
            </w:r>
          </w:p>
        </w:tc>
        <w:tc>
          <w:tcPr>
            <w:tcW w:w="2411"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Jones Dylan</w:t>
            </w:r>
          </w:p>
        </w:tc>
        <w:tc>
          <w:tcPr>
            <w:tcW w:w="1133"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66%</w:t>
            </w:r>
          </w:p>
        </w:tc>
        <w:tc>
          <w:tcPr>
            <w:tcW w:w="1134"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r>
          </w:p>
        </w:tc>
        <w:tc>
          <w:tcPr>
            <w:tcW w:w="1843"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66%</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1"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Ramadhan Nariman</w:t>
            </w:r>
          </w:p>
        </w:tc>
        <w:tc>
          <w:tcPr>
            <w:tcW w:w="1133"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63%</w:t>
            </w:r>
          </w:p>
        </w:tc>
        <w:tc>
          <w:tcPr>
            <w:tcW w:w="1134"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r>
          </w:p>
        </w:tc>
        <w:tc>
          <w:tcPr>
            <w:tcW w:w="1843" w:type="dxa"/>
            <w:tcBorders/>
          </w:tcPr>
          <w:p>
            <w:pPr>
              <w:pStyle w:val="Normal"/>
              <w:widowControl/>
              <w:spacing w:lineRule="auto" w:line="240" w:before="0" w:after="0"/>
              <w:jc w:val="left"/>
              <w:rPr>
                <w:rFonts w:ascii="Arial" w:hAnsi="Arial" w:cs="Arial"/>
                <w:b/>
                <w:bCs/>
                <w:sz w:val="18"/>
                <w:szCs w:val="18"/>
              </w:rPr>
            </w:pPr>
            <w:r>
              <w:rPr>
                <w:rFonts w:eastAsia="Times New Roman" w:cs="Arial" w:ascii="Arial" w:hAnsi="Arial"/>
                <w:b/>
                <w:bCs/>
                <w:kern w:val="0"/>
                <w:sz w:val="18"/>
                <w:szCs w:val="18"/>
                <w:lang w:eastAsia="en-US" w:bidi="ar-SA"/>
              </w:rPr>
              <w:t>63%</w:t>
            </w:r>
          </w:p>
        </w:tc>
      </w:tr>
    </w:tbl>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 xml:space="preserve">COMPONENT 2 (WEIGHTING:50 %) </w:t>
      </w:r>
      <w:r>
        <w:rPr>
          <w:rFonts w:cs="Arial" w:ascii="Arial" w:hAnsi="Arial"/>
          <w:b/>
          <w:bCs/>
          <w:sz w:val="16"/>
          <w:szCs w:val="16"/>
        </w:rPr>
        <w:t>(Note: delete if not applicable)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278"/>
        <w:gridCol w:w="2411"/>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2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41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Armin Bailey</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53%</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David Sanchez Jairo Fabricio</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53%</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Evans Kieran</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11%</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11%</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Dylan Jones</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74%</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74%</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Ramadhan Nariman</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12%</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12%</w:t>
            </w:r>
          </w:p>
        </w:tc>
      </w:tr>
      <w:tr>
        <w:trPr/>
        <w:tc>
          <w:tcPr>
            <w:tcW w:w="278"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411"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Winter Aled</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41%</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41%</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t>ü</w:t>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t>ü</w:t>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eastAsia="Arial" w:cs="Arial"/>
                <w:sz w:val="20"/>
                <w:szCs w:val="20"/>
                <w:lang w:val="en-GB"/>
              </w:rPr>
            </w:pPr>
            <w:r>
              <w:rPr>
                <w:rFonts w:eastAsia="Wingdings" w:cs="Wingdings" w:ascii="Wingdings" w:hAnsi="Wingdings"/>
                <w:b/>
                <w:bCs/>
                <w:i/>
                <w:iCs/>
                <w:caps w:val="false"/>
                <w:smallCaps w:val="false"/>
                <w:color w:themeColor="text1" w:val="000000"/>
                <w:kern w:val="0"/>
                <w:sz w:val="22"/>
                <w:szCs w:val="22"/>
                <w:lang w:val="en-GB" w:eastAsia="en-US" w:bidi="ar-SA"/>
              </w:rPr>
              <w:t>ü</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eastAsia="Arial" w:cs="Arial"/>
                <w:sz w:val="20"/>
                <w:szCs w:val="20"/>
                <w:lang w:val="en-GB"/>
              </w:rPr>
            </w:pPr>
            <w:r>
              <w:rPr>
                <w:rFonts w:eastAsia="Wingdings" w:cs="Wingdings" w:ascii="Wingdings" w:hAnsi="Wingdings"/>
                <w:b/>
                <w:bCs/>
                <w:i/>
                <w:iCs/>
                <w:caps w:val="false"/>
                <w:smallCaps w:val="false"/>
                <w:color w:themeColor="text1" w:val="000000"/>
                <w:kern w:val="0"/>
                <w:sz w:val="22"/>
                <w:szCs w:val="22"/>
                <w:lang w:val="en-GB" w:eastAsia="en-US" w:bidi="ar-SA"/>
              </w:rPr>
              <w:t>ü</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eastAsia="Arial" w:cs="Arial"/>
                <w:sz w:val="20"/>
                <w:szCs w:val="20"/>
                <w:lang w:val="en-GB"/>
              </w:rPr>
            </w:pPr>
            <w:r>
              <w:rPr>
                <w:rFonts w:eastAsia="Wingdings" w:cs="Wingdings" w:ascii="Wingdings" w:hAnsi="Wingdings"/>
                <w:b/>
                <w:bCs/>
                <w:i/>
                <w:iCs/>
                <w:caps w:val="false"/>
                <w:smallCaps w:val="false"/>
                <w:color w:themeColor="text1" w:val="000000"/>
                <w:kern w:val="0"/>
                <w:sz w:val="22"/>
                <w:szCs w:val="22"/>
                <w:lang w:val="en-GB" w:eastAsia="en-US" w:bidi="ar-SA"/>
              </w:rPr>
              <w:t>ü</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eastAsia="Arial" w:cs="Arial"/>
                <w:sz w:val="20"/>
                <w:szCs w:val="20"/>
                <w:lang w:val="en-GB"/>
              </w:rPr>
            </w:pPr>
            <w:r>
              <w:rPr>
                <w:rFonts w:eastAsia="Wingdings" w:cs="Wingdings" w:ascii="Wingdings" w:hAnsi="Wingdings"/>
                <w:b/>
                <w:bCs/>
                <w:i/>
                <w:iCs/>
                <w:caps w:val="false"/>
                <w:smallCaps w:val="false"/>
                <w:color w:themeColor="text1" w:val="000000"/>
                <w:kern w:val="0"/>
                <w:sz w:val="22"/>
                <w:szCs w:val="22"/>
                <w:lang w:val="en-GB" w:eastAsia="en-US" w:bidi="ar-SA"/>
              </w:rPr>
              <w:t>ü</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eastAsia="Arial" w:cs="Arial"/>
                <w:sz w:val="20"/>
                <w:szCs w:val="20"/>
                <w:lang w:val="en-GB"/>
              </w:rPr>
            </w:pPr>
            <w:r>
              <w:rPr>
                <w:rFonts w:eastAsia="Wingdings" w:cs="Wingdings" w:ascii="Wingdings" w:hAnsi="Wingdings"/>
                <w:b/>
                <w:bCs/>
                <w:i/>
                <w:iCs/>
                <w:caps w:val="false"/>
                <w:smallCaps w:val="false"/>
                <w:color w:themeColor="text1" w:val="000000"/>
                <w:kern w:val="0"/>
                <w:sz w:val="22"/>
                <w:szCs w:val="22"/>
                <w:lang w:val="en-GB" w:eastAsia="en-US" w:bidi="ar-SA"/>
              </w:rPr>
              <w:t>ü</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Signed (Internal Moderator): Rabya Kadhim</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30May 2025</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t>ü</w:t>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t>ü</w:t>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for the coursework. The exam script sample contains one which is wrongly calculated the mark, where it is 11, but should be 13 – not that it makes a significant difference in this case, but this should have been picked up. The exam script marking makes it hard to discern which one are individual marks and which ones are for the overall question.</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coursework feedback is good</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as per design</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Yes, where appropriate.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 ensure that double marking is taking place appropriately for exams</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 have policy how to mark, so that it is easy for double marking, EE as well as student to see which one is for individual sub-question and which is for overall question marks. Suggestion: provide the sub-question with the total e.g. “4/5” in the margin. For the overall question use “Q1 10/25” etc</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2025-07-31</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4"/>
      <w:footerReference w:type="default" r:id="rId5"/>
      <w:footerReference w:type="first" r:id="rId6"/>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Arial Narrow">
    <w:charset w:val="01"/>
    <w:family w:val="swiss"/>
    <w:pitch w:val="variable"/>
  </w:font>
  <w:font w:name="Wingdings">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5</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75"/>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
    <w:name w:val="Unresolved Mention"/>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Relationship Id="rId12" Type="http://schemas.openxmlformats.org/officeDocument/2006/relationships/customXml" Target="../customXml/item2.xml"/><Relationship Id="rId13" Type="http://schemas.openxmlformats.org/officeDocument/2006/relationships/customXml" Target="../customXml/item3.xml"/><Relationship Id="rId14" Type="http://schemas.openxmlformats.org/officeDocument/2006/relationships/customXml" Target="../customXml/item4.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_rels/item2.xml.rels><?xml version="1.0" encoding="UTF-8"?>
<Relationships xmlns="http://schemas.openxmlformats.org/package/2006/relationships"><Relationship Id="rId1" Type="http://schemas.openxmlformats.org/officeDocument/2006/relationships/customXmlProps" Target="itemProps2.xml"/>
</Relationships>
</file>

<file path=customXml/_rels/item3.xml.rels><?xml version="1.0" encoding="UTF-8"?>
<Relationships xmlns="http://schemas.openxmlformats.org/package/2006/relationships"><Relationship Id="rId1" Type="http://schemas.openxmlformats.org/officeDocument/2006/relationships/customXmlProps" Target="itemProps3.xml"/>
</Relationships>
</file>

<file path=customXml/_rels/item4.xml.rels><?xml version="1.0" encoding="UTF-8"?>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eb93b8f469d1ece227f430785ddb6f20">
  <xsd:schema xmlns:xsd="http://www.w3.org/2001/XMLSchema" xmlns:xs="http://www.w3.org/2001/XMLSchema" xmlns:p="http://schemas.microsoft.com/office/2006/metadata/properties" xmlns:ns2="db040305-4dfc-47f5-a120-43193f524db7" targetNamespace="http://schemas.microsoft.com/office/2006/metadata/properties" ma:root="true" ma:fieldsID="58b14212efe05b78c9a7804f9106590b"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B74DF6-6389-49E9-A209-F924F3566FFE}">
  <ds:schemaRefs>
    <ds:schemaRef ds:uri="http://schemas.microsoft.com/sharepoint/v3/contenttype/forms"/>
  </ds:schemaRefs>
</ds:datastoreItem>
</file>

<file path=customXml/itemProps2.xml><?xml version="1.0" encoding="utf-8"?>
<ds:datastoreItem xmlns:ds="http://schemas.openxmlformats.org/officeDocument/2006/customXml" ds:itemID="{445BBDC6-0087-45FD-8092-567B01D11D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b040305-4dfc-47f5-a120-43193f524d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1641AF9-6A7A-4879-BD7F-53B796FC8843}">
  <ds:schemaRefs>
    <ds:schemaRef ds:uri="http://schemas.openxmlformats.org/officeDocument/2006/bibliography"/>
  </ds:schemaRefs>
</ds:datastoreItem>
</file>

<file path=customXml/itemProps4.xml><?xml version="1.0" encoding="utf-8"?>
<ds:datastoreItem xmlns:ds="http://schemas.openxmlformats.org/officeDocument/2006/customXml" ds:itemID="{97EB3D78-9DA3-4F24-A135-5D791E810DF9}">
  <ds:schemaRefs>
    <ds:schemaRef ds:uri="http://purl.org/dc/terms/"/>
    <ds:schemaRef ds:uri="http://www.w3.org/XML/1998/namespace"/>
    <ds:schemaRef ds:uri="http://purl.org/dc/elements/1.1/"/>
    <ds:schemaRef ds:uri="db040305-4dfc-47f5-a120-43193f524db7"/>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6</TotalTime>
  <Application>LibreOffice/25.2.5.2$MacOSX_AARCH64 LibreOffice_project/03d19516eb2e1dd5d4ccd751a0d6f35f35e08022</Application>
  <AppVersion>15.0000</AppVersion>
  <Pages>5</Pages>
  <Words>1140</Words>
  <Characters>5816</Characters>
  <CharactersWithSpaces>6744</CharactersWithSpaces>
  <Paragraphs>242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2025-05-28T13:15:00Z</dcterms:created>
  <dc:creator>Windows User</dc:creator>
  <dc:description>August 2018</dc:description>
  <dc:language>en-GB</dc:language>
  <cp:lastModifiedBy/>
  <cp:lastPrinted>2014-12-09T15:50:00Z</cp:lastPrinted>
  <dcterms:modified xsi:type="dcterms:W3CDTF">2025-08-01T01:47:35Z</dcterms:modified>
  <cp:revision>8</cp:revision>
  <dc:subject/>
  <dc:title>GA28</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