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bCs w:val="1"/>
        </w:rPr>
      </w:pPr>
      <w:r w:rsidDel="00000000" w:rsidR="00000000" w:rsidRPr="00000000">
        <w:rPr>
          <w:rtl w:val="0"/>
        </w:rPr>
      </w:r>
    </w:p>
    <w:p w:rsidR="00000000" w:rsidDel="00000000" w:rsidP="00000000" w:rsidRDefault="00000000" w:rsidRPr="00000000" w14:paraId="00000002">
      <w:pPr>
        <w:spacing w:line="360" w:lineRule="auto"/>
        <w:jc w:val="both"/>
        <w:rPr>
          <w:b w:val="1"/>
          <w:bCs w:val="1"/>
        </w:rPr>
      </w:pPr>
      <w:r w:rsidDel="00000000" w:rsidR="00000000" w:rsidRPr="00000000">
        <w:rPr>
          <w:rtl w:val="0"/>
        </w:rPr>
      </w:r>
    </w:p>
    <w:p w:rsidR="00000000" w:rsidDel="00000000" w:rsidP="00000000" w:rsidRDefault="00000000" w:rsidRPr="00000000" w14:paraId="00000003">
      <w:pPr>
        <w:spacing w:line="360" w:lineRule="auto"/>
        <w:jc w:val="both"/>
        <w:rPr>
          <w:b w:val="1"/>
          <w:bCs w:val="1"/>
        </w:rPr>
      </w:pPr>
      <w:r w:rsidDel="00000000" w:rsidR="00000000" w:rsidRPr="00000000">
        <w:rPr>
          <w:rtl w:val="0"/>
        </w:rPr>
      </w:r>
    </w:p>
    <w:p w:rsidR="00000000" w:rsidDel="00000000" w:rsidP="00000000" w:rsidRDefault="00000000" w:rsidRPr="00000000" w14:paraId="00000004">
      <w:pPr>
        <w:spacing w:line="360" w:lineRule="auto"/>
        <w:jc w:val="both"/>
        <w:rPr>
          <w:b w:val="1"/>
          <w:bCs w:val="1"/>
        </w:rPr>
      </w:pPr>
      <w:r w:rsidDel="00000000" w:rsidR="00000000" w:rsidRPr="00000000">
        <w:rPr>
          <w:rtl w:val="0"/>
        </w:rPr>
      </w:r>
    </w:p>
    <w:p w:rsidR="00000000" w:rsidDel="00000000" w:rsidP="00000000" w:rsidRDefault="00000000" w:rsidRPr="00000000" w14:paraId="00000005">
      <w:pPr>
        <w:spacing w:line="360" w:lineRule="auto"/>
        <w:jc w:val="both"/>
        <w:rPr>
          <w:b w:val="1"/>
          <w:bCs w:val="1"/>
        </w:rPr>
      </w:pPr>
      <w:r w:rsidDel="00000000" w:rsidR="00000000" w:rsidRPr="00000000">
        <w:rPr>
          <w:rtl w:val="0"/>
        </w:rPr>
      </w:r>
    </w:p>
    <w:p w:rsidR="00000000" w:rsidDel="00000000" w:rsidP="00000000" w:rsidRDefault="00000000" w:rsidRPr="00000000" w14:paraId="00000006">
      <w:pPr>
        <w:spacing w:line="360" w:lineRule="auto"/>
        <w:jc w:val="both"/>
        <w:rPr>
          <w:b w:val="1"/>
          <w:bCs w:val="1"/>
        </w:rPr>
      </w:pPr>
      <w:r w:rsidDel="00000000" w:rsidR="00000000" w:rsidRPr="00000000">
        <w:rPr>
          <w:rtl w:val="0"/>
        </w:rPr>
      </w:r>
    </w:p>
    <w:p w:rsidR="00000000" w:rsidDel="00000000" w:rsidP="00000000" w:rsidRDefault="00000000" w:rsidRPr="00000000" w14:paraId="00000007">
      <w:pPr>
        <w:spacing w:line="360" w:lineRule="auto"/>
        <w:jc w:val="both"/>
        <w:rPr>
          <w:b w:val="1"/>
          <w:bCs w:val="1"/>
        </w:rPr>
      </w:pPr>
      <w:r w:rsidDel="00000000" w:rsidR="00000000" w:rsidRPr="00000000">
        <w:rPr>
          <w:rtl w:val="0"/>
        </w:rPr>
      </w:r>
    </w:p>
    <w:p w:rsidR="00000000" w:rsidDel="00000000" w:rsidP="00000000" w:rsidRDefault="00000000" w:rsidRPr="00000000" w14:paraId="00000008">
      <w:pPr>
        <w:spacing w:line="360" w:lineRule="auto"/>
        <w:jc w:val="both"/>
        <w:rPr>
          <w:b w:val="1"/>
          <w:bCs w:val="1"/>
        </w:rPr>
      </w:pPr>
      <w:r w:rsidDel="00000000" w:rsidR="00000000" w:rsidRPr="00000000">
        <w:rPr>
          <w:rtl w:val="0"/>
        </w:rPr>
      </w:r>
    </w:p>
    <w:p w:rsidR="00000000" w:rsidDel="00000000" w:rsidP="00000000" w:rsidRDefault="00000000" w:rsidRPr="00000000" w14:paraId="0000000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b w:val="1"/>
          <w:bCs w:val="1"/>
          <w:sz w:val="32"/>
          <w:szCs w:val="32"/>
        </w:rPr>
      </w:pPr>
      <w:r w:rsidDel="00000000" w:rsidR="00000000" w:rsidRPr="00000000">
        <w:rPr>
          <w:b w:val="1"/>
          <w:bCs w:val="1"/>
          <w:sz w:val="32"/>
          <w:szCs w:val="32"/>
          <w:rtl w:val="0"/>
        </w:rPr>
        <w:t xml:space="preserve">Assessment 2 - Report on a Health Issue</w:t>
      </w:r>
    </w:p>
    <w:p w:rsidR="00000000" w:rsidDel="00000000" w:rsidP="00000000" w:rsidRDefault="00000000" w:rsidRPr="00000000" w14:paraId="0000000C">
      <w:pPr>
        <w:spacing w:line="360" w:lineRule="auto"/>
        <w:jc w:val="center"/>
        <w:rPr>
          <w:b w:val="1"/>
          <w:bCs w:val="1"/>
          <w:sz w:val="32"/>
          <w:szCs w:val="32"/>
        </w:rPr>
      </w:pPr>
      <w:r w:rsidDel="00000000" w:rsidR="00000000" w:rsidRPr="00000000">
        <w:rPr>
          <w:b w:val="1"/>
          <w:bCs w:val="1"/>
          <w:sz w:val="32"/>
          <w:szCs w:val="32"/>
          <w:rtl w:val="0"/>
        </w:rPr>
        <w:t xml:space="preserve">STUDENT: RUDOLF BALOG</w:t>
      </w:r>
    </w:p>
    <w:p w:rsidR="00000000" w:rsidDel="00000000" w:rsidP="00000000" w:rsidRDefault="00000000" w:rsidRPr="00000000" w14:paraId="0000000D">
      <w:pPr>
        <w:spacing w:line="360" w:lineRule="auto"/>
        <w:jc w:val="left"/>
        <w:rPr>
          <w:b w:val="1"/>
          <w:bCs w:val="1"/>
          <w:sz w:val="32"/>
          <w:szCs w:val="32"/>
        </w:rPr>
      </w:pPr>
      <w:r w:rsidDel="00000000" w:rsidR="00000000" w:rsidRPr="00000000">
        <w:rPr>
          <w:b w:val="1"/>
          <w:bCs w:val="1"/>
          <w:sz w:val="32"/>
          <w:szCs w:val="32"/>
          <w:rtl w:val="0"/>
        </w:rPr>
        <w:t xml:space="preserve">                                            ID:2119447</w:t>
      </w:r>
    </w:p>
    <w:p w:rsidR="00000000" w:rsidDel="00000000" w:rsidP="00000000" w:rsidRDefault="00000000" w:rsidRPr="00000000" w14:paraId="0000000E">
      <w:pPr>
        <w:spacing w:line="360" w:lineRule="auto"/>
        <w:jc w:val="left"/>
        <w:rPr>
          <w:b w:val="1"/>
          <w:bCs w:val="1"/>
          <w:sz w:val="32"/>
          <w:szCs w:val="32"/>
        </w:rPr>
      </w:pPr>
      <w:r w:rsidDel="00000000" w:rsidR="00000000" w:rsidRPr="00000000">
        <w:rPr>
          <w:rtl w:val="0"/>
        </w:rPr>
      </w:r>
    </w:p>
    <w:p w:rsidR="00000000" w:rsidDel="00000000" w:rsidP="00000000" w:rsidRDefault="00000000" w:rsidRPr="00000000" w14:paraId="0000000F">
      <w:pPr>
        <w:spacing w:line="360" w:lineRule="auto"/>
        <w:jc w:val="both"/>
        <w:rPr>
          <w:b w:val="1"/>
          <w:bCs w:val="1"/>
        </w:rPr>
      </w:pPr>
      <w:r w:rsidDel="00000000" w:rsidR="00000000" w:rsidRPr="00000000">
        <w:rPr>
          <w:rtl w:val="0"/>
        </w:rPr>
      </w:r>
    </w:p>
    <w:p w:rsidR="00000000" w:rsidDel="00000000" w:rsidP="00000000" w:rsidRDefault="00000000" w:rsidRPr="00000000" w14:paraId="00000010">
      <w:pPr>
        <w:spacing w:line="360" w:lineRule="auto"/>
        <w:jc w:val="both"/>
        <w:rPr>
          <w:b w:val="1"/>
          <w:bCs w:val="1"/>
        </w:rPr>
      </w:pPr>
      <w:r w:rsidDel="00000000" w:rsidR="00000000" w:rsidRPr="00000000">
        <w:rPr>
          <w:rtl w:val="0"/>
        </w:rPr>
      </w:r>
    </w:p>
    <w:p w:rsidR="00000000" w:rsidDel="00000000" w:rsidP="00000000" w:rsidRDefault="00000000" w:rsidRPr="00000000" w14:paraId="00000011">
      <w:pPr>
        <w:spacing w:line="360" w:lineRule="auto"/>
        <w:jc w:val="both"/>
        <w:rPr>
          <w:b w:val="1"/>
          <w:bCs w:val="1"/>
        </w:rPr>
      </w:pPr>
      <w:r w:rsidDel="00000000" w:rsidR="00000000" w:rsidRPr="00000000">
        <w:rPr>
          <w:rtl w:val="0"/>
        </w:rPr>
      </w:r>
    </w:p>
    <w:p w:rsidR="00000000" w:rsidDel="00000000" w:rsidP="00000000" w:rsidRDefault="00000000" w:rsidRPr="00000000" w14:paraId="00000012">
      <w:pPr>
        <w:spacing w:line="360" w:lineRule="auto"/>
        <w:jc w:val="both"/>
        <w:rPr>
          <w:b w:val="1"/>
          <w:bCs w:val="1"/>
        </w:rPr>
      </w:pPr>
      <w:r w:rsidDel="00000000" w:rsidR="00000000" w:rsidRPr="00000000">
        <w:rPr>
          <w:rtl w:val="0"/>
        </w:rPr>
      </w:r>
    </w:p>
    <w:p w:rsidR="00000000" w:rsidDel="00000000" w:rsidP="00000000" w:rsidRDefault="00000000" w:rsidRPr="00000000" w14:paraId="00000013">
      <w:pPr>
        <w:spacing w:line="360" w:lineRule="auto"/>
        <w:jc w:val="both"/>
        <w:rPr>
          <w:b w:val="1"/>
          <w:bCs w:val="1"/>
        </w:rPr>
      </w:pPr>
      <w:r w:rsidDel="00000000" w:rsidR="00000000" w:rsidRPr="00000000">
        <w:rPr>
          <w:rtl w:val="0"/>
        </w:rPr>
      </w:r>
    </w:p>
    <w:p w:rsidR="00000000" w:rsidDel="00000000" w:rsidP="00000000" w:rsidRDefault="00000000" w:rsidRPr="00000000" w14:paraId="00000014">
      <w:pPr>
        <w:spacing w:line="360" w:lineRule="auto"/>
        <w:jc w:val="both"/>
        <w:rPr>
          <w:b w:val="1"/>
          <w:bCs w:val="1"/>
        </w:rPr>
      </w:pPr>
      <w:r w:rsidDel="00000000" w:rsidR="00000000" w:rsidRPr="00000000">
        <w:rPr>
          <w:rtl w:val="0"/>
        </w:rPr>
      </w:r>
    </w:p>
    <w:p w:rsidR="00000000" w:rsidDel="00000000" w:rsidP="00000000" w:rsidRDefault="00000000" w:rsidRPr="00000000" w14:paraId="00000015">
      <w:pPr>
        <w:spacing w:line="360" w:lineRule="auto"/>
        <w:jc w:val="both"/>
        <w:rPr>
          <w:b w:val="1"/>
          <w:bCs w:val="1"/>
        </w:rPr>
      </w:pPr>
      <w:r w:rsidDel="00000000" w:rsidR="00000000" w:rsidRPr="00000000">
        <w:rPr>
          <w:rtl w:val="0"/>
        </w:rPr>
      </w:r>
    </w:p>
    <w:p w:rsidR="00000000" w:rsidDel="00000000" w:rsidP="00000000" w:rsidRDefault="00000000" w:rsidRPr="00000000" w14:paraId="00000016">
      <w:pPr>
        <w:spacing w:line="360" w:lineRule="auto"/>
        <w:jc w:val="both"/>
        <w:rPr>
          <w:b w:val="1"/>
          <w:bCs w:val="1"/>
        </w:rPr>
      </w:pPr>
      <w:r w:rsidDel="00000000" w:rsidR="00000000" w:rsidRPr="00000000">
        <w:rPr>
          <w:rtl w:val="0"/>
        </w:rPr>
      </w:r>
    </w:p>
    <w:p w:rsidR="00000000" w:rsidDel="00000000" w:rsidP="00000000" w:rsidRDefault="00000000" w:rsidRPr="00000000" w14:paraId="00000017">
      <w:pPr>
        <w:spacing w:line="360" w:lineRule="auto"/>
        <w:jc w:val="both"/>
        <w:rPr>
          <w:b w:val="1"/>
          <w:bCs w:val="1"/>
        </w:rPr>
      </w:pPr>
      <w:r w:rsidDel="00000000" w:rsidR="00000000" w:rsidRPr="00000000">
        <w:rPr>
          <w:rtl w:val="0"/>
        </w:rPr>
      </w:r>
    </w:p>
    <w:p w:rsidR="00000000" w:rsidDel="00000000" w:rsidP="00000000" w:rsidRDefault="00000000" w:rsidRPr="00000000" w14:paraId="00000018">
      <w:pPr>
        <w:spacing w:line="360" w:lineRule="auto"/>
        <w:jc w:val="both"/>
        <w:rPr>
          <w:b w:val="1"/>
          <w:bCs w:val="1"/>
        </w:rPr>
      </w:pPr>
      <w:r w:rsidDel="00000000" w:rsidR="00000000" w:rsidRPr="00000000">
        <w:rPr>
          <w:rtl w:val="0"/>
        </w:rPr>
      </w:r>
    </w:p>
    <w:p w:rsidR="00000000" w:rsidDel="00000000" w:rsidP="00000000" w:rsidRDefault="00000000" w:rsidRPr="00000000" w14:paraId="00000019">
      <w:pPr>
        <w:spacing w:line="360" w:lineRule="auto"/>
        <w:jc w:val="both"/>
        <w:rPr>
          <w:b w:val="1"/>
          <w:bCs w:val="1"/>
        </w:rPr>
      </w:pPr>
      <w:r w:rsidDel="00000000" w:rsidR="00000000" w:rsidRPr="00000000">
        <w:rPr>
          <w:rtl w:val="0"/>
        </w:rPr>
      </w:r>
    </w:p>
    <w:p w:rsidR="00000000" w:rsidDel="00000000" w:rsidP="00000000" w:rsidRDefault="00000000" w:rsidRPr="00000000" w14:paraId="0000001A">
      <w:pPr>
        <w:spacing w:line="360" w:lineRule="auto"/>
        <w:jc w:val="both"/>
        <w:rPr>
          <w:b w:val="1"/>
          <w:bCs w:val="1"/>
        </w:rPr>
      </w:pPr>
      <w:r w:rsidDel="00000000" w:rsidR="00000000" w:rsidRPr="00000000">
        <w:rPr>
          <w:rtl w:val="0"/>
        </w:rPr>
      </w:r>
    </w:p>
    <w:p w:rsidR="00000000" w:rsidDel="00000000" w:rsidP="00000000" w:rsidRDefault="00000000" w:rsidRPr="00000000" w14:paraId="0000001B">
      <w:pPr>
        <w:spacing w:line="360" w:lineRule="auto"/>
        <w:jc w:val="both"/>
        <w:rPr>
          <w:b w:val="1"/>
          <w:bCs w:val="1"/>
        </w:rPr>
      </w:pPr>
      <w:r w:rsidDel="00000000" w:rsidR="00000000" w:rsidRPr="00000000">
        <w:rPr>
          <w:rtl w:val="0"/>
        </w:rPr>
      </w:r>
    </w:p>
    <w:p w:rsidR="00000000" w:rsidDel="00000000" w:rsidP="00000000" w:rsidRDefault="00000000" w:rsidRPr="00000000" w14:paraId="0000001C">
      <w:pPr>
        <w:spacing w:line="360" w:lineRule="auto"/>
        <w:jc w:val="both"/>
        <w:rPr>
          <w:b w:val="1"/>
          <w:bCs w:val="1"/>
        </w:rPr>
      </w:pPr>
      <w:r w:rsidDel="00000000" w:rsidR="00000000" w:rsidRPr="00000000">
        <w:rPr>
          <w:rtl w:val="0"/>
        </w:rPr>
      </w:r>
    </w:p>
    <w:p w:rsidR="00000000" w:rsidDel="00000000" w:rsidP="00000000" w:rsidRDefault="00000000" w:rsidRPr="00000000" w14:paraId="0000001D">
      <w:pPr>
        <w:spacing w:line="360" w:lineRule="auto"/>
        <w:jc w:val="both"/>
        <w:rPr>
          <w:b w:val="1"/>
          <w:bCs w:val="1"/>
        </w:rPr>
      </w:pPr>
      <w:r w:rsidDel="00000000" w:rsidR="00000000" w:rsidRPr="00000000">
        <w:rPr>
          <w:rtl w:val="0"/>
        </w:rPr>
      </w:r>
    </w:p>
    <w:p w:rsidR="00000000" w:rsidDel="00000000" w:rsidP="00000000" w:rsidRDefault="00000000" w:rsidRPr="00000000" w14:paraId="0000001E">
      <w:pPr>
        <w:spacing w:line="360" w:lineRule="auto"/>
        <w:jc w:val="both"/>
        <w:rPr>
          <w:b w:val="1"/>
          <w:bCs w:val="1"/>
        </w:rPr>
      </w:pPr>
      <w:r w:rsidDel="00000000" w:rsidR="00000000" w:rsidRPr="00000000">
        <w:rPr>
          <w:rtl w:val="0"/>
        </w:rPr>
      </w:r>
    </w:p>
    <w:p w:rsidR="00000000" w:rsidDel="00000000" w:rsidP="00000000" w:rsidRDefault="00000000" w:rsidRPr="00000000" w14:paraId="0000001F">
      <w:pPr>
        <w:spacing w:line="360" w:lineRule="auto"/>
        <w:jc w:val="both"/>
        <w:rPr>
          <w:b w:val="1"/>
          <w:bCs w:val="1"/>
        </w:rPr>
      </w:pPr>
      <w:r w:rsidDel="00000000" w:rsidR="00000000" w:rsidRPr="00000000">
        <w:rPr>
          <w:rtl w:val="0"/>
        </w:rPr>
      </w:r>
    </w:p>
    <w:p w:rsidR="00000000" w:rsidDel="00000000" w:rsidP="00000000" w:rsidRDefault="00000000" w:rsidRPr="00000000" w14:paraId="00000020">
      <w:pPr>
        <w:spacing w:line="360" w:lineRule="auto"/>
        <w:jc w:val="both"/>
        <w:rPr>
          <w:b w:val="1"/>
          <w:bCs w:val="1"/>
        </w:rPr>
      </w:pP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658861299"/>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bCs w:val="0"/>
              <w:i w:val="1"/>
              <w:iCs w:val="1"/>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fzn9hg2wt3p9">
            <w:r w:rsidDel="00000000" w:rsidR="00000000" w:rsidRPr="00000000">
              <w:rPr>
                <w:rFonts w:ascii="Calibri" w:cs="Calibri" w:eastAsia="Calibri" w:hAnsi="Calibri"/>
                <w:b w:val="0"/>
                <w:bCs w:val="0"/>
                <w:i w:val="1"/>
                <w:iCs w:val="1"/>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bCs w:val="0"/>
              <w:i w:val="1"/>
              <w:iCs w:val="1"/>
              <w:smallCaps w:val="0"/>
              <w:strike w:val="0"/>
              <w:color w:val="000000"/>
              <w:sz w:val="24"/>
              <w:szCs w:val="24"/>
              <w:u w:val="none"/>
              <w:shd w:fill="auto" w:val="clear"/>
              <w:vertAlign w:val="baseline"/>
            </w:rPr>
          </w:pPr>
          <w:hyperlink w:anchor="_heading=h.icn9utpksj6u">
            <w:r w:rsidDel="00000000" w:rsidR="00000000" w:rsidRPr="00000000">
              <w:rPr>
                <w:rFonts w:ascii="Calibri" w:cs="Calibri" w:eastAsia="Calibri" w:hAnsi="Calibri"/>
                <w:b w:val="0"/>
                <w:bCs w:val="0"/>
                <w:i w:val="1"/>
                <w:iCs w:val="1"/>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unspf8q2akyt">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Approaches to Measure and Monitor Stroke</w:t>
              <w:tab/>
              <w:t xml:space="preserve">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gdeiieiuqqb5">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Control and Prevention of Stroke</w:t>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5ty5l1llusv2">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Consequences of Stroke on Individuals and Communities</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6bb561t1skb">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Social Care Support Services</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0"/>
              <w:bCs w:val="0"/>
              <w:i w:val="1"/>
              <w:iCs w:val="1"/>
              <w:smallCaps w:val="0"/>
              <w:strike w:val="0"/>
              <w:color w:val="000000"/>
              <w:sz w:val="24"/>
              <w:szCs w:val="24"/>
              <w:u w:val="none"/>
              <w:shd w:fill="auto" w:val="clear"/>
              <w:vertAlign w:val="baseline"/>
            </w:rPr>
          </w:pPr>
          <w:hyperlink w:anchor="_heading=h.kqiau31921ck">
            <w:r w:rsidDel="00000000" w:rsidR="00000000" w:rsidRPr="00000000">
              <w:rPr>
                <w:rFonts w:ascii="Calibri" w:cs="Calibri" w:eastAsia="Calibri" w:hAnsi="Calibri"/>
                <w:b w:val="0"/>
                <w:bCs w:val="0"/>
                <w:i w:val="1"/>
                <w:iCs w:val="1"/>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40" w:lineRule="auto"/>
            <w:ind w:left="0" w:right="0" w:firstLine="0"/>
            <w:jc w:val="left"/>
            <w:rPr>
              <w:rFonts w:ascii="Calibri" w:cs="Calibri" w:eastAsia="Calibri" w:hAnsi="Calibri"/>
              <w:b w:val="1"/>
              <w:bCs w:val="1"/>
              <w:i w:val="1"/>
              <w:iCs w:val="1"/>
              <w:smallCaps w:val="0"/>
              <w:strike w:val="0"/>
              <w:color w:val="000000"/>
              <w:sz w:val="24"/>
              <w:szCs w:val="24"/>
              <w:u w:val="none"/>
              <w:shd w:fill="auto" w:val="clear"/>
              <w:vertAlign w:val="baseline"/>
            </w:rPr>
          </w:pPr>
          <w:hyperlink w:anchor="_heading=h.gi7suu2ofikg">
            <w:r w:rsidDel="00000000" w:rsidR="00000000" w:rsidRPr="00000000">
              <w:rPr>
                <w:rFonts w:ascii="Calibri" w:cs="Calibri" w:eastAsia="Calibri" w:hAnsi="Calibri"/>
                <w:b w:val="0"/>
                <w:bCs w:val="0"/>
                <w:i w:val="1"/>
                <w:iCs w:val="1"/>
                <w:smallCaps w:val="0"/>
                <w:strike w:val="0"/>
                <w:color w:val="000000"/>
                <w:sz w:val="24"/>
                <w:szCs w:val="24"/>
                <w:u w:val="none"/>
                <w:shd w:fill="auto" w:val="clear"/>
                <w:vertAlign w:val="baseline"/>
                <w:rtl w:val="0"/>
              </w:rPr>
              <w:t xml:space="preserve">Reference</w:t>
              <w:tab/>
              <w:t xml:space="preserve">9</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360" w:lineRule="auto"/>
        <w:jc w:val="both"/>
        <w:rPr>
          <w:b w:val="1"/>
          <w:bCs w:val="1"/>
        </w:rPr>
      </w:pPr>
      <w:r w:rsidDel="00000000" w:rsidR="00000000" w:rsidRPr="00000000">
        <w:rPr>
          <w:rtl w:val="0"/>
        </w:rPr>
      </w:r>
    </w:p>
    <w:p w:rsidR="00000000" w:rsidDel="00000000" w:rsidP="00000000" w:rsidRDefault="00000000" w:rsidRPr="00000000" w14:paraId="0000002C">
      <w:pPr>
        <w:spacing w:line="360" w:lineRule="auto"/>
        <w:jc w:val="both"/>
        <w:rPr>
          <w:b w:val="1"/>
          <w:bCs w:val="1"/>
        </w:rPr>
      </w:pPr>
      <w:r w:rsidDel="00000000" w:rsidR="00000000" w:rsidRPr="00000000">
        <w:rPr>
          <w:rtl w:val="0"/>
        </w:rPr>
      </w:r>
    </w:p>
    <w:p w:rsidR="00000000" w:rsidDel="00000000" w:rsidP="00000000" w:rsidRDefault="00000000" w:rsidRPr="00000000" w14:paraId="0000002D">
      <w:pPr>
        <w:spacing w:line="360" w:lineRule="auto"/>
        <w:jc w:val="both"/>
        <w:rPr>
          <w:b w:val="1"/>
          <w:bCs w:val="1"/>
        </w:rPr>
      </w:pPr>
      <w:r w:rsidDel="00000000" w:rsidR="00000000" w:rsidRPr="00000000">
        <w:rPr>
          <w:rtl w:val="0"/>
        </w:rPr>
      </w:r>
    </w:p>
    <w:p w:rsidR="00000000" w:rsidDel="00000000" w:rsidP="00000000" w:rsidRDefault="00000000" w:rsidRPr="00000000" w14:paraId="0000002E">
      <w:pPr>
        <w:spacing w:line="360" w:lineRule="auto"/>
        <w:jc w:val="both"/>
        <w:rPr>
          <w:b w:val="1"/>
          <w:bCs w:val="1"/>
        </w:rPr>
      </w:pPr>
      <w:r w:rsidDel="00000000" w:rsidR="00000000" w:rsidRPr="00000000">
        <w:rPr>
          <w:rtl w:val="0"/>
        </w:rPr>
      </w:r>
    </w:p>
    <w:p w:rsidR="00000000" w:rsidDel="00000000" w:rsidP="00000000" w:rsidRDefault="00000000" w:rsidRPr="00000000" w14:paraId="0000002F">
      <w:pPr>
        <w:spacing w:line="360" w:lineRule="auto"/>
        <w:jc w:val="both"/>
        <w:rPr>
          <w:b w:val="1"/>
          <w:bCs w:val="1"/>
        </w:rPr>
      </w:pPr>
      <w:r w:rsidDel="00000000" w:rsidR="00000000" w:rsidRPr="00000000">
        <w:rPr>
          <w:rtl w:val="0"/>
        </w:rPr>
      </w:r>
    </w:p>
    <w:p w:rsidR="00000000" w:rsidDel="00000000" w:rsidP="00000000" w:rsidRDefault="00000000" w:rsidRPr="00000000" w14:paraId="00000030">
      <w:pPr>
        <w:spacing w:line="360" w:lineRule="auto"/>
        <w:jc w:val="both"/>
        <w:rPr>
          <w:b w:val="1"/>
          <w:bCs w:val="1"/>
        </w:rPr>
      </w:pPr>
      <w:r w:rsidDel="00000000" w:rsidR="00000000" w:rsidRPr="00000000">
        <w:rPr>
          <w:rtl w:val="0"/>
        </w:rPr>
      </w:r>
    </w:p>
    <w:p w:rsidR="00000000" w:rsidDel="00000000" w:rsidP="00000000" w:rsidRDefault="00000000" w:rsidRPr="00000000" w14:paraId="00000031">
      <w:pPr>
        <w:spacing w:line="360" w:lineRule="auto"/>
        <w:jc w:val="both"/>
        <w:rPr>
          <w:b w:val="1"/>
          <w:bCs w:val="1"/>
        </w:rPr>
      </w:pPr>
      <w:r w:rsidDel="00000000" w:rsidR="00000000" w:rsidRPr="00000000">
        <w:rPr>
          <w:rtl w:val="0"/>
        </w:rPr>
      </w:r>
    </w:p>
    <w:p w:rsidR="00000000" w:rsidDel="00000000" w:rsidP="00000000" w:rsidRDefault="00000000" w:rsidRPr="00000000" w14:paraId="00000032">
      <w:pPr>
        <w:spacing w:line="360" w:lineRule="auto"/>
        <w:jc w:val="both"/>
        <w:rPr>
          <w:b w:val="1"/>
          <w:bCs w:val="1"/>
        </w:rPr>
      </w:pPr>
      <w:r w:rsidDel="00000000" w:rsidR="00000000" w:rsidRPr="00000000">
        <w:rPr>
          <w:rtl w:val="0"/>
        </w:rPr>
      </w:r>
    </w:p>
    <w:p w:rsidR="00000000" w:rsidDel="00000000" w:rsidP="00000000" w:rsidRDefault="00000000" w:rsidRPr="00000000" w14:paraId="00000033">
      <w:pPr>
        <w:spacing w:line="360" w:lineRule="auto"/>
        <w:jc w:val="both"/>
        <w:rPr>
          <w:b w:val="1"/>
          <w:bCs w:val="1"/>
        </w:rPr>
      </w:pPr>
      <w:r w:rsidDel="00000000" w:rsidR="00000000" w:rsidRPr="00000000">
        <w:rPr>
          <w:rtl w:val="0"/>
        </w:rPr>
      </w:r>
    </w:p>
    <w:p w:rsidR="00000000" w:rsidDel="00000000" w:rsidP="00000000" w:rsidRDefault="00000000" w:rsidRPr="00000000" w14:paraId="00000034">
      <w:pPr>
        <w:spacing w:line="360" w:lineRule="auto"/>
        <w:jc w:val="both"/>
        <w:rPr>
          <w:b w:val="1"/>
          <w:bCs w:val="1"/>
        </w:rPr>
      </w:pPr>
      <w:r w:rsidDel="00000000" w:rsidR="00000000" w:rsidRPr="00000000">
        <w:rPr>
          <w:rtl w:val="0"/>
        </w:rPr>
      </w:r>
    </w:p>
    <w:p w:rsidR="00000000" w:rsidDel="00000000" w:rsidP="00000000" w:rsidRDefault="00000000" w:rsidRPr="00000000" w14:paraId="00000035">
      <w:pPr>
        <w:spacing w:line="360" w:lineRule="auto"/>
        <w:jc w:val="both"/>
        <w:rPr>
          <w:b w:val="1"/>
          <w:bCs w:val="1"/>
        </w:rPr>
      </w:pPr>
      <w:r w:rsidDel="00000000" w:rsidR="00000000" w:rsidRPr="00000000">
        <w:rPr>
          <w:rtl w:val="0"/>
        </w:rPr>
      </w:r>
    </w:p>
    <w:p w:rsidR="00000000" w:rsidDel="00000000" w:rsidP="00000000" w:rsidRDefault="00000000" w:rsidRPr="00000000" w14:paraId="00000036">
      <w:pPr>
        <w:spacing w:line="360" w:lineRule="auto"/>
        <w:jc w:val="both"/>
        <w:rPr>
          <w:b w:val="1"/>
          <w:bCs w:val="1"/>
        </w:rPr>
      </w:pPr>
      <w:r w:rsidDel="00000000" w:rsidR="00000000" w:rsidRPr="00000000">
        <w:rPr>
          <w:rtl w:val="0"/>
        </w:rPr>
      </w:r>
    </w:p>
    <w:p w:rsidR="00000000" w:rsidDel="00000000" w:rsidP="00000000" w:rsidRDefault="00000000" w:rsidRPr="00000000" w14:paraId="00000037">
      <w:pPr>
        <w:spacing w:line="360" w:lineRule="auto"/>
        <w:jc w:val="both"/>
        <w:rPr>
          <w:b w:val="1"/>
          <w:bCs w:val="1"/>
        </w:rPr>
      </w:pPr>
      <w:r w:rsidDel="00000000" w:rsidR="00000000" w:rsidRPr="00000000">
        <w:rPr>
          <w:rtl w:val="0"/>
        </w:rPr>
      </w:r>
    </w:p>
    <w:p w:rsidR="00000000" w:rsidDel="00000000" w:rsidP="00000000" w:rsidRDefault="00000000" w:rsidRPr="00000000" w14:paraId="00000038">
      <w:pPr>
        <w:spacing w:line="360" w:lineRule="auto"/>
        <w:jc w:val="both"/>
        <w:rPr>
          <w:b w:val="1"/>
          <w:bCs w:val="1"/>
        </w:rPr>
      </w:pPr>
      <w:r w:rsidDel="00000000" w:rsidR="00000000" w:rsidRPr="00000000">
        <w:rPr>
          <w:rtl w:val="0"/>
        </w:rPr>
      </w:r>
    </w:p>
    <w:p w:rsidR="00000000" w:rsidDel="00000000" w:rsidP="00000000" w:rsidRDefault="00000000" w:rsidRPr="00000000" w14:paraId="00000039">
      <w:pPr>
        <w:spacing w:line="360" w:lineRule="auto"/>
        <w:jc w:val="both"/>
        <w:rPr>
          <w:b w:val="1"/>
          <w:bCs w:val="1"/>
        </w:rPr>
      </w:pPr>
      <w:r w:rsidDel="00000000" w:rsidR="00000000" w:rsidRPr="00000000">
        <w:rPr>
          <w:rtl w:val="0"/>
        </w:rPr>
      </w:r>
    </w:p>
    <w:p w:rsidR="00000000" w:rsidDel="00000000" w:rsidP="00000000" w:rsidRDefault="00000000" w:rsidRPr="00000000" w14:paraId="0000003A">
      <w:pPr>
        <w:spacing w:line="360" w:lineRule="auto"/>
        <w:jc w:val="both"/>
        <w:rPr>
          <w:b w:val="1"/>
          <w:bCs w:val="1"/>
        </w:rPr>
      </w:pPr>
      <w:r w:rsidDel="00000000" w:rsidR="00000000" w:rsidRPr="00000000">
        <w:rPr>
          <w:rtl w:val="0"/>
        </w:rPr>
      </w:r>
    </w:p>
    <w:p w:rsidR="00000000" w:rsidDel="00000000" w:rsidP="00000000" w:rsidRDefault="00000000" w:rsidRPr="00000000" w14:paraId="0000003B">
      <w:pPr>
        <w:spacing w:line="360" w:lineRule="auto"/>
        <w:jc w:val="both"/>
        <w:rPr>
          <w:b w:val="1"/>
          <w:bCs w:val="1"/>
        </w:rPr>
      </w:pPr>
      <w:r w:rsidDel="00000000" w:rsidR="00000000" w:rsidRPr="00000000">
        <w:rPr>
          <w:rtl w:val="0"/>
        </w:rPr>
      </w:r>
    </w:p>
    <w:p w:rsidR="00000000" w:rsidDel="00000000" w:rsidP="00000000" w:rsidRDefault="00000000" w:rsidRPr="00000000" w14:paraId="0000003C">
      <w:pPr>
        <w:spacing w:line="360" w:lineRule="auto"/>
        <w:jc w:val="both"/>
        <w:rPr>
          <w:b w:val="1"/>
          <w:bCs w:val="1"/>
        </w:rPr>
      </w:pPr>
      <w:r w:rsidDel="00000000" w:rsidR="00000000" w:rsidRPr="00000000">
        <w:rPr>
          <w:rtl w:val="0"/>
        </w:rPr>
      </w:r>
    </w:p>
    <w:p w:rsidR="00000000" w:rsidDel="00000000" w:rsidP="00000000" w:rsidRDefault="00000000" w:rsidRPr="00000000" w14:paraId="0000003D">
      <w:pPr>
        <w:spacing w:line="360" w:lineRule="auto"/>
        <w:jc w:val="both"/>
        <w:rPr>
          <w:b w:val="1"/>
          <w:bCs w:val="1"/>
        </w:rPr>
      </w:pPr>
      <w:r w:rsidDel="00000000" w:rsidR="00000000" w:rsidRPr="00000000">
        <w:rPr>
          <w:rtl w:val="0"/>
        </w:rPr>
      </w:r>
    </w:p>
    <w:p w:rsidR="00000000" w:rsidDel="00000000" w:rsidP="00000000" w:rsidRDefault="00000000" w:rsidRPr="00000000" w14:paraId="0000003E">
      <w:pPr>
        <w:spacing w:line="360" w:lineRule="auto"/>
        <w:jc w:val="both"/>
        <w:rPr>
          <w:b w:val="1"/>
          <w:bCs w:val="1"/>
        </w:rPr>
      </w:pPr>
      <w:r w:rsidDel="00000000" w:rsidR="00000000" w:rsidRPr="00000000">
        <w:rPr>
          <w:rtl w:val="0"/>
        </w:rPr>
      </w:r>
    </w:p>
    <w:p w:rsidR="00000000" w:rsidDel="00000000" w:rsidP="00000000" w:rsidRDefault="00000000" w:rsidRPr="00000000" w14:paraId="0000003F">
      <w:pPr>
        <w:pStyle w:val="Heading1"/>
        <w:spacing w:line="360" w:lineRule="auto"/>
        <w:rPr>
          <w:b w:val="1"/>
          <w:bCs w:val="1"/>
        </w:rPr>
      </w:pPr>
      <w:r w:rsidDel="00000000" w:rsidR="00000000" w:rsidRPr="00000000">
        <w:rPr>
          <w:rtl w:val="0"/>
        </w:rPr>
      </w:r>
    </w:p>
    <w:p w:rsidR="00000000" w:rsidDel="00000000" w:rsidP="00000000" w:rsidRDefault="00000000" w:rsidRPr="00000000" w14:paraId="00000040">
      <w:pPr>
        <w:pStyle w:val="Heading1"/>
        <w:spacing w:line="360" w:lineRule="auto"/>
        <w:rPr>
          <w:b w:val="1"/>
          <w:bCs w:val="1"/>
        </w:rPr>
      </w:pPr>
      <w:bookmarkStart w:colFirst="0" w:colLast="0" w:name="_heading=h.fzn9hg2wt3p9" w:id="0"/>
      <w:bookmarkEnd w:id="0"/>
      <w:r w:rsidDel="00000000" w:rsidR="00000000" w:rsidRPr="00000000">
        <w:rPr>
          <w:b w:val="1"/>
          <w:bCs w:val="1"/>
          <w:rtl w:val="0"/>
        </w:rPr>
        <w:t xml:space="preserve">Introduction</w:t>
      </w:r>
    </w:p>
    <w:p w:rsidR="00000000" w:rsidDel="00000000" w:rsidP="00000000" w:rsidRDefault="00000000" w:rsidRPr="00000000" w14:paraId="00000041">
      <w:pPr>
        <w:spacing w:line="360" w:lineRule="auto"/>
        <w:jc w:val="both"/>
        <w:rPr/>
      </w:pPr>
      <w:r w:rsidDel="00000000" w:rsidR="00000000" w:rsidRPr="00000000">
        <w:rPr>
          <w:rtl w:val="0"/>
        </w:rPr>
        <w:t xml:space="preserve">Stroke is a severe health issue and happens when the blood flow to a section of the brain is disrupted, causing brain cells to be damaged or die (WHO, 2025). Two major types exist, namely ischaemic stroke (blockage of blood vessels) and haemorrhagic stroke (blood in the brain). The main signs and symptoms are unexpected weakness or numbness (especially on one side of the body), speech problems, vision problems, dizziness, and terrible headaches.</w:t>
      </w:r>
    </w:p>
    <w:p w:rsidR="00000000" w:rsidDel="00000000" w:rsidP="00000000" w:rsidRDefault="00000000" w:rsidRPr="00000000" w14:paraId="00000042">
      <w:pPr>
        <w:spacing w:line="360" w:lineRule="auto"/>
        <w:jc w:val="both"/>
        <w:rPr/>
      </w:pPr>
      <w:r w:rsidDel="00000000" w:rsidR="00000000" w:rsidRPr="00000000">
        <w:rPr>
          <w:rtl w:val="0"/>
        </w:rPr>
        <w:t xml:space="preserve">Stroke is a major health issue in the world. The World Health Organization (2023) estimates that about 12 million individuals have a stroke each year around the globe, and more than 6.5 million die. Stroke is a fourth killer disease in the UK, and it is estimated that every year, approximately 100,000 strokes are diagnosed in the country (Stroke Association, 2024). These statistics prove the seriousness and prevalence of stroke as a serious public health problem that demands effective monitoring, prevention, and management strategies.</w:t>
      </w:r>
    </w:p>
    <w:p w:rsidR="00000000" w:rsidDel="00000000" w:rsidP="00000000" w:rsidRDefault="00000000" w:rsidRPr="00000000" w14:paraId="00000043">
      <w:pPr>
        <w:keepNext w:val="1"/>
        <w:spacing w:line="360" w:lineRule="auto"/>
        <w:jc w:val="center"/>
        <w:rPr/>
      </w:pPr>
      <w:r w:rsidDel="00000000" w:rsidR="00000000" w:rsidRPr="00000000">
        <w:rPr/>
        <w:drawing>
          <wp:inline distB="0" distT="0" distL="0" distR="0">
            <wp:extent cx="5731510" cy="3221355"/>
            <wp:effectExtent b="0" l="0" r="0" t="0"/>
            <wp:docPr descr="Lived experience of stroke report | Stroke Association" id="1" name="image1.png"/>
            <a:graphic>
              <a:graphicData uri="http://schemas.openxmlformats.org/drawingml/2006/picture">
                <pic:pic>
                  <pic:nvPicPr>
                    <pic:cNvPr descr="Lived experience of stroke report | Stroke Association" id="0" name="image1.png"/>
                    <pic:cNvPicPr preferRelativeResize="0"/>
                  </pic:nvPicPr>
                  <pic:blipFill>
                    <a:blip r:embed="rId7"/>
                    <a:srcRect b="0" l="0" r="0" t="0"/>
                    <a:stretch>
                      <a:fillRect/>
                    </a:stretch>
                  </pic:blipFill>
                  <pic:spPr>
                    <a:xfrm>
                      <a:off x="0" y="0"/>
                      <a:ext cx="5731510" cy="3221355"/>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1: Stroke Overview</w:t>
      </w:r>
    </w:p>
    <w:p w:rsidR="00000000" w:rsidDel="00000000" w:rsidP="00000000" w:rsidRDefault="00000000" w:rsidRPr="00000000" w14:paraId="00000045">
      <w:pPr>
        <w:jc w:val="center"/>
        <w:rPr/>
      </w:pPr>
      <w:r w:rsidDel="00000000" w:rsidR="00000000" w:rsidRPr="00000000">
        <w:rPr>
          <w:rtl w:val="0"/>
        </w:rPr>
        <w:t xml:space="preserve">(Source: Stroke Association)</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pStyle w:val="Heading1"/>
        <w:spacing w:line="360" w:lineRule="auto"/>
        <w:rPr>
          <w:b w:val="1"/>
          <w:bCs w:val="1"/>
        </w:rPr>
      </w:pPr>
      <w:bookmarkStart w:colFirst="0" w:colLast="0" w:name="_heading=h.icn9utpksj6u" w:id="1"/>
      <w:bookmarkEnd w:id="1"/>
      <w:r w:rsidDel="00000000" w:rsidR="00000000" w:rsidRPr="00000000">
        <w:rPr>
          <w:b w:val="1"/>
          <w:bCs w:val="1"/>
          <w:rtl w:val="0"/>
        </w:rPr>
        <w:t xml:space="preserve">Main Body </w:t>
      </w:r>
    </w:p>
    <w:p w:rsidR="00000000" w:rsidDel="00000000" w:rsidP="00000000" w:rsidRDefault="00000000" w:rsidRPr="00000000" w14:paraId="00000048">
      <w:pPr>
        <w:pStyle w:val="Heading2"/>
        <w:spacing w:line="360" w:lineRule="auto"/>
        <w:rPr>
          <w:b w:val="1"/>
          <w:bCs w:val="1"/>
        </w:rPr>
      </w:pPr>
      <w:bookmarkStart w:colFirst="0" w:colLast="0" w:name="_heading=h.unspf8q2akyt" w:id="2"/>
      <w:bookmarkEnd w:id="2"/>
      <w:r w:rsidDel="00000000" w:rsidR="00000000" w:rsidRPr="00000000">
        <w:rPr>
          <w:b w:val="1"/>
          <w:bCs w:val="1"/>
          <w:rtl w:val="0"/>
        </w:rPr>
        <w:t xml:space="preserve">Approaches to Measure and Monitor Stroke</w:t>
      </w:r>
    </w:p>
    <w:p w:rsidR="00000000" w:rsidDel="00000000" w:rsidP="00000000" w:rsidRDefault="00000000" w:rsidRPr="00000000" w14:paraId="00000049">
      <w:pPr>
        <w:spacing w:line="360" w:lineRule="auto"/>
        <w:jc w:val="both"/>
        <w:rPr/>
      </w:pPr>
      <w:r w:rsidDel="00000000" w:rsidR="00000000" w:rsidRPr="00000000">
        <w:rPr>
          <w:rtl w:val="0"/>
        </w:rPr>
        <w:t xml:space="preserve">The importance of measuring and monitoring stroke is to determine its prevalence, risk factors, and enhance healthcare interventions. To monitor stroke incidence and outcome, public health organisations employ various methods.</w:t>
      </w:r>
    </w:p>
    <w:p w:rsidR="00000000" w:rsidDel="00000000" w:rsidP="00000000" w:rsidRDefault="00000000" w:rsidRPr="00000000" w14:paraId="0000004A">
      <w:pPr>
        <w:spacing w:line="360" w:lineRule="auto"/>
        <w:jc w:val="both"/>
        <w:rPr/>
      </w:pPr>
      <w:r w:rsidDel="00000000" w:rsidR="00000000" w:rsidRPr="00000000">
        <w:rPr>
          <w:rtl w:val="0"/>
        </w:rPr>
        <w:t xml:space="preserve">An important approach is through epidemiological surveillance, where data on stroke cases are collected and analysed. In the UK, there are organisations like Public Health England and the NHS, which have databases that document the incidence and mortality rates of strokes, and recovery results. These statistics assist policymakers in recognizing the trends and distributing the healthcare resources efficiently (Dimitra Panteli et al., 2025).</w:t>
      </w:r>
    </w:p>
    <w:p w:rsidR="00000000" w:rsidDel="00000000" w:rsidP="00000000" w:rsidRDefault="00000000" w:rsidRPr="00000000" w14:paraId="0000004B">
      <w:pPr>
        <w:spacing w:line="360" w:lineRule="auto"/>
        <w:jc w:val="both"/>
        <w:rPr/>
      </w:pPr>
      <w:r w:rsidDel="00000000" w:rsidR="00000000" w:rsidRPr="00000000">
        <w:rPr>
          <w:rtl w:val="0"/>
        </w:rPr>
        <w:t xml:space="preserve">The other notable strategy is the use of national stroke registries, including the Sentinel Stroke National Audit Programme (SSNAP). This programme gathers comprehensive clinical information of stroke patients, treatment history, and rehabilitation results. SSNAP facilitates comparison between hospitals as a means to enhance care quality and mortality rates.</w:t>
      </w:r>
    </w:p>
    <w:p w:rsidR="00000000" w:rsidDel="00000000" w:rsidP="00000000" w:rsidRDefault="00000000" w:rsidRPr="00000000" w14:paraId="0000004C">
      <w:pPr>
        <w:spacing w:line="360" w:lineRule="auto"/>
        <w:jc w:val="both"/>
        <w:rPr/>
      </w:pPr>
      <w:r w:rsidDel="00000000" w:rsidR="00000000" w:rsidRPr="00000000">
        <w:rPr>
          <w:rtl w:val="0"/>
        </w:rPr>
        <w:t xml:space="preserve">The use of screening and risk assessment instruments is also very common to track stroke risk. The Framingham Stroke Risk Profile is a tool that measures such factors as age, blood pressure, smoking status, and diabetes. These tools help identify individuals at high risk and enable early interventions (Santangelo et al., 2026).</w:t>
      </w:r>
    </w:p>
    <w:p w:rsidR="00000000" w:rsidDel="00000000" w:rsidP="00000000" w:rsidRDefault="00000000" w:rsidRPr="00000000" w14:paraId="0000004D">
      <w:pPr>
        <w:spacing w:line="360" w:lineRule="auto"/>
        <w:jc w:val="both"/>
        <w:rPr/>
      </w:pPr>
      <w:r w:rsidDel="00000000" w:rsidR="00000000" w:rsidRPr="00000000">
        <w:rPr>
          <w:rtl w:val="0"/>
        </w:rPr>
        <w:t xml:space="preserve">Also, the future trends are predicted using population health surveys and statistical modelling. As an example, the Global Burden of Disease Study is a source of detailed estimates of stroke incidence and disability-adjusted life years (DALYs) that governments can use to plan long-term healthcare strategies (Zhang et al., 2025).</w:t>
      </w:r>
    </w:p>
    <w:p w:rsidR="00000000" w:rsidDel="00000000" w:rsidP="00000000" w:rsidRDefault="00000000" w:rsidRPr="00000000" w14:paraId="0000004E">
      <w:pPr>
        <w:spacing w:line="360" w:lineRule="auto"/>
        <w:jc w:val="both"/>
        <w:rPr/>
      </w:pPr>
      <w:r w:rsidDel="00000000" w:rsidR="00000000" w:rsidRPr="00000000">
        <w:rPr>
          <w:rtl w:val="0"/>
        </w:rPr>
        <w:t xml:space="preserve">Generally, these strategies offer an integrated framework of stroke surveillance, which integrates real-time data gathering, risk evaluation, and prediction modelling to support population health-related choices.</w:t>
      </w:r>
    </w:p>
    <w:p w:rsidR="00000000" w:rsidDel="00000000" w:rsidP="00000000" w:rsidRDefault="00000000" w:rsidRPr="00000000" w14:paraId="0000004F">
      <w:pPr>
        <w:spacing w:line="360" w:lineRule="auto"/>
        <w:jc w:val="both"/>
        <w:rPr>
          <w:b w:val="1"/>
          <w:bCs w:val="1"/>
          <w:i w:val="1"/>
          <w:iCs w:val="1"/>
        </w:rPr>
      </w:pPr>
      <w:r w:rsidDel="00000000" w:rsidR="00000000" w:rsidRPr="00000000">
        <w:rPr>
          <w:b w:val="1"/>
          <w:bCs w:val="1"/>
          <w:i w:val="1"/>
          <w:iCs w:val="1"/>
          <w:rtl w:val="0"/>
        </w:rPr>
        <w:t xml:space="preserve">Table 1: Key Approaches to Measuring and Monitoring Stroke</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3"/>
        <w:gridCol w:w="2274"/>
        <w:gridCol w:w="2255"/>
        <w:gridCol w:w="2284"/>
        <w:tblGridChange w:id="0">
          <w:tblGrid>
            <w:gridCol w:w="2203"/>
            <w:gridCol w:w="2274"/>
            <w:gridCol w:w="2255"/>
            <w:gridCol w:w="2284"/>
          </w:tblGrid>
        </w:tblGridChange>
      </w:tblGrid>
      <w:tr>
        <w:trPr>
          <w:cantSplit w:val="0"/>
          <w:trHeight w:val="441" w:hRule="atLeast"/>
          <w:tblHeader w:val="0"/>
        </w:trPr>
        <w:tc>
          <w:tcPr>
            <w:shd w:fill="bfbfbf" w:val="clear"/>
          </w:tcPr>
          <w:p w:rsidR="00000000" w:rsidDel="00000000" w:rsidP="00000000" w:rsidRDefault="00000000" w:rsidRPr="00000000" w14:paraId="00000050">
            <w:pPr>
              <w:jc w:val="center"/>
              <w:rPr>
                <w:b w:val="1"/>
                <w:bCs w:val="1"/>
              </w:rPr>
            </w:pPr>
            <w:r w:rsidDel="00000000" w:rsidR="00000000" w:rsidRPr="00000000">
              <w:rPr>
                <w:b w:val="1"/>
                <w:bCs w:val="1"/>
                <w:rtl w:val="0"/>
              </w:rPr>
              <w:t xml:space="preserve">Approach</w:t>
            </w:r>
          </w:p>
        </w:tc>
        <w:tc>
          <w:tcPr>
            <w:shd w:fill="bfbfbf" w:val="clear"/>
          </w:tcPr>
          <w:p w:rsidR="00000000" w:rsidDel="00000000" w:rsidP="00000000" w:rsidRDefault="00000000" w:rsidRPr="00000000" w14:paraId="00000051">
            <w:pPr>
              <w:jc w:val="center"/>
              <w:rPr>
                <w:b w:val="1"/>
                <w:bCs w:val="1"/>
              </w:rPr>
            </w:pPr>
            <w:r w:rsidDel="00000000" w:rsidR="00000000" w:rsidRPr="00000000">
              <w:rPr>
                <w:b w:val="1"/>
                <w:bCs w:val="1"/>
                <w:rtl w:val="0"/>
              </w:rPr>
              <w:t xml:space="preserve">Description</w:t>
            </w:r>
          </w:p>
        </w:tc>
        <w:tc>
          <w:tcPr>
            <w:shd w:fill="bfbfbf" w:val="clear"/>
          </w:tcPr>
          <w:p w:rsidR="00000000" w:rsidDel="00000000" w:rsidP="00000000" w:rsidRDefault="00000000" w:rsidRPr="00000000" w14:paraId="00000052">
            <w:pPr>
              <w:jc w:val="center"/>
              <w:rPr>
                <w:b w:val="1"/>
                <w:bCs w:val="1"/>
              </w:rPr>
            </w:pPr>
            <w:r w:rsidDel="00000000" w:rsidR="00000000" w:rsidRPr="00000000">
              <w:rPr>
                <w:b w:val="1"/>
                <w:bCs w:val="1"/>
                <w:rtl w:val="0"/>
              </w:rPr>
              <w:t xml:space="preserve">UK Example</w:t>
            </w:r>
          </w:p>
        </w:tc>
        <w:tc>
          <w:tcPr>
            <w:shd w:fill="bfbfbf" w:val="clear"/>
          </w:tcPr>
          <w:p w:rsidR="00000000" w:rsidDel="00000000" w:rsidP="00000000" w:rsidRDefault="00000000" w:rsidRPr="00000000" w14:paraId="00000053">
            <w:pPr>
              <w:jc w:val="center"/>
              <w:rPr>
                <w:b w:val="1"/>
                <w:bCs w:val="1"/>
              </w:rPr>
            </w:pPr>
            <w:r w:rsidDel="00000000" w:rsidR="00000000" w:rsidRPr="00000000">
              <w:rPr>
                <w:b w:val="1"/>
                <w:bCs w:val="1"/>
                <w:rtl w:val="0"/>
              </w:rPr>
              <w:t xml:space="preserve">Purpose</w:t>
            </w:r>
          </w:p>
        </w:tc>
      </w:tr>
      <w:tr>
        <w:trPr>
          <w:cantSplit w:val="0"/>
          <w:tblHeader w:val="0"/>
        </w:trPr>
        <w:tc>
          <w:tcPr/>
          <w:p w:rsidR="00000000" w:rsidDel="00000000" w:rsidP="00000000" w:rsidRDefault="00000000" w:rsidRPr="00000000" w14:paraId="00000054">
            <w:pPr>
              <w:rPr/>
            </w:pPr>
            <w:r w:rsidDel="00000000" w:rsidR="00000000" w:rsidRPr="00000000">
              <w:rPr>
                <w:rtl w:val="0"/>
              </w:rPr>
              <w:t xml:space="preserve">Epidemiological Surveillance</w:t>
            </w:r>
          </w:p>
        </w:tc>
        <w:tc>
          <w:tcPr/>
          <w:p w:rsidR="00000000" w:rsidDel="00000000" w:rsidP="00000000" w:rsidRDefault="00000000" w:rsidRPr="00000000" w14:paraId="00000055">
            <w:pPr>
              <w:rPr/>
            </w:pPr>
            <w:r w:rsidDel="00000000" w:rsidR="00000000" w:rsidRPr="00000000">
              <w:rPr>
                <w:rtl w:val="0"/>
              </w:rPr>
              <w:t xml:space="preserve">Continuous collection of stroke data</w:t>
            </w:r>
          </w:p>
        </w:tc>
        <w:tc>
          <w:tcPr/>
          <w:p w:rsidR="00000000" w:rsidDel="00000000" w:rsidP="00000000" w:rsidRDefault="00000000" w:rsidRPr="00000000" w14:paraId="00000056">
            <w:pPr>
              <w:rPr/>
            </w:pPr>
            <w:r w:rsidDel="00000000" w:rsidR="00000000" w:rsidRPr="00000000">
              <w:rPr>
                <w:rtl w:val="0"/>
              </w:rPr>
              <w:t xml:space="preserve">NHS &amp; Public Health England datasets</w:t>
            </w:r>
          </w:p>
        </w:tc>
        <w:tc>
          <w:tcPr/>
          <w:p w:rsidR="00000000" w:rsidDel="00000000" w:rsidP="00000000" w:rsidRDefault="00000000" w:rsidRPr="00000000" w14:paraId="00000057">
            <w:pPr>
              <w:rPr/>
            </w:pPr>
            <w:r w:rsidDel="00000000" w:rsidR="00000000" w:rsidRPr="00000000">
              <w:rPr>
                <w:rtl w:val="0"/>
              </w:rPr>
              <w:t xml:space="preserve">Identifies trends and incidence rates</w:t>
            </w:r>
          </w:p>
        </w:tc>
      </w:tr>
      <w:tr>
        <w:trPr>
          <w:cantSplit w:val="0"/>
          <w:tblHeader w:val="0"/>
        </w:trPr>
        <w:tc>
          <w:tcPr/>
          <w:p w:rsidR="00000000" w:rsidDel="00000000" w:rsidP="00000000" w:rsidRDefault="00000000" w:rsidRPr="00000000" w14:paraId="00000058">
            <w:pPr>
              <w:rPr/>
            </w:pPr>
            <w:r w:rsidDel="00000000" w:rsidR="00000000" w:rsidRPr="00000000">
              <w:rPr>
                <w:rtl w:val="0"/>
              </w:rPr>
              <w:t xml:space="preserve">Clinical Audit</w:t>
            </w:r>
          </w:p>
        </w:tc>
        <w:tc>
          <w:tcPr/>
          <w:p w:rsidR="00000000" w:rsidDel="00000000" w:rsidP="00000000" w:rsidRDefault="00000000" w:rsidRPr="00000000" w14:paraId="00000059">
            <w:pPr>
              <w:rPr/>
            </w:pPr>
            <w:r w:rsidDel="00000000" w:rsidR="00000000" w:rsidRPr="00000000">
              <w:rPr>
                <w:rtl w:val="0"/>
              </w:rPr>
              <w:t xml:space="preserve">Monitoring quality of care and outcomes</w:t>
            </w:r>
          </w:p>
        </w:tc>
        <w:tc>
          <w:tcPr/>
          <w:p w:rsidR="00000000" w:rsidDel="00000000" w:rsidP="00000000" w:rsidRDefault="00000000" w:rsidRPr="00000000" w14:paraId="0000005A">
            <w:pPr>
              <w:rPr/>
            </w:pPr>
            <w:r w:rsidDel="00000000" w:rsidR="00000000" w:rsidRPr="00000000">
              <w:rPr>
                <w:rtl w:val="0"/>
              </w:rPr>
              <w:t xml:space="preserve">SSNAP</w:t>
            </w:r>
          </w:p>
        </w:tc>
        <w:tc>
          <w:tcPr/>
          <w:p w:rsidR="00000000" w:rsidDel="00000000" w:rsidP="00000000" w:rsidRDefault="00000000" w:rsidRPr="00000000" w14:paraId="0000005B">
            <w:pPr>
              <w:rPr/>
            </w:pPr>
            <w:r w:rsidDel="00000000" w:rsidR="00000000" w:rsidRPr="00000000">
              <w:rPr>
                <w:rtl w:val="0"/>
              </w:rPr>
              <w:t xml:space="preserve">Improves hospital performance</w:t>
            </w:r>
          </w:p>
        </w:tc>
      </w:tr>
      <w:tr>
        <w:trPr>
          <w:cantSplit w:val="0"/>
          <w:tblHeader w:val="0"/>
        </w:trPr>
        <w:tc>
          <w:tcPr/>
          <w:p w:rsidR="00000000" w:rsidDel="00000000" w:rsidP="00000000" w:rsidRDefault="00000000" w:rsidRPr="00000000" w14:paraId="0000005C">
            <w:pPr>
              <w:rPr/>
            </w:pPr>
            <w:r w:rsidDel="00000000" w:rsidR="00000000" w:rsidRPr="00000000">
              <w:rPr>
                <w:rtl w:val="0"/>
              </w:rPr>
              <w:t xml:space="preserve">Risk Assessment Tools</w:t>
            </w:r>
          </w:p>
        </w:tc>
        <w:tc>
          <w:tcPr/>
          <w:p w:rsidR="00000000" w:rsidDel="00000000" w:rsidP="00000000" w:rsidRDefault="00000000" w:rsidRPr="00000000" w14:paraId="0000005D">
            <w:pPr>
              <w:rPr/>
            </w:pPr>
            <w:r w:rsidDel="00000000" w:rsidR="00000000" w:rsidRPr="00000000">
              <w:rPr>
                <w:rtl w:val="0"/>
              </w:rPr>
              <w:t xml:space="preserve">Predict individual stroke risk</w:t>
            </w:r>
          </w:p>
        </w:tc>
        <w:tc>
          <w:tcPr/>
          <w:p w:rsidR="00000000" w:rsidDel="00000000" w:rsidP="00000000" w:rsidRDefault="00000000" w:rsidRPr="00000000" w14:paraId="0000005E">
            <w:pPr>
              <w:rPr/>
            </w:pPr>
            <w:r w:rsidDel="00000000" w:rsidR="00000000" w:rsidRPr="00000000">
              <w:rPr>
                <w:rtl w:val="0"/>
              </w:rPr>
              <w:t xml:space="preserve">Framingham Risk Profile</w:t>
            </w:r>
          </w:p>
        </w:tc>
        <w:tc>
          <w:tcPr/>
          <w:p w:rsidR="00000000" w:rsidDel="00000000" w:rsidP="00000000" w:rsidRDefault="00000000" w:rsidRPr="00000000" w14:paraId="0000005F">
            <w:pPr>
              <w:rPr/>
            </w:pPr>
            <w:r w:rsidDel="00000000" w:rsidR="00000000" w:rsidRPr="00000000">
              <w:rPr>
                <w:rtl w:val="0"/>
              </w:rPr>
              <w:t xml:space="preserve">Early identification of high-risk groups</w:t>
            </w:r>
          </w:p>
        </w:tc>
      </w:tr>
      <w:tr>
        <w:trPr>
          <w:cantSplit w:val="0"/>
          <w:tblHeader w:val="0"/>
        </w:trPr>
        <w:tc>
          <w:tcPr/>
          <w:p w:rsidR="00000000" w:rsidDel="00000000" w:rsidP="00000000" w:rsidRDefault="00000000" w:rsidRPr="00000000" w14:paraId="00000060">
            <w:pPr>
              <w:rPr/>
            </w:pPr>
            <w:r w:rsidDel="00000000" w:rsidR="00000000" w:rsidRPr="00000000">
              <w:rPr>
                <w:rtl w:val="0"/>
              </w:rPr>
              <w:t xml:space="preserve">Population Health Modelling</w:t>
            </w:r>
          </w:p>
        </w:tc>
        <w:tc>
          <w:tcPr/>
          <w:p w:rsidR="00000000" w:rsidDel="00000000" w:rsidP="00000000" w:rsidRDefault="00000000" w:rsidRPr="00000000" w14:paraId="00000061">
            <w:pPr>
              <w:rPr/>
            </w:pPr>
            <w:r w:rsidDel="00000000" w:rsidR="00000000" w:rsidRPr="00000000">
              <w:rPr>
                <w:rtl w:val="0"/>
              </w:rPr>
              <w:t xml:space="preserve">Predicts disease burden</w:t>
            </w:r>
          </w:p>
        </w:tc>
        <w:tc>
          <w:tcPr/>
          <w:p w:rsidR="00000000" w:rsidDel="00000000" w:rsidP="00000000" w:rsidRDefault="00000000" w:rsidRPr="00000000" w14:paraId="00000062">
            <w:pPr>
              <w:rPr/>
            </w:pPr>
            <w:r w:rsidDel="00000000" w:rsidR="00000000" w:rsidRPr="00000000">
              <w:rPr>
                <w:rtl w:val="0"/>
              </w:rPr>
              <w:t xml:space="preserve">Global Burden of Disease Study</w:t>
            </w:r>
          </w:p>
        </w:tc>
        <w:tc>
          <w:tcPr/>
          <w:p w:rsidR="00000000" w:rsidDel="00000000" w:rsidP="00000000" w:rsidRDefault="00000000" w:rsidRPr="00000000" w14:paraId="00000063">
            <w:pPr>
              <w:rPr/>
            </w:pPr>
            <w:r w:rsidDel="00000000" w:rsidR="00000000" w:rsidRPr="00000000">
              <w:rPr>
                <w:rtl w:val="0"/>
              </w:rPr>
              <w:t xml:space="preserve">Supports long-term planning</w:t>
            </w:r>
          </w:p>
        </w:tc>
      </w:tr>
    </w:tbl>
    <w:p w:rsidR="00000000" w:rsidDel="00000000" w:rsidP="00000000" w:rsidRDefault="00000000" w:rsidRPr="00000000" w14:paraId="00000064">
      <w:pPr>
        <w:spacing w:line="360" w:lineRule="auto"/>
        <w:jc w:val="both"/>
        <w:rPr/>
      </w:pPr>
      <w:r w:rsidDel="00000000" w:rsidR="00000000" w:rsidRPr="00000000">
        <w:rPr>
          <w:rtl w:val="0"/>
        </w:rPr>
      </w:r>
    </w:p>
    <w:p w:rsidR="00000000" w:rsidDel="00000000" w:rsidP="00000000" w:rsidRDefault="00000000" w:rsidRPr="00000000" w14:paraId="00000065">
      <w:pPr>
        <w:pStyle w:val="Heading2"/>
        <w:spacing w:line="360" w:lineRule="auto"/>
        <w:rPr>
          <w:b w:val="1"/>
          <w:bCs w:val="1"/>
        </w:rPr>
      </w:pPr>
      <w:bookmarkStart w:colFirst="0" w:colLast="0" w:name="_heading=h.gdeiieiuqqb5" w:id="3"/>
      <w:bookmarkEnd w:id="3"/>
      <w:r w:rsidDel="00000000" w:rsidR="00000000" w:rsidRPr="00000000">
        <w:rPr>
          <w:b w:val="1"/>
          <w:bCs w:val="1"/>
          <w:rtl w:val="0"/>
        </w:rPr>
        <w:t xml:space="preserve">Control and Prevention of Stroke</w:t>
      </w:r>
    </w:p>
    <w:p w:rsidR="00000000" w:rsidDel="00000000" w:rsidP="00000000" w:rsidRDefault="00000000" w:rsidRPr="00000000" w14:paraId="00000066">
      <w:pPr>
        <w:spacing w:line="360" w:lineRule="auto"/>
        <w:jc w:val="both"/>
        <w:rPr/>
      </w:pPr>
      <w:r w:rsidDel="00000000" w:rsidR="00000000" w:rsidRPr="00000000">
        <w:rPr>
          <w:rtl w:val="0"/>
        </w:rPr>
        <w:t xml:space="preserve">Stroke control includes primary prevention (reducing the risk before a stroke) and secondary prevention (reducing the risk after a stroke).</w:t>
      </w:r>
    </w:p>
    <w:p w:rsidR="00000000" w:rsidDel="00000000" w:rsidP="00000000" w:rsidRDefault="00000000" w:rsidRPr="00000000" w14:paraId="00000067">
      <w:pPr>
        <w:spacing w:line="360" w:lineRule="auto"/>
        <w:jc w:val="both"/>
        <w:rPr/>
      </w:pPr>
      <w:r w:rsidDel="00000000" w:rsidR="00000000" w:rsidRPr="00000000">
        <w:rPr>
          <w:rtl w:val="0"/>
        </w:rPr>
        <w:t xml:space="preserve">Primary prevention aims at modifying the risk factors. The primary cause of stroke is high blood pressure (hypertension), and its management lowers the risk of stroke dramatically. Healthy lifestyles are promoted by public health campaigns, such as a healthy diet, physical exercise, quitting smoking, and alcohol reduction. The UK government, through its Change4Life programme, promotes healthier living by discouraging cardiovascular diseases such as stroke (Raleigh, Jefferies, and Wellings, 2022).</w:t>
      </w:r>
    </w:p>
    <w:p w:rsidR="00000000" w:rsidDel="00000000" w:rsidP="00000000" w:rsidRDefault="00000000" w:rsidRPr="00000000" w14:paraId="00000068">
      <w:pPr>
        <w:spacing w:line="360" w:lineRule="auto"/>
        <w:jc w:val="both"/>
        <w:rPr/>
      </w:pPr>
      <w:r w:rsidDel="00000000" w:rsidR="00000000" w:rsidRPr="00000000">
        <w:rPr>
          <w:rtl w:val="0"/>
        </w:rPr>
        <w:t xml:space="preserve">Medicalization is also very important. Antihypertensive medications, statins, and anticoagulants typically are prescribed to control such risk factors as high cholesterol and atrial fibrillation. These drugs are known to considerably decrease the risk of stroke. Secondary prevention targets patients who have suffered a stroke. This incorporates rehabilitation programmes, lifestyle changes, and continued medical care. For example, they can give patients antiplatelet therapy to prevent blood clots and physiotherapy to restore movement (Shahid, Kashif, and Shahid, 2023).</w:t>
      </w:r>
    </w:p>
    <w:p w:rsidR="00000000" w:rsidDel="00000000" w:rsidP="00000000" w:rsidRDefault="00000000" w:rsidRPr="00000000" w14:paraId="00000069">
      <w:pPr>
        <w:spacing w:line="360" w:lineRule="auto"/>
        <w:jc w:val="both"/>
        <w:rPr/>
      </w:pPr>
      <w:r w:rsidDel="00000000" w:rsidR="00000000" w:rsidRPr="00000000">
        <w:rPr>
          <w:rtl w:val="0"/>
        </w:rPr>
        <w:t xml:space="preserve">Stroke outcomes can also be controlled by emergency response systems. The FAST (Face, Arms, Speech, Time) campaign in the UK trains the community about the identification of stroke symptoms and requesting urgent medical attention. Thrombolysis is an early treatment that could help to minimize brain damage, but only if it is conducted within a specific time frame (Stroke Association, 2024).</w:t>
      </w:r>
    </w:p>
    <w:p w:rsidR="00000000" w:rsidDel="00000000" w:rsidP="00000000" w:rsidRDefault="00000000" w:rsidRPr="00000000" w14:paraId="0000006A">
      <w:pPr>
        <w:spacing w:line="360" w:lineRule="auto"/>
        <w:jc w:val="both"/>
        <w:rPr/>
      </w:pPr>
      <w:r w:rsidDel="00000000" w:rsidR="00000000" w:rsidRPr="00000000">
        <w:rPr>
          <w:rtl w:val="0"/>
        </w:rPr>
        <w:t xml:space="preserve">Moreover, interventions at the policy level, including smoking restrictions and sugar-cutting policies, can help to decrease risk factors at the population level. These interventions illustrate the effectiveness of public health policies in controlling the occurrence of stroke.</w:t>
      </w:r>
    </w:p>
    <w:p w:rsidR="00000000" w:rsidDel="00000000" w:rsidP="00000000" w:rsidRDefault="00000000" w:rsidRPr="00000000" w14:paraId="0000006B">
      <w:pPr>
        <w:keepNext w:val="1"/>
        <w:spacing w:line="360" w:lineRule="auto"/>
        <w:jc w:val="center"/>
        <w:rPr/>
      </w:pPr>
      <w:r w:rsidDel="00000000" w:rsidR="00000000" w:rsidRPr="00000000">
        <w:rPr/>
        <w:drawing>
          <wp:inline distB="0" distT="0" distL="0" distR="0">
            <wp:extent cx="5731510" cy="5686425"/>
            <wp:effectExtent b="0" l="0" r="0" t="0"/>
            <wp:docPr descr="Learn About Strokes, Risk Factors, and Prevention – Colorado Stroke  Advisory Board" id="3" name="image2.jpg"/>
            <a:graphic>
              <a:graphicData uri="http://schemas.openxmlformats.org/drawingml/2006/picture">
                <pic:pic>
                  <pic:nvPicPr>
                    <pic:cNvPr descr="Learn About Strokes, Risk Factors, and Prevention – Colorado Stroke  Advisory Board" id="0" name="image2.jpg"/>
                    <pic:cNvPicPr preferRelativeResize="0"/>
                  </pic:nvPicPr>
                  <pic:blipFill>
                    <a:blip r:embed="rId8"/>
                    <a:srcRect b="0" l="0" r="0" t="0"/>
                    <a:stretch>
                      <a:fillRect/>
                    </a:stretch>
                  </pic:blipFill>
                  <pic:spPr>
                    <a:xfrm>
                      <a:off x="0" y="0"/>
                      <a:ext cx="5731510" cy="5686425"/>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2: Control and Prevention of Stroke</w:t>
      </w:r>
    </w:p>
    <w:p w:rsidR="00000000" w:rsidDel="00000000" w:rsidP="00000000" w:rsidRDefault="00000000" w:rsidRPr="00000000" w14:paraId="0000006D">
      <w:pPr>
        <w:jc w:val="center"/>
        <w:rPr/>
      </w:pPr>
      <w:r w:rsidDel="00000000" w:rsidR="00000000" w:rsidRPr="00000000">
        <w:rPr>
          <w:rtl w:val="0"/>
        </w:rPr>
        <w:t xml:space="preserve">(Source: Colorado Stroke Advisory Board)</w:t>
      </w:r>
    </w:p>
    <w:p w:rsidR="00000000" w:rsidDel="00000000" w:rsidP="00000000" w:rsidRDefault="00000000" w:rsidRPr="00000000" w14:paraId="0000006E">
      <w:pPr>
        <w:pStyle w:val="Heading2"/>
        <w:spacing w:line="360" w:lineRule="auto"/>
        <w:rPr>
          <w:b w:val="1"/>
          <w:bCs w:val="1"/>
        </w:rPr>
      </w:pPr>
      <w:bookmarkStart w:colFirst="0" w:colLast="0" w:name="_heading=h.5ty5l1llusv2" w:id="4"/>
      <w:bookmarkEnd w:id="4"/>
      <w:r w:rsidDel="00000000" w:rsidR="00000000" w:rsidRPr="00000000">
        <w:rPr>
          <w:b w:val="1"/>
          <w:bCs w:val="1"/>
          <w:rtl w:val="0"/>
        </w:rPr>
        <w:t xml:space="preserve">Consequences of Stroke on Individuals and Communities</w:t>
      </w:r>
    </w:p>
    <w:p w:rsidR="00000000" w:rsidDel="00000000" w:rsidP="00000000" w:rsidRDefault="00000000" w:rsidRPr="00000000" w14:paraId="0000006F">
      <w:pPr>
        <w:spacing w:line="360" w:lineRule="auto"/>
        <w:jc w:val="both"/>
        <w:rPr/>
      </w:pPr>
      <w:r w:rsidDel="00000000" w:rsidR="00000000" w:rsidRPr="00000000">
        <w:rPr>
          <w:rtl w:val="0"/>
        </w:rPr>
        <w:t xml:space="preserve">The effect of stroke is physical, psychological, and social, not only on the individuals but also on families and communities (Seble Shewangizaw et al., 2023).</w:t>
      </w:r>
    </w:p>
    <w:p w:rsidR="00000000" w:rsidDel="00000000" w:rsidP="00000000" w:rsidRDefault="00000000" w:rsidRPr="00000000" w14:paraId="00000070">
      <w:pPr>
        <w:spacing w:line="360" w:lineRule="auto"/>
        <w:jc w:val="both"/>
        <w:rPr/>
      </w:pPr>
      <w:r w:rsidDel="00000000" w:rsidR="00000000" w:rsidRPr="00000000">
        <w:rPr>
          <w:rtl w:val="0"/>
        </w:rPr>
        <w:t xml:space="preserve">Stroke can cause long-term disabilities such as paralysis, speech impairment, and cognitive problems, all of which are physically caused. Stroke survivors have a disability of some kind in about two-thirds of cases, and they need continuous care and rehabilitation. This has a great effect on the quality of life and independence.</w:t>
      </w:r>
    </w:p>
    <w:p w:rsidR="00000000" w:rsidDel="00000000" w:rsidP="00000000" w:rsidRDefault="00000000" w:rsidRPr="00000000" w14:paraId="00000071">
      <w:pPr>
        <w:spacing w:line="360" w:lineRule="auto"/>
        <w:jc w:val="both"/>
        <w:rPr/>
      </w:pPr>
      <w:r w:rsidDel="00000000" w:rsidR="00000000" w:rsidRPr="00000000">
        <w:rPr>
          <w:rtl w:val="0"/>
        </w:rPr>
        <w:t xml:space="preserve">Stroke survivors often tend to develop depression, anxiety, and emotional distress as a result of the stroke. This loss of physical capabilities may result in low self-esteem and isolation. Hackett et al. (2014) state that post-stroke depression occurs in about one-third of patients, and mental health assistance is required.</w:t>
      </w:r>
    </w:p>
    <w:p w:rsidR="00000000" w:rsidDel="00000000" w:rsidP="00000000" w:rsidRDefault="00000000" w:rsidRPr="00000000" w14:paraId="00000072">
      <w:pPr>
        <w:spacing w:line="360" w:lineRule="auto"/>
        <w:jc w:val="both"/>
        <w:rPr/>
      </w:pPr>
      <w:r w:rsidDel="00000000" w:rsidR="00000000" w:rsidRPr="00000000">
        <w:rPr>
          <w:rtl w:val="0"/>
        </w:rPr>
        <w:t xml:space="preserve">Stroke has a great burden on families and caregivers socially. A large number of people need long-term support in their daily tasks, which adds to the caregiving burden. This may cause a strain on the finances and loss of jobs for the family members.</w:t>
      </w:r>
    </w:p>
    <w:p w:rsidR="00000000" w:rsidDel="00000000" w:rsidP="00000000" w:rsidRDefault="00000000" w:rsidRPr="00000000" w14:paraId="00000073">
      <w:pPr>
        <w:spacing w:line="360" w:lineRule="auto"/>
        <w:jc w:val="both"/>
        <w:rPr/>
      </w:pPr>
      <w:r w:rsidDel="00000000" w:rsidR="00000000" w:rsidRPr="00000000">
        <w:rPr>
          <w:rtl w:val="0"/>
        </w:rPr>
        <w:t xml:space="preserve">Stroke has a high cost implication at the community level. Stroke care in the UK is estimated to cost more than 26 billion a year, comprising healthcare costs, social care, and lost productivity (Jorgina Lucas-Noll et al., 2023). This shows how the disease affects the wider society.</w:t>
      </w:r>
    </w:p>
    <w:p w:rsidR="00000000" w:rsidDel="00000000" w:rsidP="00000000" w:rsidRDefault="00000000" w:rsidRPr="00000000" w14:paraId="00000074">
      <w:pPr>
        <w:spacing w:line="360" w:lineRule="auto"/>
        <w:jc w:val="both"/>
        <w:rPr/>
      </w:pPr>
      <w:r w:rsidDel="00000000" w:rsidR="00000000" w:rsidRPr="00000000">
        <w:rPr>
          <w:rtl w:val="0"/>
        </w:rPr>
        <w:t xml:space="preserve">Moreover, health disparities contribute to the outcomes of stroke. Lower socioeconomic status leads to a greater incidence of strokes and worse recovery results in individuals because of the lack of access to healthcare services. In general, the impact of stroke is not only personal but also on the family, community, and health care systems.</w:t>
      </w:r>
    </w:p>
    <w:p w:rsidR="00000000" w:rsidDel="00000000" w:rsidP="00000000" w:rsidRDefault="00000000" w:rsidRPr="00000000" w14:paraId="00000075">
      <w:pPr>
        <w:spacing w:line="360" w:lineRule="auto"/>
        <w:jc w:val="both"/>
        <w:rPr>
          <w:b w:val="1"/>
          <w:bCs w:val="1"/>
          <w:i w:val="1"/>
          <w:iCs w:val="1"/>
        </w:rPr>
      </w:pPr>
      <w:r w:rsidDel="00000000" w:rsidR="00000000" w:rsidRPr="00000000">
        <w:rPr>
          <w:b w:val="1"/>
          <w:bCs w:val="1"/>
          <w:i w:val="1"/>
          <w:iCs w:val="1"/>
          <w:rtl w:val="0"/>
        </w:rPr>
        <w:t xml:space="preserve">Table 2: Impact of Stroke on Individuals and Society</w:t>
      </w:r>
    </w:p>
    <w:tbl>
      <w:tblPr>
        <w:tblStyle w:val="Table2"/>
        <w:tblW w:w="905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3"/>
        <w:gridCol w:w="3585"/>
        <w:gridCol w:w="3349"/>
        <w:tblGridChange w:id="0">
          <w:tblGrid>
            <w:gridCol w:w="2123"/>
            <w:gridCol w:w="3585"/>
            <w:gridCol w:w="3349"/>
          </w:tblGrid>
        </w:tblGridChange>
      </w:tblGrid>
      <w:tr>
        <w:trPr>
          <w:cantSplit w:val="0"/>
          <w:trHeight w:val="479" w:hRule="atLeast"/>
          <w:tblHeader w:val="0"/>
        </w:trPr>
        <w:tc>
          <w:tcPr>
            <w:shd w:fill="bfbfbf" w:val="clear"/>
          </w:tcPr>
          <w:p w:rsidR="00000000" w:rsidDel="00000000" w:rsidP="00000000" w:rsidRDefault="00000000" w:rsidRPr="00000000" w14:paraId="00000076">
            <w:pPr>
              <w:jc w:val="center"/>
              <w:rPr>
                <w:b w:val="1"/>
                <w:bCs w:val="1"/>
              </w:rPr>
            </w:pPr>
            <w:r w:rsidDel="00000000" w:rsidR="00000000" w:rsidRPr="00000000">
              <w:rPr>
                <w:b w:val="1"/>
                <w:bCs w:val="1"/>
                <w:rtl w:val="0"/>
              </w:rPr>
              <w:t xml:space="preserve">Type of Impact</w:t>
            </w:r>
          </w:p>
        </w:tc>
        <w:tc>
          <w:tcPr>
            <w:shd w:fill="bfbfbf" w:val="clear"/>
          </w:tcPr>
          <w:p w:rsidR="00000000" w:rsidDel="00000000" w:rsidP="00000000" w:rsidRDefault="00000000" w:rsidRPr="00000000" w14:paraId="00000077">
            <w:pPr>
              <w:jc w:val="center"/>
              <w:rPr>
                <w:b w:val="1"/>
                <w:bCs w:val="1"/>
              </w:rPr>
            </w:pPr>
            <w:r w:rsidDel="00000000" w:rsidR="00000000" w:rsidRPr="00000000">
              <w:rPr>
                <w:b w:val="1"/>
                <w:bCs w:val="1"/>
                <w:rtl w:val="0"/>
              </w:rPr>
              <w:t xml:space="preserve">Examples</w:t>
            </w:r>
          </w:p>
        </w:tc>
        <w:tc>
          <w:tcPr>
            <w:shd w:fill="bfbfbf" w:val="clear"/>
          </w:tcPr>
          <w:p w:rsidR="00000000" w:rsidDel="00000000" w:rsidP="00000000" w:rsidRDefault="00000000" w:rsidRPr="00000000" w14:paraId="00000078">
            <w:pPr>
              <w:jc w:val="center"/>
              <w:rPr>
                <w:b w:val="1"/>
                <w:bCs w:val="1"/>
              </w:rPr>
            </w:pPr>
            <w:r w:rsidDel="00000000" w:rsidR="00000000" w:rsidRPr="00000000">
              <w:rPr>
                <w:b w:val="1"/>
                <w:bCs w:val="1"/>
                <w:rtl w:val="0"/>
              </w:rPr>
              <w:t xml:space="preserve">Implications</w:t>
            </w:r>
          </w:p>
        </w:tc>
      </w:tr>
      <w:tr>
        <w:trPr>
          <w:cantSplit w:val="0"/>
          <w:trHeight w:val="296" w:hRule="atLeast"/>
          <w:tblHeader w:val="0"/>
        </w:trPr>
        <w:tc>
          <w:tcPr/>
          <w:p w:rsidR="00000000" w:rsidDel="00000000" w:rsidP="00000000" w:rsidRDefault="00000000" w:rsidRPr="00000000" w14:paraId="00000079">
            <w:pPr>
              <w:rPr/>
            </w:pPr>
            <w:r w:rsidDel="00000000" w:rsidR="00000000" w:rsidRPr="00000000">
              <w:rPr>
                <w:rtl w:val="0"/>
              </w:rPr>
              <w:t xml:space="preserve">Physical</w:t>
            </w:r>
          </w:p>
        </w:tc>
        <w:tc>
          <w:tcPr/>
          <w:p w:rsidR="00000000" w:rsidDel="00000000" w:rsidP="00000000" w:rsidRDefault="00000000" w:rsidRPr="00000000" w14:paraId="0000007A">
            <w:pPr>
              <w:rPr/>
            </w:pPr>
            <w:r w:rsidDel="00000000" w:rsidR="00000000" w:rsidRPr="00000000">
              <w:rPr>
                <w:rtl w:val="0"/>
              </w:rPr>
              <w:t xml:space="preserve">Paralysis, speech loss</w:t>
            </w:r>
          </w:p>
        </w:tc>
        <w:tc>
          <w:tcPr/>
          <w:p w:rsidR="00000000" w:rsidDel="00000000" w:rsidP="00000000" w:rsidRDefault="00000000" w:rsidRPr="00000000" w14:paraId="0000007B">
            <w:pPr>
              <w:rPr/>
            </w:pPr>
            <w:r w:rsidDel="00000000" w:rsidR="00000000" w:rsidRPr="00000000">
              <w:rPr>
                <w:rtl w:val="0"/>
              </w:rPr>
              <w:t xml:space="preserve">Reduced independence</w:t>
            </w:r>
          </w:p>
        </w:tc>
      </w:tr>
      <w:tr>
        <w:trPr>
          <w:cantSplit w:val="0"/>
          <w:trHeight w:val="296" w:hRule="atLeast"/>
          <w:tblHeader w:val="0"/>
        </w:trPr>
        <w:tc>
          <w:tcPr/>
          <w:p w:rsidR="00000000" w:rsidDel="00000000" w:rsidP="00000000" w:rsidRDefault="00000000" w:rsidRPr="00000000" w14:paraId="0000007C">
            <w:pPr>
              <w:rPr/>
            </w:pPr>
            <w:r w:rsidDel="00000000" w:rsidR="00000000" w:rsidRPr="00000000">
              <w:rPr>
                <w:rtl w:val="0"/>
              </w:rPr>
              <w:t xml:space="preserve">Psychological</w:t>
            </w:r>
          </w:p>
        </w:tc>
        <w:tc>
          <w:tcPr/>
          <w:p w:rsidR="00000000" w:rsidDel="00000000" w:rsidP="00000000" w:rsidRDefault="00000000" w:rsidRPr="00000000" w14:paraId="0000007D">
            <w:pPr>
              <w:rPr/>
            </w:pPr>
            <w:r w:rsidDel="00000000" w:rsidR="00000000" w:rsidRPr="00000000">
              <w:rPr>
                <w:rtl w:val="0"/>
              </w:rPr>
              <w:t xml:space="preserve">Depression, anxiety</w:t>
            </w:r>
          </w:p>
        </w:tc>
        <w:tc>
          <w:tcPr/>
          <w:p w:rsidR="00000000" w:rsidDel="00000000" w:rsidP="00000000" w:rsidRDefault="00000000" w:rsidRPr="00000000" w14:paraId="0000007E">
            <w:pPr>
              <w:rPr/>
            </w:pPr>
            <w:r w:rsidDel="00000000" w:rsidR="00000000" w:rsidRPr="00000000">
              <w:rPr>
                <w:rtl w:val="0"/>
              </w:rPr>
              <w:t xml:space="preserve">Lower quality of life</w:t>
            </w:r>
          </w:p>
        </w:tc>
      </w:tr>
      <w:tr>
        <w:trPr>
          <w:cantSplit w:val="0"/>
          <w:trHeight w:val="296" w:hRule="atLeast"/>
          <w:tblHeader w:val="0"/>
        </w:trPr>
        <w:tc>
          <w:tcPr/>
          <w:p w:rsidR="00000000" w:rsidDel="00000000" w:rsidP="00000000" w:rsidRDefault="00000000" w:rsidRPr="00000000" w14:paraId="0000007F">
            <w:pPr>
              <w:rPr/>
            </w:pPr>
            <w:r w:rsidDel="00000000" w:rsidR="00000000" w:rsidRPr="00000000">
              <w:rPr>
                <w:rtl w:val="0"/>
              </w:rPr>
              <w:t xml:space="preserve">Social</w:t>
            </w:r>
          </w:p>
        </w:tc>
        <w:tc>
          <w:tcPr/>
          <w:p w:rsidR="00000000" w:rsidDel="00000000" w:rsidP="00000000" w:rsidRDefault="00000000" w:rsidRPr="00000000" w14:paraId="00000080">
            <w:pPr>
              <w:rPr/>
            </w:pPr>
            <w:r w:rsidDel="00000000" w:rsidR="00000000" w:rsidRPr="00000000">
              <w:rPr>
                <w:rtl w:val="0"/>
              </w:rPr>
              <w:t xml:space="preserve">Care dependency</w:t>
            </w:r>
          </w:p>
        </w:tc>
        <w:tc>
          <w:tcPr/>
          <w:p w:rsidR="00000000" w:rsidDel="00000000" w:rsidP="00000000" w:rsidRDefault="00000000" w:rsidRPr="00000000" w14:paraId="00000081">
            <w:pPr>
              <w:rPr/>
            </w:pPr>
            <w:r w:rsidDel="00000000" w:rsidR="00000000" w:rsidRPr="00000000">
              <w:rPr>
                <w:rtl w:val="0"/>
              </w:rPr>
              <w:t xml:space="preserve">Family burden</w:t>
            </w:r>
          </w:p>
        </w:tc>
      </w:tr>
      <w:tr>
        <w:trPr>
          <w:cantSplit w:val="0"/>
          <w:trHeight w:val="296" w:hRule="atLeast"/>
          <w:tblHeader w:val="0"/>
        </w:trPr>
        <w:tc>
          <w:tcPr/>
          <w:p w:rsidR="00000000" w:rsidDel="00000000" w:rsidP="00000000" w:rsidRDefault="00000000" w:rsidRPr="00000000" w14:paraId="00000082">
            <w:pPr>
              <w:rPr/>
            </w:pPr>
            <w:r w:rsidDel="00000000" w:rsidR="00000000" w:rsidRPr="00000000">
              <w:rPr>
                <w:rtl w:val="0"/>
              </w:rPr>
              <w:t xml:space="preserve">Economic</w:t>
            </w:r>
          </w:p>
        </w:tc>
        <w:tc>
          <w:tcPr/>
          <w:p w:rsidR="00000000" w:rsidDel="00000000" w:rsidP="00000000" w:rsidRDefault="00000000" w:rsidRPr="00000000" w14:paraId="00000083">
            <w:pPr>
              <w:rPr/>
            </w:pPr>
            <w:r w:rsidDel="00000000" w:rsidR="00000000" w:rsidRPr="00000000">
              <w:rPr>
                <w:rtl w:val="0"/>
              </w:rPr>
              <w:t xml:space="preserve">Healthcare costs (£26bn UK)</w:t>
            </w:r>
          </w:p>
        </w:tc>
        <w:tc>
          <w:tcPr/>
          <w:p w:rsidR="00000000" w:rsidDel="00000000" w:rsidP="00000000" w:rsidRDefault="00000000" w:rsidRPr="00000000" w14:paraId="00000084">
            <w:pPr>
              <w:rPr/>
            </w:pPr>
            <w:r w:rsidDel="00000000" w:rsidR="00000000" w:rsidRPr="00000000">
              <w:rPr>
                <w:rtl w:val="0"/>
              </w:rPr>
              <w:t xml:space="preserve">Pressure on public services</w:t>
            </w:r>
          </w:p>
        </w:tc>
      </w:tr>
    </w:tbl>
    <w:p w:rsidR="00000000" w:rsidDel="00000000" w:rsidP="00000000" w:rsidRDefault="00000000" w:rsidRPr="00000000" w14:paraId="00000085">
      <w:pPr>
        <w:spacing w:line="360" w:lineRule="auto"/>
        <w:jc w:val="both"/>
        <w:rPr>
          <w:b w:val="1"/>
          <w:bCs w:val="1"/>
          <w:i w:val="1"/>
          <w:iCs w:val="1"/>
        </w:rPr>
      </w:pPr>
      <w:r w:rsidDel="00000000" w:rsidR="00000000" w:rsidRPr="00000000">
        <w:rPr>
          <w:rtl w:val="0"/>
        </w:rPr>
      </w:r>
    </w:p>
    <w:p w:rsidR="00000000" w:rsidDel="00000000" w:rsidP="00000000" w:rsidRDefault="00000000" w:rsidRPr="00000000" w14:paraId="00000086">
      <w:pPr>
        <w:pStyle w:val="Heading2"/>
        <w:spacing w:line="360" w:lineRule="auto"/>
        <w:rPr>
          <w:b w:val="1"/>
          <w:bCs w:val="1"/>
        </w:rPr>
      </w:pPr>
      <w:bookmarkStart w:colFirst="0" w:colLast="0" w:name="_heading=h.o6bb561t1skb" w:id="5"/>
      <w:bookmarkEnd w:id="5"/>
      <w:r w:rsidDel="00000000" w:rsidR="00000000" w:rsidRPr="00000000">
        <w:rPr>
          <w:b w:val="1"/>
          <w:bCs w:val="1"/>
          <w:rtl w:val="0"/>
        </w:rPr>
        <w:t xml:space="preserve">Social Care Support Services</w:t>
      </w:r>
    </w:p>
    <w:p w:rsidR="00000000" w:rsidDel="00000000" w:rsidP="00000000" w:rsidRDefault="00000000" w:rsidRPr="00000000" w14:paraId="00000087">
      <w:pPr>
        <w:spacing w:line="360" w:lineRule="auto"/>
        <w:jc w:val="both"/>
        <w:rPr/>
      </w:pPr>
      <w:r w:rsidDel="00000000" w:rsidR="00000000" w:rsidRPr="00000000">
        <w:rPr>
          <w:rtl w:val="0"/>
        </w:rPr>
        <w:t xml:space="preserve">The multidisciplinary approach to the complex needs of stroke patients in both health and social care services is essential. Specialised stroke units offer quick diagnosis and intervention, including imaging, thrombolysis, and close observation in the acute stage. There is always some evidence that the survival rates and functional outcomes of patients who are treated in a special stroke unit are better than those treated in general medical wards. This underscores the need to have specialised care pathways (Navi et al., 2022).</w:t>
      </w:r>
    </w:p>
    <w:p w:rsidR="00000000" w:rsidDel="00000000" w:rsidP="00000000" w:rsidRDefault="00000000" w:rsidRPr="00000000" w14:paraId="00000088">
      <w:pPr>
        <w:spacing w:line="360" w:lineRule="auto"/>
        <w:jc w:val="both"/>
        <w:rPr/>
      </w:pPr>
      <w:r w:rsidDel="00000000" w:rsidR="00000000" w:rsidRPr="00000000">
        <w:rPr>
          <w:rtl w:val="0"/>
        </w:rPr>
        <w:t xml:space="preserve">Rehabilitation services are needed after discharge to recover. Such services are usually provided with occupational therapy to assist with daily living activities, physiotherapy to enhance mobility, and speech and language therapy to help with communication challenges. Rehabilitation is often prolonged and needs an individual approach, dependent on the needs of the person.</w:t>
      </w:r>
    </w:p>
    <w:p w:rsidR="00000000" w:rsidDel="00000000" w:rsidP="00000000" w:rsidRDefault="00000000" w:rsidRPr="00000000" w14:paraId="00000089">
      <w:pPr>
        <w:spacing w:line="360" w:lineRule="auto"/>
        <w:jc w:val="both"/>
        <w:rPr/>
      </w:pPr>
      <w:r w:rsidDel="00000000" w:rsidR="00000000" w:rsidRPr="00000000">
        <w:rPr>
          <w:rtl w:val="0"/>
        </w:rPr>
        <w:t xml:space="preserve">Community-based care is critical in helping stroke survivors. GPs offer the continuity of medical care, and community nurses help to administer drugs and monitor. Social care services provide personal care support, housing modifications, and mobility aids, so that individuals may live independently within the community (Lindsay et al., 2024).</w:t>
      </w:r>
    </w:p>
    <w:p w:rsidR="00000000" w:rsidDel="00000000" w:rsidP="00000000" w:rsidRDefault="00000000" w:rsidRPr="00000000" w14:paraId="0000008A">
      <w:pPr>
        <w:spacing w:line="360" w:lineRule="auto"/>
        <w:jc w:val="both"/>
        <w:rPr/>
      </w:pPr>
      <w:r w:rsidDel="00000000" w:rsidR="00000000" w:rsidRPr="00000000">
        <w:rPr>
          <w:rtl w:val="0"/>
        </w:rPr>
        <w:t xml:space="preserve">Voluntary organisations like the Stroke Association offer supplementary services in the form of counselling, education, and peer support groups. These services especially come in handy when dealing with emotional and social dimensions of recovery.  Also, the Integrated Care Systems (ICS) being developed in the UK are to enhance coordination between the health and social care providers. By promoting collaboration across sectors, ICS enhances continuity of care and ensures that patients receive holistic support throughout their recovery journey. Practically, medical workers have to be person-centred; they have to pay attention to early intervention, constant monitoring, and educating patients. Self-management and lifestyle change should be encouraged as an important preventive measure against recurrent strokes and better long-term outcomes.</w:t>
      </w:r>
    </w:p>
    <w:p w:rsidR="00000000" w:rsidDel="00000000" w:rsidP="00000000" w:rsidRDefault="00000000" w:rsidRPr="00000000" w14:paraId="0000008B">
      <w:pPr>
        <w:keepNext w:val="1"/>
        <w:spacing w:line="360" w:lineRule="auto"/>
        <w:jc w:val="center"/>
        <w:rPr/>
      </w:pPr>
      <w:r w:rsidDel="00000000" w:rsidR="00000000" w:rsidRPr="00000000">
        <w:rPr/>
        <w:drawing>
          <wp:inline distB="0" distT="0" distL="0" distR="0">
            <wp:extent cx="5731510" cy="3582670"/>
            <wp:effectExtent b="0" l="0" r="0" t="0"/>
            <wp:docPr descr="What is Health and Social Care? – Everything You Need to Know" id="2" name="image3.png"/>
            <a:graphic>
              <a:graphicData uri="http://schemas.openxmlformats.org/drawingml/2006/picture">
                <pic:pic>
                  <pic:nvPicPr>
                    <pic:cNvPr descr="What is Health and Social Care? – Everything You Need to Know" id="0" name="image3.png"/>
                    <pic:cNvPicPr preferRelativeResize="0"/>
                  </pic:nvPicPr>
                  <pic:blipFill>
                    <a:blip r:embed="rId9"/>
                    <a:srcRect b="0" l="0" r="0" t="0"/>
                    <a:stretch>
                      <a:fillRect/>
                    </a:stretch>
                  </pic:blipFill>
                  <pic:spPr>
                    <a:xfrm>
                      <a:off x="0" y="0"/>
                      <a:ext cx="5731510" cy="358267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bCs w:val="0"/>
          <w:i w:val="1"/>
          <w:iCs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bCs w:val="0"/>
          <w:i w:val="1"/>
          <w:iCs w:val="1"/>
          <w:smallCaps w:val="0"/>
          <w:strike w:val="0"/>
          <w:color w:val="44546a"/>
          <w:sz w:val="18"/>
          <w:szCs w:val="18"/>
          <w:u w:val="none"/>
          <w:shd w:fill="auto" w:val="clear"/>
          <w:vertAlign w:val="baseline"/>
          <w:rtl w:val="0"/>
        </w:rPr>
        <w:t xml:space="preserve">Figure 3: Social Care Support Services</w:t>
      </w:r>
    </w:p>
    <w:p w:rsidR="00000000" w:rsidDel="00000000" w:rsidP="00000000" w:rsidRDefault="00000000" w:rsidRPr="00000000" w14:paraId="0000008D">
      <w:pPr>
        <w:jc w:val="center"/>
        <w:rPr/>
      </w:pPr>
      <w:r w:rsidDel="00000000" w:rsidR="00000000" w:rsidRPr="00000000">
        <w:rPr>
          <w:rtl w:val="0"/>
        </w:rPr>
        <w:t xml:space="preserve">(Source: Training Express)</w:t>
      </w:r>
    </w:p>
    <w:p w:rsidR="00000000" w:rsidDel="00000000" w:rsidP="00000000" w:rsidRDefault="00000000" w:rsidRPr="00000000" w14:paraId="0000008E">
      <w:pPr>
        <w:spacing w:line="360" w:lineRule="auto"/>
        <w:jc w:val="both"/>
        <w:rPr/>
      </w:pPr>
      <w:r w:rsidDel="00000000" w:rsidR="00000000" w:rsidRPr="00000000">
        <w:rPr>
          <w:rtl w:val="0"/>
        </w:rPr>
      </w:r>
    </w:p>
    <w:p w:rsidR="00000000" w:rsidDel="00000000" w:rsidP="00000000" w:rsidRDefault="00000000" w:rsidRPr="00000000" w14:paraId="0000008F">
      <w:pPr>
        <w:pStyle w:val="Heading1"/>
        <w:spacing w:line="360" w:lineRule="auto"/>
        <w:rPr>
          <w:b w:val="1"/>
          <w:bCs w:val="1"/>
        </w:rPr>
      </w:pPr>
      <w:bookmarkStart w:colFirst="0" w:colLast="0" w:name="_heading=h.kqiau31921ck" w:id="6"/>
      <w:bookmarkEnd w:id="6"/>
      <w:r w:rsidDel="00000000" w:rsidR="00000000" w:rsidRPr="00000000">
        <w:rPr>
          <w:b w:val="1"/>
          <w:bCs w:val="1"/>
          <w:rtl w:val="0"/>
        </w:rPr>
        <w:t xml:space="preserve">Conclusion </w:t>
      </w:r>
    </w:p>
    <w:p w:rsidR="00000000" w:rsidDel="00000000" w:rsidP="00000000" w:rsidRDefault="00000000" w:rsidRPr="00000000" w14:paraId="00000090">
      <w:pPr>
        <w:spacing w:line="360" w:lineRule="auto"/>
        <w:jc w:val="both"/>
        <w:rPr/>
      </w:pPr>
      <w:r w:rsidDel="00000000" w:rsidR="00000000" w:rsidRPr="00000000">
        <w:rPr>
          <w:rtl w:val="0"/>
        </w:rPr>
        <w:t xml:space="preserve">In summary, stroke is a significant societal health concern that has a high global and national burden. It is a life-threatening disorder that is characterised by impairment of blood supply to the brain, causing serious physical, psychological, and social effects. The incidence rates are high in the UK and the rest of the world, which makes it urgent to implement effective prevention and management strategies.</w:t>
      </w:r>
    </w:p>
    <w:p w:rsidR="00000000" w:rsidDel="00000000" w:rsidP="00000000" w:rsidRDefault="00000000" w:rsidRPr="00000000" w14:paraId="00000091">
      <w:pPr>
        <w:spacing w:line="360" w:lineRule="auto"/>
        <w:jc w:val="both"/>
        <w:rPr/>
      </w:pPr>
      <w:r w:rsidDel="00000000" w:rsidR="00000000" w:rsidRPr="00000000">
        <w:rPr>
          <w:rtl w:val="0"/>
        </w:rPr>
        <w:t xml:space="preserve">Measurement and monitoring of stroke require various tools such as epidemiological surveillance, national audits, and risk assessment tools. Lifestyle changes, medical procedures, and community health education are prevention mechanisms that are important in lowering the rates. Moreover, stroke has not only personal, but also societal and healthcare system-related impacts. Health and social care services such as acute care, rehabilitation, and community services play a crucial role in meeting the needs of stroke patients. The multidisciplinary approach is required to ensure an improved outcome and a decrease in the burden of stroke on society.</w:t>
      </w:r>
    </w:p>
    <w:p w:rsidR="00000000" w:rsidDel="00000000" w:rsidP="00000000" w:rsidRDefault="00000000" w:rsidRPr="00000000" w14:paraId="00000092">
      <w:pPr>
        <w:spacing w:line="360" w:lineRule="auto"/>
        <w:jc w:val="both"/>
        <w:rPr/>
      </w:pPr>
      <w:r w:rsidDel="00000000" w:rsidR="00000000" w:rsidRPr="00000000">
        <w:rPr>
          <w:rtl w:val="0"/>
        </w:rPr>
      </w:r>
    </w:p>
    <w:p w:rsidR="00000000" w:rsidDel="00000000" w:rsidP="00000000" w:rsidRDefault="00000000" w:rsidRPr="00000000" w14:paraId="00000093">
      <w:pPr>
        <w:spacing w:line="360" w:lineRule="auto"/>
        <w:jc w:val="both"/>
        <w:rPr/>
      </w:pP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rtl w:val="0"/>
        </w:rPr>
      </w:r>
    </w:p>
    <w:p w:rsidR="00000000" w:rsidDel="00000000" w:rsidP="00000000" w:rsidRDefault="00000000" w:rsidRPr="00000000" w14:paraId="00000095">
      <w:pPr>
        <w:spacing w:line="360" w:lineRule="auto"/>
        <w:jc w:val="both"/>
        <w:rPr/>
      </w:pPr>
      <w:r w:rsidDel="00000000" w:rsidR="00000000" w:rsidRPr="00000000">
        <w:rPr>
          <w:rtl w:val="0"/>
        </w:rPr>
      </w:r>
    </w:p>
    <w:p w:rsidR="00000000" w:rsidDel="00000000" w:rsidP="00000000" w:rsidRDefault="00000000" w:rsidRPr="00000000" w14:paraId="00000096">
      <w:pPr>
        <w:spacing w:line="360" w:lineRule="auto"/>
        <w:jc w:val="both"/>
        <w:rPr/>
      </w:pPr>
      <w:r w:rsidDel="00000000" w:rsidR="00000000" w:rsidRPr="00000000">
        <w:rPr>
          <w:rtl w:val="0"/>
        </w:rPr>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tl w:val="0"/>
        </w:rPr>
      </w:r>
    </w:p>
    <w:p w:rsidR="00000000" w:rsidDel="00000000" w:rsidP="00000000" w:rsidRDefault="00000000" w:rsidRPr="00000000" w14:paraId="00000099">
      <w:pPr>
        <w:spacing w:line="360" w:lineRule="auto"/>
        <w:jc w:val="both"/>
        <w:rPr/>
      </w:pPr>
      <w:r w:rsidDel="00000000" w:rsidR="00000000" w:rsidRPr="00000000">
        <w:rPr>
          <w:rtl w:val="0"/>
        </w:rPr>
      </w:r>
    </w:p>
    <w:p w:rsidR="00000000" w:rsidDel="00000000" w:rsidP="00000000" w:rsidRDefault="00000000" w:rsidRPr="00000000" w14:paraId="0000009A">
      <w:pPr>
        <w:spacing w:line="360" w:lineRule="auto"/>
        <w:jc w:val="both"/>
        <w:rPr/>
      </w:pPr>
      <w:r w:rsidDel="00000000" w:rsidR="00000000" w:rsidRPr="00000000">
        <w:rPr>
          <w:rtl w:val="0"/>
        </w:rPr>
      </w:r>
    </w:p>
    <w:p w:rsidR="00000000" w:rsidDel="00000000" w:rsidP="00000000" w:rsidRDefault="00000000" w:rsidRPr="00000000" w14:paraId="0000009B">
      <w:pPr>
        <w:spacing w:line="360" w:lineRule="auto"/>
        <w:jc w:val="both"/>
        <w:rPr/>
      </w:pPr>
      <w:r w:rsidDel="00000000" w:rsidR="00000000" w:rsidRPr="00000000">
        <w:rPr>
          <w:rtl w:val="0"/>
        </w:rPr>
      </w:r>
    </w:p>
    <w:p w:rsidR="00000000" w:rsidDel="00000000" w:rsidP="00000000" w:rsidRDefault="00000000" w:rsidRPr="00000000" w14:paraId="0000009C">
      <w:pPr>
        <w:spacing w:line="360" w:lineRule="auto"/>
        <w:jc w:val="both"/>
        <w:rPr/>
      </w:pPr>
      <w:r w:rsidDel="00000000" w:rsidR="00000000" w:rsidRPr="00000000">
        <w:rPr>
          <w:rtl w:val="0"/>
        </w:rPr>
      </w:r>
    </w:p>
    <w:p w:rsidR="00000000" w:rsidDel="00000000" w:rsidP="00000000" w:rsidRDefault="00000000" w:rsidRPr="00000000" w14:paraId="0000009D">
      <w:pPr>
        <w:spacing w:line="360" w:lineRule="auto"/>
        <w:jc w:val="both"/>
        <w:rPr/>
      </w:pPr>
      <w:r w:rsidDel="00000000" w:rsidR="00000000" w:rsidRPr="00000000">
        <w:rPr>
          <w:rtl w:val="0"/>
        </w:rPr>
      </w:r>
    </w:p>
    <w:p w:rsidR="00000000" w:rsidDel="00000000" w:rsidP="00000000" w:rsidRDefault="00000000" w:rsidRPr="00000000" w14:paraId="0000009E">
      <w:pPr>
        <w:spacing w:line="360" w:lineRule="auto"/>
        <w:jc w:val="both"/>
        <w:rPr/>
      </w:pPr>
      <w:r w:rsidDel="00000000" w:rsidR="00000000" w:rsidRPr="00000000">
        <w:rPr>
          <w:rtl w:val="0"/>
        </w:rPr>
      </w:r>
    </w:p>
    <w:p w:rsidR="00000000" w:rsidDel="00000000" w:rsidP="00000000" w:rsidRDefault="00000000" w:rsidRPr="00000000" w14:paraId="0000009F">
      <w:pPr>
        <w:spacing w:line="360" w:lineRule="auto"/>
        <w:jc w:val="both"/>
        <w:rPr/>
      </w:pPr>
      <w:r w:rsidDel="00000000" w:rsidR="00000000" w:rsidRPr="00000000">
        <w:rPr>
          <w:rtl w:val="0"/>
        </w:rPr>
      </w:r>
    </w:p>
    <w:p w:rsidR="00000000" w:rsidDel="00000000" w:rsidP="00000000" w:rsidRDefault="00000000" w:rsidRPr="00000000" w14:paraId="000000A0">
      <w:pPr>
        <w:spacing w:line="360" w:lineRule="auto"/>
        <w:jc w:val="both"/>
        <w:rPr/>
      </w:pPr>
      <w:r w:rsidDel="00000000" w:rsidR="00000000" w:rsidRPr="00000000">
        <w:rPr>
          <w:rtl w:val="0"/>
        </w:rPr>
      </w:r>
    </w:p>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pPr>
      <w:r w:rsidDel="00000000" w:rsidR="00000000" w:rsidRPr="00000000">
        <w:rPr>
          <w:rtl w:val="0"/>
        </w:rPr>
      </w:r>
    </w:p>
    <w:p w:rsidR="00000000" w:rsidDel="00000000" w:rsidP="00000000" w:rsidRDefault="00000000" w:rsidRPr="00000000" w14:paraId="000000A3">
      <w:pPr>
        <w:spacing w:line="360" w:lineRule="auto"/>
        <w:jc w:val="both"/>
        <w:rPr/>
      </w:pPr>
      <w:r w:rsidDel="00000000" w:rsidR="00000000" w:rsidRPr="00000000">
        <w:rPr>
          <w:rtl w:val="0"/>
        </w:rPr>
      </w:r>
    </w:p>
    <w:p w:rsidR="00000000" w:rsidDel="00000000" w:rsidP="00000000" w:rsidRDefault="00000000" w:rsidRPr="00000000" w14:paraId="000000A4">
      <w:pPr>
        <w:spacing w:line="360" w:lineRule="auto"/>
        <w:jc w:val="both"/>
        <w:rPr/>
      </w:pPr>
      <w:r w:rsidDel="00000000" w:rsidR="00000000" w:rsidRPr="00000000">
        <w:rPr>
          <w:rtl w:val="0"/>
        </w:rPr>
      </w:r>
    </w:p>
    <w:p w:rsidR="00000000" w:rsidDel="00000000" w:rsidP="00000000" w:rsidRDefault="00000000" w:rsidRPr="00000000" w14:paraId="000000A5">
      <w:pPr>
        <w:spacing w:line="360" w:lineRule="auto"/>
        <w:jc w:val="both"/>
        <w:rPr/>
      </w:pPr>
      <w:r w:rsidDel="00000000" w:rsidR="00000000" w:rsidRPr="00000000">
        <w:rPr>
          <w:rtl w:val="0"/>
        </w:rPr>
      </w:r>
    </w:p>
    <w:p w:rsidR="00000000" w:rsidDel="00000000" w:rsidP="00000000" w:rsidRDefault="00000000" w:rsidRPr="00000000" w14:paraId="000000A6">
      <w:pPr>
        <w:spacing w:line="360" w:lineRule="auto"/>
        <w:jc w:val="both"/>
        <w:rPr/>
      </w:pPr>
      <w:r w:rsidDel="00000000" w:rsidR="00000000" w:rsidRPr="00000000">
        <w:rPr>
          <w:rtl w:val="0"/>
        </w:rPr>
      </w:r>
    </w:p>
    <w:p w:rsidR="00000000" w:rsidDel="00000000" w:rsidP="00000000" w:rsidRDefault="00000000" w:rsidRPr="00000000" w14:paraId="000000A7">
      <w:pPr>
        <w:spacing w:line="360" w:lineRule="auto"/>
        <w:jc w:val="both"/>
        <w:rPr/>
      </w:pPr>
      <w:r w:rsidDel="00000000" w:rsidR="00000000" w:rsidRPr="00000000">
        <w:rPr>
          <w:rtl w:val="0"/>
        </w:rPr>
      </w:r>
    </w:p>
    <w:p w:rsidR="00000000" w:rsidDel="00000000" w:rsidP="00000000" w:rsidRDefault="00000000" w:rsidRPr="00000000" w14:paraId="000000A8">
      <w:pPr>
        <w:spacing w:line="360" w:lineRule="auto"/>
        <w:jc w:val="both"/>
        <w:rPr/>
      </w:pPr>
      <w:r w:rsidDel="00000000" w:rsidR="00000000" w:rsidRPr="00000000">
        <w:rPr>
          <w:rtl w:val="0"/>
        </w:rPr>
      </w:r>
    </w:p>
    <w:p w:rsidR="00000000" w:rsidDel="00000000" w:rsidP="00000000" w:rsidRDefault="00000000" w:rsidRPr="00000000" w14:paraId="000000A9">
      <w:pPr>
        <w:spacing w:line="360" w:lineRule="auto"/>
        <w:jc w:val="both"/>
        <w:rPr/>
      </w:pPr>
      <w:r w:rsidDel="00000000" w:rsidR="00000000" w:rsidRPr="00000000">
        <w:rPr>
          <w:rtl w:val="0"/>
        </w:rPr>
      </w:r>
    </w:p>
    <w:p w:rsidR="00000000" w:rsidDel="00000000" w:rsidP="00000000" w:rsidRDefault="00000000" w:rsidRPr="00000000" w14:paraId="000000AA">
      <w:pPr>
        <w:spacing w:line="360" w:lineRule="auto"/>
        <w:jc w:val="both"/>
        <w:rPr/>
      </w:pPr>
      <w:r w:rsidDel="00000000" w:rsidR="00000000" w:rsidRPr="00000000">
        <w:rPr>
          <w:rtl w:val="0"/>
        </w:rPr>
      </w:r>
    </w:p>
    <w:p w:rsidR="00000000" w:rsidDel="00000000" w:rsidP="00000000" w:rsidRDefault="00000000" w:rsidRPr="00000000" w14:paraId="000000AB">
      <w:pPr>
        <w:spacing w:line="360" w:lineRule="auto"/>
        <w:jc w:val="both"/>
        <w:rPr/>
      </w:pPr>
      <w:r w:rsidDel="00000000" w:rsidR="00000000" w:rsidRPr="00000000">
        <w:rPr>
          <w:rtl w:val="0"/>
        </w:rPr>
      </w:r>
    </w:p>
    <w:p w:rsidR="00000000" w:rsidDel="00000000" w:rsidP="00000000" w:rsidRDefault="00000000" w:rsidRPr="00000000" w14:paraId="000000AC">
      <w:pPr>
        <w:spacing w:line="360" w:lineRule="auto"/>
        <w:jc w:val="both"/>
        <w:rPr/>
      </w:pPr>
      <w:r w:rsidDel="00000000" w:rsidR="00000000" w:rsidRPr="00000000">
        <w:rPr>
          <w:rtl w:val="0"/>
        </w:rPr>
      </w:r>
    </w:p>
    <w:p w:rsidR="00000000" w:rsidDel="00000000" w:rsidP="00000000" w:rsidRDefault="00000000" w:rsidRPr="00000000" w14:paraId="000000AD">
      <w:pPr>
        <w:spacing w:line="360" w:lineRule="auto"/>
        <w:jc w:val="both"/>
        <w:rPr/>
      </w:pPr>
      <w:r w:rsidDel="00000000" w:rsidR="00000000" w:rsidRPr="00000000">
        <w:rPr>
          <w:rtl w:val="0"/>
        </w:rPr>
      </w:r>
    </w:p>
    <w:p w:rsidR="00000000" w:rsidDel="00000000" w:rsidP="00000000" w:rsidRDefault="00000000" w:rsidRPr="00000000" w14:paraId="000000AE">
      <w:pPr>
        <w:pStyle w:val="Heading1"/>
        <w:spacing w:line="360" w:lineRule="auto"/>
        <w:rPr>
          <w:b w:val="1"/>
          <w:bCs w:val="1"/>
        </w:rPr>
      </w:pPr>
      <w:r w:rsidDel="00000000" w:rsidR="00000000" w:rsidRPr="00000000">
        <w:rPr>
          <w:rtl w:val="0"/>
        </w:rPr>
      </w:r>
    </w:p>
    <w:p w:rsidR="00000000" w:rsidDel="00000000" w:rsidP="00000000" w:rsidRDefault="00000000" w:rsidRPr="00000000" w14:paraId="000000AF">
      <w:pPr>
        <w:pStyle w:val="Heading1"/>
        <w:spacing w:line="360" w:lineRule="auto"/>
        <w:rPr>
          <w:b w:val="1"/>
          <w:bCs w:val="1"/>
        </w:rPr>
      </w:pPr>
      <w:bookmarkStart w:colFirst="0" w:colLast="0" w:name="_heading=h.gi7suu2ofikg" w:id="7"/>
      <w:bookmarkEnd w:id="7"/>
      <w:r w:rsidDel="00000000" w:rsidR="00000000" w:rsidRPr="00000000">
        <w:rPr>
          <w:b w:val="1"/>
          <w:bCs w:val="1"/>
          <w:rtl w:val="0"/>
        </w:rPr>
        <w:t xml:space="preserve">Reference</w:t>
      </w:r>
    </w:p>
    <w:p w:rsidR="00000000" w:rsidDel="00000000" w:rsidP="00000000" w:rsidRDefault="00000000" w:rsidRPr="00000000" w14:paraId="000000B0">
      <w:pPr>
        <w:spacing w:line="360" w:lineRule="auto"/>
        <w:jc w:val="both"/>
        <w:rPr/>
      </w:pPr>
      <w:r w:rsidDel="00000000" w:rsidR="00000000" w:rsidRPr="00000000">
        <w:rPr>
          <w:rtl w:val="0"/>
        </w:rPr>
        <w:t xml:space="preserve">Dimitra Panteli, Adib, K., Buttigieg, S., Goiana-da-Silva, F., Ladewig, K., Azzopardi-Muscat, N., Figueras, J., Novillo-Ortiz, D., and McKee, M. (2025). Artificial intelligence in public health: promises, challenges, and an agenda for policy makers and public health institutions. </w:t>
      </w:r>
      <w:r w:rsidDel="00000000" w:rsidR="00000000" w:rsidRPr="00000000">
        <w:rPr>
          <w:i w:val="1"/>
          <w:iCs w:val="1"/>
          <w:rtl w:val="0"/>
        </w:rPr>
        <w:t xml:space="preserve">The Lancet Public Health</w:t>
      </w:r>
      <w:r w:rsidDel="00000000" w:rsidR="00000000" w:rsidRPr="00000000">
        <w:rPr>
          <w:rtl w:val="0"/>
        </w:rPr>
        <w:t xml:space="preserve">, [online] 10(5). doi:https://doi.org/10.1016/s2468-2667(25)00036-2.</w:t>
      </w:r>
    </w:p>
    <w:p w:rsidR="00000000" w:rsidDel="00000000" w:rsidP="00000000" w:rsidRDefault="00000000" w:rsidRPr="00000000" w14:paraId="000000B1">
      <w:pPr>
        <w:spacing w:line="360" w:lineRule="auto"/>
        <w:jc w:val="both"/>
        <w:rPr/>
      </w:pPr>
      <w:r w:rsidDel="00000000" w:rsidR="00000000" w:rsidRPr="00000000">
        <w:rPr>
          <w:rtl w:val="0"/>
        </w:rPr>
        <w:t xml:space="preserve">Jorgina Lucas-Noll, Jose Luis Clua-Espuny, Mar Lleixà-Fortuño, Gavaldà-Espelta, E., Lluïsa Queralt-Tomas, Panisello-Tafalla, A. and Misericòrdia Carles-Lavila (2023). The costs associated with stroke care continuum: a systematic review. </w:t>
      </w:r>
      <w:r w:rsidDel="00000000" w:rsidR="00000000" w:rsidRPr="00000000">
        <w:rPr>
          <w:i w:val="1"/>
          <w:iCs w:val="1"/>
          <w:rtl w:val="0"/>
        </w:rPr>
        <w:t xml:space="preserve">Health Economics Review</w:t>
      </w:r>
      <w:r w:rsidDel="00000000" w:rsidR="00000000" w:rsidRPr="00000000">
        <w:rPr>
          <w:rtl w:val="0"/>
        </w:rPr>
        <w:t xml:space="preserve">, 13(1). doi:https://doi.org/10.1186/s13561-023-00439-6.</w:t>
      </w:r>
    </w:p>
    <w:p w:rsidR="00000000" w:rsidDel="00000000" w:rsidP="00000000" w:rsidRDefault="00000000" w:rsidRPr="00000000" w14:paraId="000000B2">
      <w:pPr>
        <w:spacing w:line="360" w:lineRule="auto"/>
        <w:jc w:val="both"/>
        <w:rPr/>
      </w:pPr>
      <w:r w:rsidDel="00000000" w:rsidR="00000000" w:rsidRPr="00000000">
        <w:rPr>
          <w:rtl w:val="0"/>
        </w:rPr>
        <w:t xml:space="preserve">Lindsay, S., Fuentes, K., Sharmigaa Ragunathan, Li, Y. and Ross, T. (2024). Accessible independent housing for people with disabilities: A scoping review of promising practices, policies, and interventions. </w:t>
      </w:r>
      <w:r w:rsidDel="00000000" w:rsidR="00000000" w:rsidRPr="00000000">
        <w:rPr>
          <w:i w:val="1"/>
          <w:iCs w:val="1"/>
          <w:rtl w:val="0"/>
        </w:rPr>
        <w:t xml:space="preserve">PLOS ONE</w:t>
      </w:r>
      <w:r w:rsidDel="00000000" w:rsidR="00000000" w:rsidRPr="00000000">
        <w:rPr>
          <w:rtl w:val="0"/>
        </w:rPr>
        <w:t xml:space="preserve">, 19(1). doi:https://doi.org/10.1371/journal.pone.0291228.</w:t>
      </w:r>
    </w:p>
    <w:p w:rsidR="00000000" w:rsidDel="00000000" w:rsidP="00000000" w:rsidRDefault="00000000" w:rsidRPr="00000000" w14:paraId="000000B3">
      <w:pPr>
        <w:spacing w:line="360" w:lineRule="auto"/>
        <w:jc w:val="both"/>
        <w:rPr/>
      </w:pPr>
      <w:r w:rsidDel="00000000" w:rsidR="00000000" w:rsidRPr="00000000">
        <w:rPr>
          <w:rtl w:val="0"/>
        </w:rPr>
        <w:t xml:space="preserve">Navi, B.B., Audebert, H.J., Alexandrov, A.W., Cadilhac, D.A., and Grotta, J.C. (2022). Mobile Stroke Units: Evidence, Gaps, and Next Steps. </w:t>
      </w:r>
      <w:r w:rsidDel="00000000" w:rsidR="00000000" w:rsidRPr="00000000">
        <w:rPr>
          <w:i w:val="1"/>
          <w:iCs w:val="1"/>
          <w:rtl w:val="0"/>
        </w:rPr>
        <w:t xml:space="preserve">Stroke</w:t>
      </w:r>
      <w:r w:rsidDel="00000000" w:rsidR="00000000" w:rsidRPr="00000000">
        <w:rPr>
          <w:rtl w:val="0"/>
        </w:rPr>
        <w:t xml:space="preserve">, 53(6). doi:https://doi.org/10.1161/strokeaha.121.037376.</w:t>
      </w:r>
    </w:p>
    <w:p w:rsidR="00000000" w:rsidDel="00000000" w:rsidP="00000000" w:rsidRDefault="00000000" w:rsidRPr="00000000" w14:paraId="000000B4">
      <w:pPr>
        <w:spacing w:line="360" w:lineRule="auto"/>
        <w:jc w:val="both"/>
        <w:rPr/>
      </w:pPr>
      <w:r w:rsidDel="00000000" w:rsidR="00000000" w:rsidRPr="00000000">
        <w:rPr>
          <w:rtl w:val="0"/>
        </w:rPr>
        <w:t xml:space="preserve">Raleigh, V., Jefferies, D., and Wellings, D. (2022). </w:t>
      </w:r>
      <w:r w:rsidDel="00000000" w:rsidR="00000000" w:rsidRPr="00000000">
        <w:rPr>
          <w:i w:val="1"/>
          <w:iCs w:val="1"/>
          <w:rtl w:val="0"/>
        </w:rPr>
        <w:t xml:space="preserve">Cardiovascular Disease in England</w:t>
      </w:r>
      <w:r w:rsidDel="00000000" w:rsidR="00000000" w:rsidRPr="00000000">
        <w:rPr>
          <w:rtl w:val="0"/>
        </w:rPr>
        <w:t xml:space="preserve">. [online] Available at: https://assets.kingsfund.org.uk/f/256914/x/ad22aeaeff/cardiovascular_disease_in_england_2022.pdf.</w:t>
      </w:r>
    </w:p>
    <w:p w:rsidR="00000000" w:rsidDel="00000000" w:rsidP="00000000" w:rsidRDefault="00000000" w:rsidRPr="00000000" w14:paraId="000000B5">
      <w:pPr>
        <w:spacing w:line="360" w:lineRule="auto"/>
        <w:jc w:val="both"/>
        <w:rPr/>
      </w:pPr>
      <w:r w:rsidDel="00000000" w:rsidR="00000000" w:rsidRPr="00000000">
        <w:rPr>
          <w:rtl w:val="0"/>
        </w:rPr>
        <w:t xml:space="preserve">Santangelo, G., Gnazzo, M., Baldini, V., De Ronchi, D., Carotenuto, M., Fiorillo, A. e D’Agostino, A. (2026). Unraveling the gender divide: A systematic review of gender-specific differences at the first episode of psychosis. </w:t>
      </w:r>
      <w:r w:rsidDel="00000000" w:rsidR="00000000" w:rsidRPr="00000000">
        <w:rPr>
          <w:i w:val="1"/>
          <w:iCs w:val="1"/>
          <w:rtl w:val="0"/>
        </w:rPr>
        <w:t xml:space="preserve">Psychiatry Research</w:t>
      </w:r>
      <w:r w:rsidDel="00000000" w:rsidR="00000000" w:rsidRPr="00000000">
        <w:rPr>
          <w:rtl w:val="0"/>
        </w:rPr>
        <w:t xml:space="preserve">, 356, p.116914. doi:https://doi.org/10.1016/j.psychres.2025.116914.</w:t>
      </w:r>
    </w:p>
    <w:p w:rsidR="00000000" w:rsidDel="00000000" w:rsidP="00000000" w:rsidRDefault="00000000" w:rsidRPr="00000000" w14:paraId="000000B6">
      <w:pPr>
        <w:spacing w:line="360" w:lineRule="auto"/>
        <w:jc w:val="both"/>
        <w:rPr/>
      </w:pPr>
      <w:r w:rsidDel="00000000" w:rsidR="00000000" w:rsidRPr="00000000">
        <w:rPr>
          <w:rtl w:val="0"/>
        </w:rPr>
        <w:t xml:space="preserve">Seble Shewangizaw, Wubalem Fekadu, Sackley, C., and Alem, A. (2023). Life after stroke: exploring social and psychological consequences of stroke survivors and their caregivers. </w:t>
      </w:r>
      <w:r w:rsidDel="00000000" w:rsidR="00000000" w:rsidRPr="00000000">
        <w:rPr>
          <w:i w:val="1"/>
          <w:iCs w:val="1"/>
          <w:rtl w:val="0"/>
        </w:rPr>
        <w:t xml:space="preserve">Ethiopian Medical Journal</w:t>
      </w:r>
      <w:r w:rsidDel="00000000" w:rsidR="00000000" w:rsidRPr="00000000">
        <w:rPr>
          <w:rtl w:val="0"/>
        </w:rPr>
        <w:t xml:space="preserve">, 61(4), pp.315–325. doi:https://doi.org/10.4314/emj.v61i4.3.</w:t>
      </w:r>
    </w:p>
    <w:p w:rsidR="00000000" w:rsidDel="00000000" w:rsidP="00000000" w:rsidRDefault="00000000" w:rsidRPr="00000000" w14:paraId="000000B7">
      <w:pPr>
        <w:spacing w:line="360" w:lineRule="auto"/>
        <w:jc w:val="both"/>
        <w:rPr/>
      </w:pPr>
      <w:r w:rsidDel="00000000" w:rsidR="00000000" w:rsidRPr="00000000">
        <w:rPr>
          <w:rtl w:val="0"/>
        </w:rPr>
        <w:t xml:space="preserve">Shahid, J., Kashif, A., and Shahid, M.K. (2023). A Comprehensive Review of Physical Therapy Interventions for Stroke Rehabilitation: Impairment-Based Approaches and Functional Goals. </w:t>
      </w:r>
      <w:r w:rsidDel="00000000" w:rsidR="00000000" w:rsidRPr="00000000">
        <w:rPr>
          <w:i w:val="1"/>
          <w:iCs w:val="1"/>
          <w:rtl w:val="0"/>
        </w:rPr>
        <w:t xml:space="preserve">Brain Sciences</w:t>
      </w:r>
      <w:r w:rsidDel="00000000" w:rsidR="00000000" w:rsidRPr="00000000">
        <w:rPr>
          <w:rtl w:val="0"/>
        </w:rPr>
        <w:t xml:space="preserve">, [online] 13(5), p.717. doi:https://doi.org/10.3390/brainsci13050717.</w:t>
      </w:r>
    </w:p>
    <w:p w:rsidR="00000000" w:rsidDel="00000000" w:rsidP="00000000" w:rsidRDefault="00000000" w:rsidRPr="00000000" w14:paraId="000000B8">
      <w:pPr>
        <w:spacing w:line="360" w:lineRule="auto"/>
        <w:jc w:val="both"/>
        <w:rPr/>
      </w:pPr>
      <w:r w:rsidDel="00000000" w:rsidR="00000000" w:rsidRPr="00000000">
        <w:rPr>
          <w:rtl w:val="0"/>
        </w:rPr>
        <w:t xml:space="preserve">Stroke Association (2024). </w:t>
      </w:r>
      <w:r w:rsidDel="00000000" w:rsidR="00000000" w:rsidRPr="00000000">
        <w:rPr>
          <w:i w:val="1"/>
          <w:iCs w:val="1"/>
          <w:rtl w:val="0"/>
        </w:rPr>
        <w:t xml:space="preserve">Stroke Statistics</w:t>
      </w:r>
      <w:r w:rsidDel="00000000" w:rsidR="00000000" w:rsidRPr="00000000">
        <w:rPr>
          <w:rtl w:val="0"/>
        </w:rPr>
        <w:t xml:space="preserve">. [online] Stroke Association. Available at: https://www.stroke.org.uk/stroke/statistics [Accessed 16 Apr. 2026].</w:t>
      </w:r>
    </w:p>
    <w:p w:rsidR="00000000" w:rsidDel="00000000" w:rsidP="00000000" w:rsidRDefault="00000000" w:rsidRPr="00000000" w14:paraId="000000B9">
      <w:pPr>
        <w:spacing w:line="360" w:lineRule="auto"/>
        <w:jc w:val="both"/>
        <w:rPr/>
      </w:pPr>
      <w:r w:rsidDel="00000000" w:rsidR="00000000" w:rsidRPr="00000000">
        <w:rPr>
          <w:rtl w:val="0"/>
        </w:rPr>
        <w:t xml:space="preserve">WHO (2025). </w:t>
      </w:r>
      <w:r w:rsidDel="00000000" w:rsidR="00000000" w:rsidRPr="00000000">
        <w:rPr>
          <w:i w:val="1"/>
          <w:iCs w:val="1"/>
          <w:rtl w:val="0"/>
        </w:rPr>
        <w:t xml:space="preserve">Stroke</w:t>
      </w:r>
      <w:r w:rsidDel="00000000" w:rsidR="00000000" w:rsidRPr="00000000">
        <w:rPr>
          <w:rtl w:val="0"/>
        </w:rPr>
        <w:t xml:space="preserve">. [online] Who.int. Available at: https://www.who.int/news-room/fact-sheets/detail/stroke [Accessed 16 Apr. 2026].</w:t>
      </w:r>
    </w:p>
    <w:p w:rsidR="00000000" w:rsidDel="00000000" w:rsidP="00000000" w:rsidRDefault="00000000" w:rsidRPr="00000000" w14:paraId="000000BA">
      <w:pPr>
        <w:spacing w:line="360" w:lineRule="auto"/>
        <w:jc w:val="both"/>
        <w:rPr/>
      </w:pPr>
      <w:r w:rsidDel="00000000" w:rsidR="00000000" w:rsidRPr="00000000">
        <w:rPr>
          <w:rtl w:val="0"/>
        </w:rPr>
        <w:t xml:space="preserve">Zhang, M., Long, Z., Liu, P., Qin, Q., Yuan, H., Cao, Y., Jia, Y., Liu, X., Yu, Y., Wu, Y., Pei, B., Ye, J., Wang, M. and Wang, F. (2025). Global Burden and Risk Factors of Stroke in Young Adults, 1990 to 2021: A Systematic Analysis of the Global Burden of Disease Study 2021. </w:t>
      </w:r>
      <w:r w:rsidDel="00000000" w:rsidR="00000000" w:rsidRPr="00000000">
        <w:rPr>
          <w:i w:val="1"/>
          <w:iCs w:val="1"/>
          <w:rtl w:val="0"/>
        </w:rPr>
        <w:t xml:space="preserve">Journal of the American Heart Association</w:t>
      </w:r>
      <w:r w:rsidDel="00000000" w:rsidR="00000000" w:rsidRPr="00000000">
        <w:rPr>
          <w:rtl w:val="0"/>
        </w:rPr>
        <w:t xml:space="preserve">, [online] p.e039387. doi:https://doi.org/10.1161/JAHA.124.039387.</w:t>
      </w:r>
    </w:p>
    <w:p w:rsidR="00000000" w:rsidDel="00000000" w:rsidP="00000000" w:rsidRDefault="00000000" w:rsidRPr="00000000" w14:paraId="000000BB">
      <w:pPr>
        <w:spacing w:line="360" w:lineRule="auto"/>
        <w:jc w:val="both"/>
        <w:rPr/>
      </w:pPr>
      <w:r w:rsidDel="00000000" w:rsidR="00000000" w:rsidRPr="00000000">
        <w:rPr>
          <w:rtl w:val="0"/>
        </w:rPr>
      </w:r>
    </w:p>
    <w:sectPr>
      <w:headerReference r:id="rId10" w:type="default"/>
      <w:headerReference r:id="rId11"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eader" Target="header2.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GJe4aGZVgG8fi4etn6lc0VHgAw==">CgMxLjAyDmguZnpuOWhnMnd0M3A5Mg5oLmljbjl1dHBrc2o2dTIOaC51bnNwZjhxMmFreXQyDmguZ2RlaWllaXVxcWI1Mg5oLjV0eTVsMWxsdXN2MjIOaC5vNmJiNTYxdDFza2IyDmgua3FpYXUzMTkyMWNrMg5oLmdpN3N1dTJvZmlrZzgAciExX2prWmJlQUFuY0t4bFU1MG11VTdCeGlRZkJiV284WFo=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