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3AD16" w14:textId="48475A74" w:rsidR="004D4AA9" w:rsidRPr="00833927" w:rsidRDefault="00833927" w:rsidP="004D4AA9">
      <w:pPr>
        <w:jc w:val="center"/>
        <w:rPr>
          <w:b/>
          <w:bCs/>
          <w:sz w:val="40"/>
          <w:szCs w:val="40"/>
        </w:rPr>
      </w:pPr>
      <w:r w:rsidRPr="00833927">
        <w:rPr>
          <w:b/>
          <w:bCs/>
          <w:sz w:val="40"/>
          <w:szCs w:val="40"/>
        </w:rPr>
        <w:t>PROGRAMME: BA (HONS) LEADERSHIP AND MANAGEMENT SKILLS FOR THE WORKPLACE</w:t>
      </w:r>
    </w:p>
    <w:p w14:paraId="6673E2F5" w14:textId="055648A3" w:rsidR="004D4AA9" w:rsidRPr="00833927" w:rsidRDefault="00833927" w:rsidP="004D4AA9">
      <w:pPr>
        <w:jc w:val="center"/>
        <w:rPr>
          <w:b/>
          <w:bCs/>
          <w:sz w:val="40"/>
          <w:szCs w:val="40"/>
        </w:rPr>
      </w:pPr>
      <w:r w:rsidRPr="00833927">
        <w:rPr>
          <w:b/>
          <w:bCs/>
          <w:sz w:val="40"/>
          <w:szCs w:val="40"/>
        </w:rPr>
        <w:t>MODULE: DEVELOPING AND MANAGING INDIVIDUALS AND TEAMS</w:t>
      </w:r>
    </w:p>
    <w:p w14:paraId="411C09EF" w14:textId="77777777" w:rsidR="004D4AA9" w:rsidRPr="00833927" w:rsidRDefault="004D4AA9" w:rsidP="004D4AA9">
      <w:pPr>
        <w:jc w:val="center"/>
        <w:rPr>
          <w:b/>
          <w:bCs/>
          <w:sz w:val="40"/>
          <w:szCs w:val="40"/>
        </w:rPr>
      </w:pPr>
    </w:p>
    <w:p w14:paraId="1B421020" w14:textId="142E184A" w:rsidR="004D4AA9" w:rsidRPr="00833927" w:rsidRDefault="00833927" w:rsidP="004D4AA9">
      <w:pPr>
        <w:jc w:val="center"/>
        <w:rPr>
          <w:b/>
          <w:bCs/>
          <w:sz w:val="40"/>
          <w:szCs w:val="40"/>
        </w:rPr>
      </w:pPr>
      <w:r w:rsidRPr="00833927">
        <w:rPr>
          <w:b/>
          <w:bCs/>
          <w:sz w:val="40"/>
          <w:szCs w:val="40"/>
        </w:rPr>
        <w:t xml:space="preserve">MODULE CODE: LCLM5002 </w:t>
      </w:r>
    </w:p>
    <w:p w14:paraId="50714CC7" w14:textId="77777777" w:rsidR="004D4AA9" w:rsidRPr="00833927" w:rsidRDefault="004D4AA9" w:rsidP="004D4AA9">
      <w:pPr>
        <w:jc w:val="left"/>
        <w:rPr>
          <w:b/>
          <w:bCs/>
          <w:sz w:val="40"/>
          <w:szCs w:val="40"/>
        </w:rPr>
      </w:pPr>
    </w:p>
    <w:p w14:paraId="09B933B2" w14:textId="43B208F0" w:rsidR="00114EA0" w:rsidRPr="00833927" w:rsidRDefault="00833927" w:rsidP="004D4AA9">
      <w:pPr>
        <w:jc w:val="center"/>
        <w:rPr>
          <w:b/>
          <w:bCs/>
          <w:sz w:val="40"/>
          <w:szCs w:val="40"/>
        </w:rPr>
      </w:pPr>
      <w:r w:rsidRPr="00833927">
        <w:rPr>
          <w:b/>
          <w:bCs/>
          <w:sz w:val="40"/>
          <w:szCs w:val="40"/>
        </w:rPr>
        <w:t>ASSIGNMENT TITLE: COMPONENT 2- INDIVIDUAL REPORT</w:t>
      </w:r>
    </w:p>
    <w:p w14:paraId="403305D6" w14:textId="77777777" w:rsidR="004D4AA9" w:rsidRPr="00833927" w:rsidRDefault="004D4AA9" w:rsidP="004D4AA9">
      <w:pPr>
        <w:jc w:val="center"/>
        <w:rPr>
          <w:b/>
          <w:bCs/>
          <w:sz w:val="40"/>
          <w:szCs w:val="40"/>
        </w:rPr>
      </w:pPr>
    </w:p>
    <w:p w14:paraId="7435E4DE" w14:textId="77777777" w:rsidR="004D4AA9" w:rsidRPr="00833927" w:rsidRDefault="004D4AA9" w:rsidP="004D4AA9">
      <w:pPr>
        <w:jc w:val="center"/>
        <w:rPr>
          <w:b/>
          <w:bCs/>
          <w:sz w:val="40"/>
          <w:szCs w:val="40"/>
        </w:rPr>
      </w:pPr>
    </w:p>
    <w:p w14:paraId="7862B266" w14:textId="77777777" w:rsidR="004D4AA9" w:rsidRPr="00833927" w:rsidRDefault="004D4AA9" w:rsidP="004D4AA9">
      <w:pPr>
        <w:jc w:val="center"/>
        <w:rPr>
          <w:b/>
          <w:bCs/>
          <w:sz w:val="40"/>
          <w:szCs w:val="40"/>
        </w:rPr>
      </w:pPr>
    </w:p>
    <w:p w14:paraId="55D936CB" w14:textId="54DA3AB3" w:rsidR="004D4AA9" w:rsidRPr="00833927" w:rsidRDefault="00833927" w:rsidP="004D4AA9">
      <w:pPr>
        <w:jc w:val="center"/>
        <w:rPr>
          <w:b/>
          <w:bCs/>
          <w:sz w:val="40"/>
          <w:szCs w:val="40"/>
        </w:rPr>
      </w:pPr>
      <w:r w:rsidRPr="00833927">
        <w:rPr>
          <w:b/>
          <w:bCs/>
          <w:sz w:val="40"/>
          <w:szCs w:val="40"/>
        </w:rPr>
        <w:t xml:space="preserve">STUDENT NAME: </w:t>
      </w:r>
      <w:r w:rsidR="0003715D">
        <w:rPr>
          <w:b/>
          <w:bCs/>
          <w:sz w:val="40"/>
          <w:szCs w:val="40"/>
        </w:rPr>
        <w:t>DANIEL BOB</w:t>
      </w:r>
    </w:p>
    <w:p w14:paraId="481631B1" w14:textId="62FE099A" w:rsidR="00E62B2E" w:rsidRPr="00833927" w:rsidRDefault="00833927" w:rsidP="004D4AA9">
      <w:pPr>
        <w:jc w:val="center"/>
        <w:rPr>
          <w:b/>
          <w:bCs/>
          <w:sz w:val="40"/>
          <w:szCs w:val="40"/>
        </w:rPr>
      </w:pPr>
      <w:r w:rsidRPr="00833927">
        <w:rPr>
          <w:b/>
          <w:bCs/>
          <w:sz w:val="40"/>
          <w:szCs w:val="40"/>
        </w:rPr>
        <w:t xml:space="preserve">STUDENT ID: </w:t>
      </w:r>
      <w:r w:rsidR="0003715D">
        <w:rPr>
          <w:b/>
          <w:bCs/>
          <w:sz w:val="40"/>
          <w:szCs w:val="40"/>
        </w:rPr>
        <w:t>2409052</w:t>
      </w:r>
    </w:p>
    <w:p w14:paraId="3628FEE8" w14:textId="5154C1B9" w:rsidR="00E62B2E" w:rsidRPr="00833927" w:rsidRDefault="00833927">
      <w:pPr>
        <w:spacing w:line="278" w:lineRule="auto"/>
        <w:jc w:val="left"/>
        <w:rPr>
          <w:b/>
          <w:bCs/>
          <w:sz w:val="40"/>
          <w:szCs w:val="40"/>
        </w:rPr>
      </w:pPr>
      <w:r w:rsidRPr="00833927">
        <w:rPr>
          <w:b/>
          <w:bCs/>
          <w:sz w:val="40"/>
          <w:szCs w:val="40"/>
        </w:rPr>
        <w:br w:type="page"/>
      </w:r>
    </w:p>
    <w:sdt>
      <w:sdtPr>
        <w:rPr>
          <w:rFonts w:ascii="Times New Roman" w:eastAsiaTheme="minorHAnsi" w:hAnsi="Times New Roman" w:cstheme="minorBidi"/>
          <w:color w:val="auto"/>
          <w:kern w:val="2"/>
          <w:sz w:val="24"/>
          <w:szCs w:val="24"/>
          <w:lang w:val="en-GB"/>
          <w14:ligatures w14:val="standardContextual"/>
        </w:rPr>
        <w:id w:val="1623727766"/>
        <w:docPartObj>
          <w:docPartGallery w:val="Table of Contents"/>
          <w:docPartUnique/>
        </w:docPartObj>
      </w:sdtPr>
      <w:sdtEndPr>
        <w:rPr>
          <w:rFonts w:cs="Times New Roman"/>
          <w:b/>
          <w:bCs/>
          <w:noProof/>
        </w:rPr>
      </w:sdtEndPr>
      <w:sdtContent>
        <w:p w14:paraId="70C086B0" w14:textId="55296713" w:rsidR="00C011DC" w:rsidRPr="00C011DC" w:rsidRDefault="00C011DC" w:rsidP="00833927">
          <w:pPr>
            <w:pStyle w:val="TOCHeading"/>
            <w:spacing w:line="360" w:lineRule="auto"/>
            <w:jc w:val="center"/>
            <w:rPr>
              <w:rFonts w:ascii="Times New Roman" w:hAnsi="Times New Roman" w:cs="Times New Roman"/>
            </w:rPr>
          </w:pPr>
          <w:r w:rsidRPr="00833927">
            <w:rPr>
              <w:rFonts w:ascii="Times New Roman" w:hAnsi="Times New Roman" w:cs="Times New Roman"/>
              <w:b/>
              <w:bCs/>
              <w:color w:val="auto"/>
              <w:sz w:val="28"/>
              <w:szCs w:val="28"/>
            </w:rPr>
            <w:t>Table of Contents</w:t>
          </w:r>
        </w:p>
        <w:p w14:paraId="362DD04C" w14:textId="4CC624E7" w:rsidR="00C011DC" w:rsidRPr="00C011DC" w:rsidRDefault="00C011DC" w:rsidP="00833927">
          <w:pPr>
            <w:pStyle w:val="TOC1"/>
            <w:tabs>
              <w:tab w:val="left" w:pos="720"/>
              <w:tab w:val="right" w:leader="dot" w:pos="9016"/>
            </w:tabs>
            <w:rPr>
              <w:rFonts w:cs="Times New Roman"/>
              <w:noProof/>
            </w:rPr>
          </w:pPr>
          <w:r w:rsidRPr="00C011DC">
            <w:rPr>
              <w:rFonts w:cs="Times New Roman"/>
            </w:rPr>
            <w:fldChar w:fldCharType="begin"/>
          </w:r>
          <w:r w:rsidRPr="00C011DC">
            <w:rPr>
              <w:rFonts w:cs="Times New Roman"/>
            </w:rPr>
            <w:instrText xml:space="preserve"> TOC \o "1-3" \h \z \u </w:instrText>
          </w:r>
          <w:r w:rsidRPr="00C011DC">
            <w:rPr>
              <w:rFonts w:cs="Times New Roman"/>
            </w:rPr>
            <w:fldChar w:fldCharType="separate"/>
          </w:r>
          <w:hyperlink w:anchor="_Toc214143554" w:history="1">
            <w:r w:rsidRPr="00C011DC">
              <w:rPr>
                <w:rStyle w:val="Hyperlink"/>
                <w:rFonts w:cs="Times New Roman"/>
                <w:noProof/>
              </w:rPr>
              <w:t>1.0</w:t>
            </w:r>
            <w:r w:rsidR="00833927">
              <w:rPr>
                <w:rFonts w:cs="Times New Roman"/>
                <w:noProof/>
              </w:rPr>
              <w:t xml:space="preserve"> </w:t>
            </w:r>
            <w:r w:rsidRPr="00C011DC">
              <w:rPr>
                <w:rStyle w:val="Hyperlink"/>
                <w:rFonts w:cs="Times New Roman"/>
                <w:noProof/>
              </w:rPr>
              <w:t>Introduction</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_Toc214143554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2</w:t>
            </w:r>
            <w:r w:rsidRPr="00C011DC">
              <w:rPr>
                <w:rFonts w:cs="Times New Roman"/>
                <w:noProof/>
                <w:webHidden/>
              </w:rPr>
              <w:fldChar w:fldCharType="end"/>
            </w:r>
          </w:hyperlink>
        </w:p>
        <w:p w14:paraId="169CD133" w14:textId="4B4CFF81" w:rsidR="00C011DC" w:rsidRPr="00C011DC" w:rsidRDefault="00C011DC" w:rsidP="00833927">
          <w:pPr>
            <w:pStyle w:val="TOC1"/>
            <w:tabs>
              <w:tab w:val="right" w:leader="dot" w:pos="9016"/>
            </w:tabs>
            <w:rPr>
              <w:rFonts w:cs="Times New Roman"/>
              <w:noProof/>
            </w:rPr>
          </w:pPr>
          <w:hyperlink w:anchor="_Toc214143555" w:history="1">
            <w:r w:rsidRPr="00C011DC">
              <w:rPr>
                <w:rStyle w:val="Hyperlink"/>
                <w:rFonts w:cs="Times New Roman"/>
                <w:noProof/>
              </w:rPr>
              <w:t>2.0 Section 1: Factors related to Business Transformation, Digital Technology Trends and Flexible Working Arrangements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_Toc214143555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2</w:t>
            </w:r>
            <w:r w:rsidRPr="00C011DC">
              <w:rPr>
                <w:rFonts w:cs="Times New Roman"/>
                <w:noProof/>
                <w:webHidden/>
              </w:rPr>
              <w:fldChar w:fldCharType="end"/>
            </w:r>
          </w:hyperlink>
        </w:p>
        <w:p w14:paraId="19123FFC" w14:textId="77FE9A0E" w:rsidR="00C011DC" w:rsidRPr="00C011DC" w:rsidRDefault="00C011DC" w:rsidP="00833927">
          <w:pPr>
            <w:pStyle w:val="TOC2"/>
            <w:tabs>
              <w:tab w:val="right" w:leader="dot" w:pos="9016"/>
            </w:tabs>
            <w:rPr>
              <w:rFonts w:cs="Times New Roman"/>
              <w:noProof/>
            </w:rPr>
          </w:pPr>
          <w:hyperlink w:anchor="_Toc214143556" w:history="1">
            <w:r w:rsidRPr="00C011DC">
              <w:rPr>
                <w:rStyle w:val="Hyperlink"/>
                <w:rFonts w:cs="Times New Roman"/>
                <w:noProof/>
              </w:rPr>
              <w:t>2.1 Business Transformation Factors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_Toc214143556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2</w:t>
            </w:r>
            <w:r w:rsidRPr="00C011DC">
              <w:rPr>
                <w:rFonts w:cs="Times New Roman"/>
                <w:noProof/>
                <w:webHidden/>
              </w:rPr>
              <w:fldChar w:fldCharType="end"/>
            </w:r>
          </w:hyperlink>
        </w:p>
        <w:p w14:paraId="6C2D71B3" w14:textId="4244A33C" w:rsidR="00C011DC" w:rsidRPr="00C011DC" w:rsidRDefault="00C011DC" w:rsidP="00833927">
          <w:pPr>
            <w:pStyle w:val="TOC2"/>
            <w:tabs>
              <w:tab w:val="right" w:leader="dot" w:pos="9016"/>
            </w:tabs>
            <w:rPr>
              <w:rFonts w:cs="Times New Roman"/>
              <w:noProof/>
            </w:rPr>
          </w:pPr>
          <w:hyperlink w:anchor="_Toc214143557" w:history="1">
            <w:r w:rsidRPr="00C011DC">
              <w:rPr>
                <w:rStyle w:val="Hyperlink"/>
                <w:rFonts w:cs="Times New Roman"/>
                <w:noProof/>
              </w:rPr>
              <w:t>2.2 Digital Technology Trends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_Toc214143557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3</w:t>
            </w:r>
            <w:r w:rsidRPr="00C011DC">
              <w:rPr>
                <w:rFonts w:cs="Times New Roman"/>
                <w:noProof/>
                <w:webHidden/>
              </w:rPr>
              <w:fldChar w:fldCharType="end"/>
            </w:r>
          </w:hyperlink>
        </w:p>
        <w:p w14:paraId="266FC0FD" w14:textId="7E7634B3" w:rsidR="00C011DC" w:rsidRPr="00C011DC" w:rsidRDefault="00C011DC" w:rsidP="00833927">
          <w:pPr>
            <w:pStyle w:val="TOC2"/>
            <w:tabs>
              <w:tab w:val="right" w:leader="dot" w:pos="9016"/>
            </w:tabs>
            <w:rPr>
              <w:rFonts w:cs="Times New Roman"/>
              <w:noProof/>
            </w:rPr>
          </w:pPr>
          <w:hyperlink w:anchor="_Toc214143558" w:history="1">
            <w:r w:rsidRPr="00C011DC">
              <w:rPr>
                <w:rStyle w:val="Hyperlink"/>
                <w:rFonts w:cs="Times New Roman"/>
                <w:noProof/>
              </w:rPr>
              <w:t>2.3 Flexible Working Arrangements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_Toc214143558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3</w:t>
            </w:r>
            <w:r w:rsidRPr="00C011DC">
              <w:rPr>
                <w:rFonts w:cs="Times New Roman"/>
                <w:noProof/>
                <w:webHidden/>
              </w:rPr>
              <w:fldChar w:fldCharType="end"/>
            </w:r>
          </w:hyperlink>
        </w:p>
        <w:p w14:paraId="284B5F30" w14:textId="39B3CAFB" w:rsidR="00C011DC" w:rsidRPr="00C011DC" w:rsidRDefault="00C011DC" w:rsidP="00833927">
          <w:pPr>
            <w:pStyle w:val="TOC1"/>
            <w:tabs>
              <w:tab w:val="right" w:leader="dot" w:pos="9016"/>
            </w:tabs>
            <w:rPr>
              <w:rFonts w:cs="Times New Roman"/>
              <w:noProof/>
            </w:rPr>
          </w:pPr>
          <w:hyperlink w:anchor="_Toc214143559" w:history="1">
            <w:r w:rsidRPr="00C011DC">
              <w:rPr>
                <w:rStyle w:val="Hyperlink"/>
                <w:rFonts w:cs="Times New Roman"/>
                <w:noProof/>
              </w:rPr>
              <w:t>3.0 Section 2: Contemporary HR Practices to Address the Above Factors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_Toc214143559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4</w:t>
            </w:r>
            <w:r w:rsidRPr="00C011DC">
              <w:rPr>
                <w:rFonts w:cs="Times New Roman"/>
                <w:noProof/>
                <w:webHidden/>
              </w:rPr>
              <w:fldChar w:fldCharType="end"/>
            </w:r>
          </w:hyperlink>
        </w:p>
        <w:p w14:paraId="6E8F6D88" w14:textId="36E054D0" w:rsidR="00C011DC" w:rsidRPr="00C011DC" w:rsidRDefault="00C011DC" w:rsidP="00833927">
          <w:pPr>
            <w:pStyle w:val="TOC2"/>
            <w:tabs>
              <w:tab w:val="right" w:leader="dot" w:pos="9016"/>
            </w:tabs>
            <w:rPr>
              <w:rFonts w:cs="Times New Roman"/>
              <w:noProof/>
            </w:rPr>
          </w:pPr>
          <w:hyperlink w:anchor="_Toc214143560" w:history="1">
            <w:r w:rsidRPr="00C011DC">
              <w:rPr>
                <w:rStyle w:val="Hyperlink"/>
                <w:rFonts w:cs="Times New Roman"/>
                <w:noProof/>
              </w:rPr>
              <w:t>3.1 HR Practices for Managing Business Transformation</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_Toc214143560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4</w:t>
            </w:r>
            <w:r w:rsidRPr="00C011DC">
              <w:rPr>
                <w:rFonts w:cs="Times New Roman"/>
                <w:noProof/>
                <w:webHidden/>
              </w:rPr>
              <w:fldChar w:fldCharType="end"/>
            </w:r>
          </w:hyperlink>
        </w:p>
        <w:p w14:paraId="0F69E3FC" w14:textId="64095A10" w:rsidR="00C011DC" w:rsidRPr="00C011DC" w:rsidRDefault="00C011DC" w:rsidP="00833927">
          <w:pPr>
            <w:pStyle w:val="TOC2"/>
            <w:tabs>
              <w:tab w:val="right" w:leader="dot" w:pos="9016"/>
            </w:tabs>
            <w:rPr>
              <w:rFonts w:cs="Times New Roman"/>
              <w:noProof/>
            </w:rPr>
          </w:pPr>
          <w:hyperlink w:anchor="_Toc214143561" w:history="1">
            <w:r w:rsidRPr="00C011DC">
              <w:rPr>
                <w:rStyle w:val="Hyperlink"/>
                <w:rFonts w:cs="Times New Roman"/>
                <w:noProof/>
              </w:rPr>
              <w:t>3.2 HR Practices for Supporting Digital Technology Trends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_Toc214143561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4</w:t>
            </w:r>
            <w:r w:rsidRPr="00C011DC">
              <w:rPr>
                <w:rFonts w:cs="Times New Roman"/>
                <w:noProof/>
                <w:webHidden/>
              </w:rPr>
              <w:fldChar w:fldCharType="end"/>
            </w:r>
          </w:hyperlink>
        </w:p>
        <w:p w14:paraId="6C5BEB79" w14:textId="4BD08578" w:rsidR="00C011DC" w:rsidRPr="00C011DC" w:rsidRDefault="00C011DC" w:rsidP="00833927">
          <w:pPr>
            <w:pStyle w:val="TOC2"/>
            <w:tabs>
              <w:tab w:val="right" w:leader="dot" w:pos="9016"/>
            </w:tabs>
            <w:rPr>
              <w:rFonts w:cs="Times New Roman"/>
              <w:noProof/>
            </w:rPr>
          </w:pPr>
          <w:hyperlink w:anchor="_Toc214143562" w:history="1">
            <w:r w:rsidRPr="00C011DC">
              <w:rPr>
                <w:rStyle w:val="Hyperlink"/>
                <w:rFonts w:cs="Times New Roman"/>
                <w:noProof/>
              </w:rPr>
              <w:t>4.3 HR Practices for Managing Flexible Working Arrangements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_Toc214143562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5</w:t>
            </w:r>
            <w:r w:rsidRPr="00C011DC">
              <w:rPr>
                <w:rFonts w:cs="Times New Roman"/>
                <w:noProof/>
                <w:webHidden/>
              </w:rPr>
              <w:fldChar w:fldCharType="end"/>
            </w:r>
          </w:hyperlink>
        </w:p>
        <w:p w14:paraId="1D657240" w14:textId="3D651BA9" w:rsidR="00C011DC" w:rsidRPr="00C011DC" w:rsidRDefault="00C011DC" w:rsidP="00833927">
          <w:pPr>
            <w:pStyle w:val="TOC1"/>
            <w:tabs>
              <w:tab w:val="right" w:leader="dot" w:pos="9016"/>
            </w:tabs>
            <w:rPr>
              <w:rFonts w:cs="Times New Roman"/>
              <w:noProof/>
            </w:rPr>
          </w:pPr>
          <w:hyperlink w:anchor="_Toc214143563" w:history="1">
            <w:r w:rsidRPr="00C011DC">
              <w:rPr>
                <w:rStyle w:val="Hyperlink"/>
                <w:rFonts w:cs="Times New Roman"/>
                <w:noProof/>
              </w:rPr>
              <w:t>4.0 Section 3: Critical Evaluation</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_Toc214143563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5</w:t>
            </w:r>
            <w:r w:rsidRPr="00C011DC">
              <w:rPr>
                <w:rFonts w:cs="Times New Roman"/>
                <w:noProof/>
                <w:webHidden/>
              </w:rPr>
              <w:fldChar w:fldCharType="end"/>
            </w:r>
          </w:hyperlink>
        </w:p>
        <w:p w14:paraId="57DCCD4D" w14:textId="1F5E0DB5" w:rsidR="00C011DC" w:rsidRPr="00C011DC" w:rsidRDefault="00C011DC" w:rsidP="00833927">
          <w:pPr>
            <w:pStyle w:val="TOC1"/>
            <w:tabs>
              <w:tab w:val="right" w:leader="dot" w:pos="9016"/>
            </w:tabs>
            <w:rPr>
              <w:rFonts w:cs="Times New Roman"/>
              <w:noProof/>
            </w:rPr>
          </w:pPr>
          <w:hyperlink w:anchor="_Toc214143564" w:history="1">
            <w:r w:rsidRPr="00C011DC">
              <w:rPr>
                <w:rStyle w:val="Hyperlink"/>
                <w:rFonts w:cs="Times New Roman"/>
                <w:noProof/>
              </w:rPr>
              <w:t>5.0 Conclusion</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_Toc214143564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7</w:t>
            </w:r>
            <w:r w:rsidRPr="00C011DC">
              <w:rPr>
                <w:rFonts w:cs="Times New Roman"/>
                <w:noProof/>
                <w:webHidden/>
              </w:rPr>
              <w:fldChar w:fldCharType="end"/>
            </w:r>
          </w:hyperlink>
        </w:p>
        <w:p w14:paraId="4CBCEAD3" w14:textId="2619BC0E" w:rsidR="00C011DC" w:rsidRPr="00C011DC" w:rsidRDefault="00C011DC" w:rsidP="00833927">
          <w:pPr>
            <w:pStyle w:val="TOC1"/>
            <w:tabs>
              <w:tab w:val="right" w:leader="dot" w:pos="9016"/>
            </w:tabs>
            <w:rPr>
              <w:rFonts w:cs="Times New Roman"/>
              <w:noProof/>
            </w:rPr>
          </w:pPr>
          <w:hyperlink w:anchor="_Toc214143565" w:history="1">
            <w:r w:rsidRPr="00C011DC">
              <w:rPr>
                <w:rStyle w:val="Hyperlink"/>
                <w:rFonts w:cs="Times New Roman"/>
                <w:noProof/>
              </w:rPr>
              <w:t>6.0 Recommendations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_Toc214143565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7</w:t>
            </w:r>
            <w:r w:rsidRPr="00C011DC">
              <w:rPr>
                <w:rFonts w:cs="Times New Roman"/>
                <w:noProof/>
                <w:webHidden/>
              </w:rPr>
              <w:fldChar w:fldCharType="end"/>
            </w:r>
          </w:hyperlink>
        </w:p>
        <w:p w14:paraId="0689710E" w14:textId="527CFEF2" w:rsidR="00C011DC" w:rsidRPr="00C011DC" w:rsidRDefault="00C011DC" w:rsidP="00833927">
          <w:pPr>
            <w:pStyle w:val="TOC1"/>
            <w:tabs>
              <w:tab w:val="right" w:leader="dot" w:pos="9016"/>
            </w:tabs>
            <w:rPr>
              <w:rFonts w:cs="Times New Roman"/>
              <w:noProof/>
            </w:rPr>
          </w:pPr>
          <w:hyperlink w:anchor="_Toc214143566" w:history="1">
            <w:r w:rsidRPr="00C011DC">
              <w:rPr>
                <w:rStyle w:val="Hyperlink"/>
                <w:rFonts w:cs="Times New Roman"/>
                <w:noProof/>
              </w:rPr>
              <w:t>7.0 References</w:t>
            </w:r>
            <w:r w:rsidRPr="00C011DC">
              <w:rPr>
                <w:rFonts w:cs="Times New Roman"/>
                <w:noProof/>
                <w:webHidden/>
              </w:rPr>
              <w:tab/>
            </w:r>
            <w:r w:rsidRPr="00C011DC">
              <w:rPr>
                <w:rFonts w:cs="Times New Roman"/>
                <w:noProof/>
                <w:webHidden/>
              </w:rPr>
              <w:fldChar w:fldCharType="begin"/>
            </w:r>
            <w:r w:rsidRPr="00C011DC">
              <w:rPr>
                <w:rFonts w:cs="Times New Roman"/>
                <w:noProof/>
                <w:webHidden/>
              </w:rPr>
              <w:instrText xml:space="preserve"> PAGEREF _Toc214143566 \h </w:instrText>
            </w:r>
            <w:r w:rsidRPr="00C011DC">
              <w:rPr>
                <w:rFonts w:cs="Times New Roman"/>
                <w:noProof/>
                <w:webHidden/>
              </w:rPr>
            </w:r>
            <w:r w:rsidRPr="00C011DC">
              <w:rPr>
                <w:rFonts w:cs="Times New Roman"/>
                <w:noProof/>
                <w:webHidden/>
              </w:rPr>
              <w:fldChar w:fldCharType="separate"/>
            </w:r>
            <w:r w:rsidRPr="00C011DC">
              <w:rPr>
                <w:rFonts w:cs="Times New Roman"/>
                <w:noProof/>
                <w:webHidden/>
              </w:rPr>
              <w:t>8</w:t>
            </w:r>
            <w:r w:rsidRPr="00C011DC">
              <w:rPr>
                <w:rFonts w:cs="Times New Roman"/>
                <w:noProof/>
                <w:webHidden/>
              </w:rPr>
              <w:fldChar w:fldCharType="end"/>
            </w:r>
          </w:hyperlink>
        </w:p>
        <w:p w14:paraId="24FBFF62" w14:textId="204D6BB3" w:rsidR="00C011DC" w:rsidRPr="00C011DC" w:rsidRDefault="00C011DC" w:rsidP="00833927">
          <w:pPr>
            <w:rPr>
              <w:rFonts w:cs="Times New Roman"/>
            </w:rPr>
          </w:pPr>
          <w:r w:rsidRPr="00C011DC">
            <w:rPr>
              <w:rFonts w:cs="Times New Roman"/>
              <w:b/>
              <w:bCs/>
              <w:noProof/>
            </w:rPr>
            <w:fldChar w:fldCharType="end"/>
          </w:r>
        </w:p>
      </w:sdtContent>
    </w:sdt>
    <w:p w14:paraId="62C8BEC3" w14:textId="77777777" w:rsidR="00C011DC" w:rsidRDefault="00C011DC" w:rsidP="00833927">
      <w:pPr>
        <w:jc w:val="left"/>
        <w:rPr>
          <w:rFonts w:eastAsiaTheme="majorEastAsia" w:cstheme="majorBidi"/>
          <w:b/>
          <w:szCs w:val="40"/>
        </w:rPr>
      </w:pPr>
      <w:bookmarkStart w:id="0" w:name="_Toc214143554"/>
      <w:r>
        <w:br w:type="page"/>
      </w:r>
    </w:p>
    <w:p w14:paraId="300320DF" w14:textId="51DE9361" w:rsidR="004D4AA9" w:rsidRDefault="00E62B2E" w:rsidP="00765A48">
      <w:pPr>
        <w:pStyle w:val="Heading1"/>
        <w:numPr>
          <w:ilvl w:val="0"/>
          <w:numId w:val="1"/>
        </w:numPr>
      </w:pPr>
      <w:r>
        <w:lastRenderedPageBreak/>
        <w:t>Introduction</w:t>
      </w:r>
      <w:bookmarkEnd w:id="0"/>
      <w:r>
        <w:t xml:space="preserve"> </w:t>
      </w:r>
    </w:p>
    <w:p w14:paraId="5FFD333A" w14:textId="32D1157E" w:rsidR="00765A48" w:rsidRPr="00765A48" w:rsidRDefault="000726E8" w:rsidP="00765A48">
      <w:r>
        <w:t>As</w:t>
      </w:r>
      <w:r w:rsidR="0019110B" w:rsidRPr="0019110B">
        <w:t xml:space="preserve"> a new team member </w:t>
      </w:r>
      <w:r>
        <w:t>in</w:t>
      </w:r>
      <w:r w:rsidR="0019110B" w:rsidRPr="0019110B">
        <w:t xml:space="preserve"> the HR department at </w:t>
      </w:r>
      <w:r>
        <w:t>Unilever, a British MNC headquartered in</w:t>
      </w:r>
      <w:r w:rsidR="0019110B" w:rsidRPr="0019110B">
        <w:t xml:space="preserve"> London,</w:t>
      </w:r>
      <w:r>
        <w:t xml:space="preserve"> </w:t>
      </w:r>
      <w:r w:rsidR="0019110B" w:rsidRPr="0019110B">
        <w:t>a huge number of employee complaints within a short period, was</w:t>
      </w:r>
      <w:r>
        <w:t xml:space="preserve"> noticed,</w:t>
      </w:r>
      <w:r w:rsidR="0019110B" w:rsidRPr="0019110B">
        <w:t xml:space="preserve"> </w:t>
      </w:r>
      <w:r>
        <w:t>indicating several</w:t>
      </w:r>
      <w:r w:rsidR="0019110B" w:rsidRPr="0019110B">
        <w:t xml:space="preserve"> organisation-level problems. These obstacles seem to be outlined in direct connection to the current business transformation processes, new trends in digital technologies and the fast development of flexible employment practices. These changes have caused changes in the </w:t>
      </w:r>
      <w:r>
        <w:t>traditional</w:t>
      </w:r>
      <w:r w:rsidR="0019110B" w:rsidRPr="0019110B">
        <w:t xml:space="preserve"> work practices leading to unpredictability, lack of skills, communication interruptions and a sense of inequalities in the workload and approach to management. This report </w:t>
      </w:r>
      <w:r w:rsidR="00F35947">
        <w:t>will</w:t>
      </w:r>
      <w:r w:rsidR="0019110B" w:rsidRPr="0019110B">
        <w:t xml:space="preserve"> explore the causative conditions that lead to these grievances and evaluates the modern HR practices that can effectively help manage these grievances and critically </w:t>
      </w:r>
      <w:r w:rsidR="006E0FA1">
        <w:t>explain ways,</w:t>
      </w:r>
      <w:r w:rsidR="0019110B" w:rsidRPr="0019110B">
        <w:t xml:space="preserve"> departmental managers can ensure that they are implemented on time and at the same pace. The major concepts that </w:t>
      </w:r>
      <w:r w:rsidR="006E0FA1">
        <w:t>will be</w:t>
      </w:r>
      <w:r w:rsidR="0019110B" w:rsidRPr="0019110B">
        <w:t xml:space="preserve"> examined include business transformation, digital HRM, and flexible working. The report ends by giving practical recommendations that will empower the experience of workers and organisational performance.</w:t>
      </w:r>
    </w:p>
    <w:p w14:paraId="20697D59" w14:textId="6635854E" w:rsidR="00E62B2E" w:rsidRDefault="00AA605F" w:rsidP="00A257EC">
      <w:pPr>
        <w:pStyle w:val="Heading1"/>
      </w:pPr>
      <w:bookmarkStart w:id="1" w:name="_Toc214143555"/>
      <w:r>
        <w:t xml:space="preserve">2.0 </w:t>
      </w:r>
      <w:r w:rsidR="003F1E85">
        <w:t xml:space="preserve">Section 1: </w:t>
      </w:r>
      <w:r w:rsidR="00F4407F">
        <w:t>Factors related to Business Transformation, Digital Technology Trends and Flexible Working Arrangements</w:t>
      </w:r>
      <w:bookmarkEnd w:id="1"/>
    </w:p>
    <w:p w14:paraId="1B245DC3" w14:textId="77215CD1" w:rsidR="009D2ED9" w:rsidRDefault="00196696" w:rsidP="00A257EC">
      <w:pPr>
        <w:pStyle w:val="Heading2"/>
      </w:pPr>
      <w:bookmarkStart w:id="2" w:name="_Toc214143556"/>
      <w:r>
        <w:t>2</w:t>
      </w:r>
      <w:r w:rsidR="009D2ED9">
        <w:t>.1 Business Transformation Factors</w:t>
      </w:r>
      <w:bookmarkEnd w:id="2"/>
      <w:r w:rsidR="009D2ED9">
        <w:t xml:space="preserve"> </w:t>
      </w:r>
    </w:p>
    <w:p w14:paraId="027D8B2B" w14:textId="2390403A" w:rsidR="00765A48" w:rsidRPr="00765A48" w:rsidRDefault="00554B18" w:rsidP="00765A48">
      <w:r w:rsidRPr="00554B18">
        <w:t xml:space="preserve">Business </w:t>
      </w:r>
      <w:r w:rsidR="00582721">
        <w:t>transformation</w:t>
      </w:r>
      <w:r w:rsidRPr="00554B18">
        <w:t xml:space="preserve"> within an HR setting is a major organisational change in terms of its restructuring, greater use of automation, and transformation of workplace culture to enhance efficiency and competitiveness</w:t>
      </w:r>
      <w:r w:rsidR="00C53E83">
        <w:t xml:space="preserve"> (</w:t>
      </w:r>
      <w:r w:rsidR="00C53E83" w:rsidRPr="008948DF">
        <w:t>Dash, 2023</w:t>
      </w:r>
      <w:r w:rsidR="00C53E83">
        <w:t>)</w:t>
      </w:r>
      <w:r w:rsidRPr="00554B18">
        <w:t xml:space="preserve">. Although that is necessary to enable growth in the long run, this transformation usually brings about employee anxieties that result in increased grievances. Restructuring and automation may lead to job insecurity as the employees worry whether they might become redundant or have fewer roles to play or others may come </w:t>
      </w:r>
      <w:r w:rsidR="00582721" w:rsidRPr="00554B18">
        <w:t>up and</w:t>
      </w:r>
      <w:r w:rsidRPr="00554B18">
        <w:t xml:space="preserve"> become ambiguous where expectations are not set out. Resistance to change can equally be caused by cultural changes, including transferring to more digital, data-driven forms of working, and may also affect employees who feel uneasy or lack the necessary support. Quick changes break the usual patterns, the dynamics of teams, and the accepted norms, which may confuse the workers and undermine trust. Such uncertainty makes the workforce expectations </w:t>
      </w:r>
      <w:r w:rsidR="00582721">
        <w:t>less stable</w:t>
      </w:r>
      <w:r w:rsidRPr="00554B18">
        <w:t xml:space="preserve">, career advancement, and workload </w:t>
      </w:r>
      <w:r w:rsidR="000D6004">
        <w:t>fairness</w:t>
      </w:r>
      <w:r w:rsidRPr="00554B18">
        <w:t xml:space="preserve"> unstable leading to an increased level of stress and a higher chance of making formal complaints.</w:t>
      </w:r>
    </w:p>
    <w:p w14:paraId="2484BFEA" w14:textId="5A6F6103" w:rsidR="009D2ED9" w:rsidRDefault="00196696" w:rsidP="00A257EC">
      <w:pPr>
        <w:pStyle w:val="Heading2"/>
      </w:pPr>
      <w:bookmarkStart w:id="3" w:name="_Toc214143557"/>
      <w:r>
        <w:lastRenderedPageBreak/>
        <w:t>2</w:t>
      </w:r>
      <w:r w:rsidR="009D2ED9">
        <w:t>.2 Digital Technology Trends</w:t>
      </w:r>
      <w:bookmarkEnd w:id="3"/>
      <w:r w:rsidR="009D2ED9">
        <w:t xml:space="preserve"> </w:t>
      </w:r>
    </w:p>
    <w:p w14:paraId="4189F1B2" w14:textId="6500280C" w:rsidR="00750D66" w:rsidRPr="00750D66" w:rsidRDefault="001647CD" w:rsidP="00750D66">
      <w:r w:rsidRPr="001647CD">
        <w:t xml:space="preserve">The trends of digital technology are transforming HR and team </w:t>
      </w:r>
      <w:r w:rsidR="00992A0E" w:rsidRPr="001647CD">
        <w:t>management,</w:t>
      </w:r>
      <w:r w:rsidRPr="001647CD">
        <w:t xml:space="preserve"> and HR Information Systems simplify data management, AI recruitment </w:t>
      </w:r>
      <w:r w:rsidR="00992A0E">
        <w:t>improve</w:t>
      </w:r>
      <w:r w:rsidRPr="001647CD">
        <w:t xml:space="preserve"> candidate</w:t>
      </w:r>
      <w:r w:rsidR="00992A0E">
        <w:t xml:space="preserve"> screening</w:t>
      </w:r>
      <w:r w:rsidRPr="001647CD">
        <w:t xml:space="preserve">, digital </w:t>
      </w:r>
      <w:r w:rsidR="00992A0E">
        <w:t>performance system</w:t>
      </w:r>
      <w:r w:rsidR="00AD03F4">
        <w:t xml:space="preserve"> enable </w:t>
      </w:r>
      <w:r w:rsidRPr="001647CD">
        <w:t xml:space="preserve">real-time feedback and allow tracking the productivity of </w:t>
      </w:r>
      <w:r w:rsidR="00AD03F4">
        <w:t xml:space="preserve">the </w:t>
      </w:r>
      <w:r w:rsidRPr="001647CD">
        <w:t xml:space="preserve">personnel. Daily collaboration, particularly in the </w:t>
      </w:r>
      <w:r>
        <w:t xml:space="preserve">hybrid </w:t>
      </w:r>
      <w:r w:rsidRPr="001647CD">
        <w:t xml:space="preserve">workplaces </w:t>
      </w:r>
      <w:r>
        <w:t>are</w:t>
      </w:r>
      <w:r w:rsidRPr="001647CD">
        <w:t xml:space="preserve"> now supported by the remote digital communication platforms, all of which are Teams and Zoom</w:t>
      </w:r>
      <w:r w:rsidR="00C50551">
        <w:t xml:space="preserve"> (</w:t>
      </w:r>
      <w:r w:rsidR="00C50551" w:rsidRPr="008948DF">
        <w:t>Iqbal, Khalid and Barykin, 2021</w:t>
      </w:r>
      <w:r w:rsidR="00C50551">
        <w:t>)</w:t>
      </w:r>
      <w:r w:rsidRPr="001647CD">
        <w:t xml:space="preserve">. Nevertheless, there is a tendency that these developments provoke grievances among the employees. Numerous employees have inadequate </w:t>
      </w:r>
      <w:r w:rsidR="00AD03F4">
        <w:t>digital skills</w:t>
      </w:r>
      <w:r w:rsidRPr="001647CD">
        <w:t>, which causes frustrations and low self-confidence, whereas greater utili</w:t>
      </w:r>
      <w:r w:rsidR="00AD03F4">
        <w:t>s</w:t>
      </w:r>
      <w:r w:rsidRPr="001647CD">
        <w:t>ation of the system also adds to the problem of techn</w:t>
      </w:r>
      <w:r w:rsidR="00541F4B">
        <w:t xml:space="preserve">ical </w:t>
      </w:r>
      <w:r w:rsidRPr="001647CD">
        <w:t>stress, which is emerging as a concern in the recent researches of digital overload between 2020 and 2025</w:t>
      </w:r>
      <w:r w:rsidR="003369DB">
        <w:t xml:space="preserve"> (</w:t>
      </w:r>
      <w:r w:rsidR="003369DB" w:rsidRPr="008948DF">
        <w:t>Yen, 2024</w:t>
      </w:r>
      <w:r w:rsidR="003369DB">
        <w:t>)</w:t>
      </w:r>
      <w:r w:rsidRPr="001647CD">
        <w:t xml:space="preserve">. Another issue raised by data privacy is the concern that employees are worried about the relevance of personal data usage and data storage to HRIS and AI tools. Moreover, continuous computer surveillance and tracking performance may develop a sense of being watched and being distrusted. </w:t>
      </w:r>
    </w:p>
    <w:p w14:paraId="2979A9F9" w14:textId="0645BFA4" w:rsidR="009D2ED9" w:rsidRDefault="00196696" w:rsidP="00A257EC">
      <w:pPr>
        <w:pStyle w:val="Heading2"/>
      </w:pPr>
      <w:bookmarkStart w:id="4" w:name="_Toc214143558"/>
      <w:r>
        <w:t>2</w:t>
      </w:r>
      <w:r w:rsidR="009D2ED9">
        <w:t>.3 Flexible Working Arrangements</w:t>
      </w:r>
      <w:bookmarkEnd w:id="4"/>
      <w:r w:rsidR="009D2ED9">
        <w:t xml:space="preserve"> </w:t>
      </w:r>
    </w:p>
    <w:p w14:paraId="2D0790CA" w14:textId="2216C1EB" w:rsidR="00A46DD9" w:rsidRPr="00A46DD9" w:rsidRDefault="00DB5AC4" w:rsidP="00A46DD9">
      <w:r w:rsidRPr="00DB5AC4">
        <w:t xml:space="preserve">Flexible working includes variety of different configurations such as hybrid work, remote work, compressed work hours, job sharing that aim at providing the workers with more flexibility on when and where to be at work. </w:t>
      </w:r>
      <w:r w:rsidR="0080583B">
        <w:t>As</w:t>
      </w:r>
      <w:r w:rsidRPr="00DB5AC4">
        <w:t xml:space="preserve"> indicate</w:t>
      </w:r>
      <w:r w:rsidR="0080583B">
        <w:t>d by</w:t>
      </w:r>
      <w:r w:rsidRPr="00DB5AC4">
        <w:t xml:space="preserve"> </w:t>
      </w:r>
      <w:r w:rsidR="0093524E" w:rsidRPr="008948DF">
        <w:t>Browne (2018)</w:t>
      </w:r>
      <w:r w:rsidR="0093524E">
        <w:t xml:space="preserve">, </w:t>
      </w:r>
      <w:r w:rsidRPr="00DB5AC4">
        <w:t>70% of employees currently work flexibly at least once a week, such arrangements also present significant problems to teams. The communication was weak because team members have to work in various times and different locations, coordinat</w:t>
      </w:r>
      <w:r w:rsidR="001954B0">
        <w:t>e</w:t>
      </w:r>
      <w:r w:rsidRPr="00DB5AC4">
        <w:t xml:space="preserve"> and shar</w:t>
      </w:r>
      <w:r w:rsidR="001954B0">
        <w:t>e</w:t>
      </w:r>
      <w:r w:rsidRPr="00DB5AC4">
        <w:t xml:space="preserve"> information regular</w:t>
      </w:r>
      <w:r w:rsidR="001954B0">
        <w:t>ly</w:t>
      </w:r>
      <w:r w:rsidRPr="00DB5AC4">
        <w:t>. The imbalance in workload may also be perceived unequally with some employees feeling that remote workers appear less visible and consequently do not put in sufficient efforts and hence</w:t>
      </w:r>
      <w:r w:rsidR="001954B0">
        <w:t xml:space="preserve"> causing</w:t>
      </w:r>
      <w:r w:rsidRPr="00DB5AC4">
        <w:t xml:space="preserve"> resistance to fairness. The other issue i</w:t>
      </w:r>
      <w:r w:rsidR="00E5738B">
        <w:t>nclude</w:t>
      </w:r>
      <w:r w:rsidRPr="00DB5AC4">
        <w:t xml:space="preserve"> </w:t>
      </w:r>
      <w:r w:rsidR="000F199B">
        <w:t xml:space="preserve">the risk of </w:t>
      </w:r>
      <w:r w:rsidRPr="00DB5AC4">
        <w:t>isolation</w:t>
      </w:r>
      <w:r w:rsidR="000F199B">
        <w:t>,</w:t>
      </w:r>
      <w:r w:rsidRPr="00DB5AC4">
        <w:t xml:space="preserve"> </w:t>
      </w:r>
      <w:r w:rsidR="000F199B">
        <w:t>where</w:t>
      </w:r>
      <w:r w:rsidRPr="00DB5AC4">
        <w:t xml:space="preserve"> more than </w:t>
      </w:r>
      <w:r w:rsidR="002E3DED">
        <w:t>51</w:t>
      </w:r>
      <w:r w:rsidR="0013623F">
        <w:t>%</w:t>
      </w:r>
      <w:r w:rsidRPr="00DB5AC4">
        <w:t xml:space="preserve"> of remote workers </w:t>
      </w:r>
      <w:r w:rsidR="0006314A">
        <w:t>mention</w:t>
      </w:r>
      <w:r w:rsidRPr="00DB5AC4">
        <w:t xml:space="preserve"> that their team cohesion has weaken</w:t>
      </w:r>
      <w:r w:rsidR="002E3DED">
        <w:t xml:space="preserve"> (</w:t>
      </w:r>
      <w:r w:rsidR="002E3DED">
        <w:rPr>
          <w:lang w:val="en-IN"/>
        </w:rPr>
        <w:t>Bojic, 2025)</w:t>
      </w:r>
      <w:r w:rsidRPr="00DB5AC4">
        <w:t xml:space="preserve">. Also, work-life </w:t>
      </w:r>
      <w:r w:rsidR="0006314A">
        <w:t xml:space="preserve">boundaries might get blurred, negatively affecting well-being, </w:t>
      </w:r>
      <w:r w:rsidRPr="00DB5AC4">
        <w:t xml:space="preserve">whereby employees increase their working hours without planning on it. </w:t>
      </w:r>
      <w:r w:rsidR="0006314A">
        <w:t>Regulations like</w:t>
      </w:r>
      <w:r w:rsidRPr="00DB5AC4">
        <w:t xml:space="preserve"> Flexible Working Act (2023) allow the employees to seek flexible working hours, and organisations must deal with such requests in a fair, transparent, and statutory manner</w:t>
      </w:r>
      <w:r w:rsidR="009D0FF7">
        <w:t xml:space="preserve"> (</w:t>
      </w:r>
      <w:r w:rsidR="009D0FF7" w:rsidRPr="008948DF">
        <w:t>Mallow, 2023</w:t>
      </w:r>
      <w:r w:rsidR="009D0FF7">
        <w:t>)</w:t>
      </w:r>
      <w:r w:rsidRPr="00DB5AC4">
        <w:t>.</w:t>
      </w:r>
    </w:p>
    <w:p w14:paraId="23ECA954" w14:textId="26172395" w:rsidR="009D2ED9" w:rsidRDefault="00AA605F" w:rsidP="00A257EC">
      <w:pPr>
        <w:pStyle w:val="Heading1"/>
      </w:pPr>
      <w:bookmarkStart w:id="5" w:name="_Toc214143559"/>
      <w:r>
        <w:lastRenderedPageBreak/>
        <w:t xml:space="preserve">3.0 </w:t>
      </w:r>
      <w:r w:rsidR="009D2ED9">
        <w:t xml:space="preserve">Section 2: </w:t>
      </w:r>
      <w:r w:rsidR="00062694">
        <w:t>Contemporary HR Practices to Address the Above Factors</w:t>
      </w:r>
      <w:bookmarkEnd w:id="5"/>
      <w:r w:rsidR="00062694">
        <w:t xml:space="preserve"> </w:t>
      </w:r>
    </w:p>
    <w:p w14:paraId="67DC90D5" w14:textId="7E6F1AD3" w:rsidR="00196696" w:rsidRDefault="00196696" w:rsidP="00A257EC">
      <w:pPr>
        <w:pStyle w:val="Heading2"/>
      </w:pPr>
      <w:bookmarkStart w:id="6" w:name="_Toc214143560"/>
      <w:r>
        <w:t xml:space="preserve">3.1 </w:t>
      </w:r>
      <w:r w:rsidR="005067E1">
        <w:t>HR Practices for Managing Business Transformation</w:t>
      </w:r>
      <w:bookmarkEnd w:id="6"/>
      <w:r w:rsidR="005067E1">
        <w:t xml:space="preserve"> </w:t>
      </w:r>
    </w:p>
    <w:p w14:paraId="775DEB88" w14:textId="6BE82726" w:rsidR="00C87E5B" w:rsidRPr="008A3718" w:rsidRDefault="007C7851" w:rsidP="00C87E5B">
      <w:pPr>
        <w:rPr>
          <w:lang w:val="en-IN"/>
        </w:rPr>
      </w:pPr>
      <w:r w:rsidRPr="007C7851">
        <w:t>In the process of assisting business transformation, modern HR approaches are important starting with the incorporation of change management models like</w:t>
      </w:r>
      <w:r w:rsidR="0006314A">
        <w:t xml:space="preserve"> Lewin</w:t>
      </w:r>
      <w:r w:rsidRPr="007C7851">
        <w:t xml:space="preserve"> </w:t>
      </w:r>
      <w:r w:rsidR="0006314A">
        <w:t xml:space="preserve">that include stages like </w:t>
      </w:r>
      <w:r w:rsidRPr="007C7851">
        <w:t>Unfreeze Change Refreeze developed to assist the employees to accomplish transitions in a planned and accommodative manner</w:t>
      </w:r>
      <w:r w:rsidR="0033674C">
        <w:t xml:space="preserve"> (</w:t>
      </w:r>
      <w:r w:rsidR="0033674C" w:rsidRPr="008948DF">
        <w:t>Burnes, 2020</w:t>
      </w:r>
      <w:r w:rsidR="0033674C">
        <w:t>)</w:t>
      </w:r>
      <w:r w:rsidRPr="007C7851">
        <w:t>. Clear internal communication plans also contribute to minimi</w:t>
      </w:r>
      <w:r w:rsidR="0006314A">
        <w:t>s</w:t>
      </w:r>
      <w:r w:rsidRPr="007C7851">
        <w:t xml:space="preserve">ing the levels of uncertainty as employees can know the reason why change is necessary, the results of changes, and their new roles. The role redesign and workforce planning allows HR teams to match their organisation needs and skills, whereas employee contribution, through consultation mechanisms, leads to ownership and decreased resistance. Reskilling and upskilling of personnel applies where digital transformation of processes or introduction of new processes are </w:t>
      </w:r>
      <w:r w:rsidR="0006314A" w:rsidRPr="007C7851">
        <w:t>involved,</w:t>
      </w:r>
      <w:r w:rsidRPr="007C7851">
        <w:t xml:space="preserve"> and this requires training and development programs</w:t>
      </w:r>
      <w:r w:rsidR="003C16FF">
        <w:t xml:space="preserve"> (</w:t>
      </w:r>
      <w:r w:rsidR="003C16FF" w:rsidRPr="008948DF">
        <w:t>Bouwmans</w:t>
      </w:r>
      <w:r w:rsidR="003C16FF">
        <w:t xml:space="preserve"> </w:t>
      </w:r>
      <w:r w:rsidR="003C16FF">
        <w:rPr>
          <w:i/>
          <w:iCs/>
        </w:rPr>
        <w:t xml:space="preserve">et al., </w:t>
      </w:r>
      <w:r w:rsidR="003C16FF" w:rsidRPr="008948DF">
        <w:t>2024</w:t>
      </w:r>
      <w:r w:rsidR="003C16FF">
        <w:t>)</w:t>
      </w:r>
      <w:r w:rsidRPr="007C7851">
        <w:t xml:space="preserve">. These practices have definite strengths, such as they make the engagement more effective, offer better transitions and </w:t>
      </w:r>
      <w:r w:rsidR="0006314A">
        <w:t>improve</w:t>
      </w:r>
      <w:r w:rsidRPr="007C7851">
        <w:t xml:space="preserve"> capability building. Nonetheless, constraints occur in case of poor communication execution, lack of resource, and failure by managers to properly apply frameworks. Their general success is based on the organisational culture, management willingness, and the interest to adapt the practices to the workforce requirements, and, therefore, </w:t>
      </w:r>
      <w:r w:rsidR="0006314A">
        <w:t>develop</w:t>
      </w:r>
      <w:r w:rsidR="00EE48C5">
        <w:t>ing</w:t>
      </w:r>
      <w:r w:rsidR="0006314A">
        <w:t xml:space="preserve"> </w:t>
      </w:r>
      <w:r w:rsidRPr="007C7851">
        <w:t>a connection between the organisational context and the company’s operations.</w:t>
      </w:r>
    </w:p>
    <w:p w14:paraId="4BE28C44" w14:textId="01967231" w:rsidR="005067E1" w:rsidRDefault="000A5214" w:rsidP="00A257EC">
      <w:pPr>
        <w:pStyle w:val="Heading2"/>
      </w:pPr>
      <w:bookmarkStart w:id="7" w:name="_Toc214143561"/>
      <w:r>
        <w:t xml:space="preserve">3.2 </w:t>
      </w:r>
      <w:r w:rsidR="001E5319">
        <w:t>HR Practices for Supporting Digital Technology Trends</w:t>
      </w:r>
      <w:bookmarkEnd w:id="7"/>
      <w:r w:rsidR="001E5319">
        <w:t xml:space="preserve"> </w:t>
      </w:r>
    </w:p>
    <w:p w14:paraId="05EAE949" w14:textId="51346C8C" w:rsidR="008A3718" w:rsidRPr="008A3718" w:rsidRDefault="00014FD9" w:rsidP="008A3718">
      <w:r w:rsidRPr="00014FD9">
        <w:t>Modern HR approaches that target facilitating digital transformation are concerned with the creation of employee-based capabilities and equitable, clear utili</w:t>
      </w:r>
      <w:r w:rsidR="00EE48C5">
        <w:t>s</w:t>
      </w:r>
      <w:r w:rsidRPr="00014FD9">
        <w:t>ation of technology to a significant extent. Employees are oriented in digital literacy training and on-going learning programmes to ensure they become accustomed to new systems leading to heightened performance and less stress because of technology. Installing just performance-</w:t>
      </w:r>
      <w:r w:rsidR="007A69F3">
        <w:t>monitoring</w:t>
      </w:r>
      <w:r w:rsidRPr="00014FD9">
        <w:t xml:space="preserve"> tools will help to guarantee that digital tracking instruments gauge results in lieu of micromanaging conduct, enabling notions of equity and retaining trust</w:t>
      </w:r>
      <w:r w:rsidR="003C16FF">
        <w:t xml:space="preserve"> (</w:t>
      </w:r>
      <w:r w:rsidR="003C16FF" w:rsidRPr="008948DF">
        <w:t>Trivedi and Patel, 2021</w:t>
      </w:r>
      <w:r w:rsidR="003C16FF">
        <w:t>)</w:t>
      </w:r>
      <w:r w:rsidRPr="00014FD9">
        <w:t xml:space="preserve">. Enhancing digital wellbeing policies, e.g., by not allowing communication after hours, helps to avoid overload and safeguard interaction. HR systems that comply with GDPR and well-established data-protection prove that the personal data of employees are being processed safely, and there is no reason to be afraid of electronic monitoring. Besides, a reactive IT help desk and the provision of structured onboarding will make the employees feel unrestrained </w:t>
      </w:r>
      <w:r w:rsidRPr="00014FD9">
        <w:lastRenderedPageBreak/>
        <w:t>when using new platforms, which will also make them more efficient and minimi</w:t>
      </w:r>
      <w:r w:rsidR="007A69F3">
        <w:t>s</w:t>
      </w:r>
      <w:r w:rsidRPr="00014FD9">
        <w:t>e disruption. Nonetheless, the practices require regular implementation and proper resourcing because otherwise, employees can continue to feel that digital processes are cumbersome or unjust. When properly executed, these practices together promote performance, engagement, fairness, and operational efficiency items within the teams.</w:t>
      </w:r>
    </w:p>
    <w:p w14:paraId="4B5EEA0D" w14:textId="26A2F19B" w:rsidR="001E5319" w:rsidRDefault="001E5319" w:rsidP="00A257EC">
      <w:pPr>
        <w:pStyle w:val="Heading2"/>
      </w:pPr>
      <w:bookmarkStart w:id="8" w:name="_Toc214143562"/>
      <w:r>
        <w:t>4.3 HR Practices for Managing Flexible Working Arrangements</w:t>
      </w:r>
      <w:bookmarkEnd w:id="8"/>
      <w:r>
        <w:t xml:space="preserve"> </w:t>
      </w:r>
    </w:p>
    <w:p w14:paraId="1CBBF817" w14:textId="527FA776" w:rsidR="00D33077" w:rsidRPr="00D33077" w:rsidRDefault="00CC5C1D" w:rsidP="00D33077">
      <w:r w:rsidRPr="00CC5C1D">
        <w:t>Modern HR practices that favo</w:t>
      </w:r>
      <w:r w:rsidR="007A69F3">
        <w:t>u</w:t>
      </w:r>
      <w:r w:rsidRPr="00CC5C1D">
        <w:t xml:space="preserve">r flexible working start with clarity and well-planned policies in compliance with the ACAS guidelines, any lack of which would cause ambiguity and inconsistency in the process of granting and managing flexible arrangements. Communication guidelines and group </w:t>
      </w:r>
      <w:r w:rsidR="00A603F5">
        <w:t>narrative such as</w:t>
      </w:r>
      <w:r w:rsidRPr="00CC5C1D">
        <w:t xml:space="preserve"> team charters aid in setting of common expectations </w:t>
      </w:r>
      <w:r w:rsidR="00E748F1" w:rsidRPr="00CC5C1D">
        <w:t>in regard to</w:t>
      </w:r>
      <w:r w:rsidRPr="00CC5C1D">
        <w:t xml:space="preserve"> responsiveness, availability, and teamwork, cutting misunderstanding in hybrid or remote staff</w:t>
      </w:r>
      <w:r w:rsidR="00F33B47">
        <w:t xml:space="preserve"> (</w:t>
      </w:r>
      <w:r w:rsidR="00F33B47" w:rsidRPr="008948DF">
        <w:t>Rhaditstya and Prahastiwi, 2023</w:t>
      </w:r>
      <w:r w:rsidR="00F33B47">
        <w:t>)</w:t>
      </w:r>
      <w:r w:rsidRPr="00CC5C1D">
        <w:t>. Other non-manag</w:t>
      </w:r>
      <w:r w:rsidR="00E748F1">
        <w:t>erial</w:t>
      </w:r>
      <w:r w:rsidRPr="00CC5C1D">
        <w:t xml:space="preserve"> activities including virtual team-building and wellbeing efforts also aid the connection of employees and mental health, combating isolation. Output-based performance management does not emphasize on visibility but instead motivates equity and effectiveness in terms of its outcome. Monitoring of equality and fairness will provide flexibility in the arrangements such that they will not discriminate certain groups in favour of organisational diversity requirements. Surveys conducted in the UK indicate that flexible working has the potential to generate productivity by 13</w:t>
      </w:r>
      <w:r w:rsidR="00956752">
        <w:t>%</w:t>
      </w:r>
      <w:r w:rsidRPr="00CC5C1D">
        <w:t xml:space="preserve"> and enhance engagement as well as diversify the workforce by allowing parents and carers to work and giv</w:t>
      </w:r>
      <w:r w:rsidR="002409B5">
        <w:t>e</w:t>
      </w:r>
      <w:r w:rsidRPr="00CC5C1D">
        <w:t xml:space="preserve"> people with disability a chance to do so</w:t>
      </w:r>
      <w:r w:rsidR="0071227B">
        <w:t xml:space="preserve"> (</w:t>
      </w:r>
      <w:r w:rsidR="0071227B">
        <w:rPr>
          <w:lang w:val="en-IN"/>
        </w:rPr>
        <w:t>Activtrak, 2025)</w:t>
      </w:r>
      <w:r w:rsidRPr="00CC5C1D">
        <w:t xml:space="preserve">. Nevertheless, such practices may also cause the group to fragment as well in case communication is not regular </w:t>
      </w:r>
      <w:r w:rsidR="002409B5">
        <w:t>or due to less physical interaction</w:t>
      </w:r>
      <w:r w:rsidRPr="00CC5C1D">
        <w:t xml:space="preserve">. </w:t>
      </w:r>
    </w:p>
    <w:p w14:paraId="466EBC72" w14:textId="3CA5C619" w:rsidR="001A772B" w:rsidRDefault="00B04240" w:rsidP="00A257EC">
      <w:pPr>
        <w:pStyle w:val="Heading1"/>
      </w:pPr>
      <w:bookmarkStart w:id="9" w:name="_Toc214143563"/>
      <w:r>
        <w:t xml:space="preserve">4.0 </w:t>
      </w:r>
      <w:r w:rsidR="001E5319">
        <w:t xml:space="preserve">Section 3: </w:t>
      </w:r>
      <w:r w:rsidR="001A772B">
        <w:t>Critical Evaluation</w:t>
      </w:r>
      <w:bookmarkEnd w:id="9"/>
      <w:r w:rsidR="001A772B">
        <w:t xml:space="preserve"> </w:t>
      </w:r>
    </w:p>
    <w:p w14:paraId="5913FF7A" w14:textId="1D6CE8A1" w:rsidR="00673006" w:rsidRPr="00673006" w:rsidRDefault="00673006" w:rsidP="00673006">
      <w:pPr>
        <w:rPr>
          <w:lang w:val="en-IN"/>
        </w:rPr>
      </w:pPr>
      <w:r w:rsidRPr="00673006">
        <w:rPr>
          <w:lang w:val="en-IN"/>
        </w:rPr>
        <w:t xml:space="preserve">The managers of the respective departments derive a crucial role in ensuring that the current HR practices are well practiced, especially when the business is undergoing a change, digitalization, and increasing flexible working structures. These leadership behaviours play a big role in </w:t>
      </w:r>
      <w:r w:rsidR="00CE4445">
        <w:rPr>
          <w:lang w:val="en-IN"/>
        </w:rPr>
        <w:t>change</w:t>
      </w:r>
      <w:r w:rsidRPr="00673006">
        <w:rPr>
          <w:lang w:val="en-IN"/>
        </w:rPr>
        <w:t xml:space="preserve"> implementation. Transformational leaders inspire, support and motivate employees, and they would be ideal in executing change in teams as they have a vision</w:t>
      </w:r>
      <w:r w:rsidR="00406677">
        <w:rPr>
          <w:lang w:val="en-IN"/>
        </w:rPr>
        <w:t xml:space="preserve"> (</w:t>
      </w:r>
      <w:r w:rsidR="00406677" w:rsidRPr="008948DF">
        <w:t>Ghasabeh, Soosay and Reaiche, 2015</w:t>
      </w:r>
      <w:r w:rsidR="00406677">
        <w:t>)</w:t>
      </w:r>
      <w:r w:rsidRPr="00673006">
        <w:rPr>
          <w:lang w:val="en-IN"/>
        </w:rPr>
        <w:t xml:space="preserve">. It is important to note that in order to achieve employee buy-in, situational leaders vary their approach based on the readiness of the employees whereas democratic leaders encourage staff participation and shared decision-making, which </w:t>
      </w:r>
      <w:r w:rsidRPr="00673006">
        <w:rPr>
          <w:lang w:val="en-IN"/>
        </w:rPr>
        <w:lastRenderedPageBreak/>
        <w:t>subsequently forms credibility and trust, which undoubtedly has a key role in engaging employees in digital tools.</w:t>
      </w:r>
    </w:p>
    <w:p w14:paraId="6F3CC262" w14:textId="048441E2" w:rsidR="00673006" w:rsidRPr="00673006" w:rsidRDefault="00673006" w:rsidP="00673006">
      <w:pPr>
        <w:rPr>
          <w:lang w:val="en-IN"/>
        </w:rPr>
      </w:pPr>
      <w:r w:rsidRPr="00673006">
        <w:rPr>
          <w:lang w:val="en-IN"/>
        </w:rPr>
        <w:t>Performance measurement and control systems are also important in the regular implementation of HR policies. Clear KPIs, performance dashboards, and pulse surveys should allow managers to monitor progress levels, detect problems in a short period of time, and ensure that the workplace is fair between teams</w:t>
      </w:r>
      <w:r w:rsidR="00B17142">
        <w:rPr>
          <w:lang w:val="en-IN"/>
        </w:rPr>
        <w:t xml:space="preserve"> (</w:t>
      </w:r>
      <w:r w:rsidR="00B17142" w:rsidRPr="00170472">
        <w:t>Kerzner, 2023</w:t>
      </w:r>
      <w:r w:rsidR="00B17142">
        <w:t>)</w:t>
      </w:r>
      <w:r w:rsidRPr="00673006">
        <w:rPr>
          <w:lang w:val="en-IN"/>
        </w:rPr>
        <w:t xml:space="preserve">. It is also their duty to maintain legal observance, such as equality, health and safety, and wellbeing standards, so that the practices are indicative of the statutory standards as well as the organisational policy. </w:t>
      </w:r>
      <w:r w:rsidR="00EB65DE">
        <w:rPr>
          <w:lang w:val="en-IN"/>
        </w:rPr>
        <w:t xml:space="preserve">Standardisation </w:t>
      </w:r>
      <w:r w:rsidRPr="00673006">
        <w:rPr>
          <w:lang w:val="en-IN"/>
        </w:rPr>
        <w:t xml:space="preserve">in the application will aid in reassuring the employees that change is handled </w:t>
      </w:r>
      <w:r w:rsidR="00EB65DE">
        <w:rPr>
          <w:lang w:val="en-IN"/>
        </w:rPr>
        <w:t>with transparency</w:t>
      </w:r>
      <w:r w:rsidRPr="00673006">
        <w:rPr>
          <w:lang w:val="en-IN"/>
        </w:rPr>
        <w:t xml:space="preserve"> and fair</w:t>
      </w:r>
      <w:r w:rsidR="00EB65DE">
        <w:rPr>
          <w:lang w:val="en-IN"/>
        </w:rPr>
        <w:t>ness</w:t>
      </w:r>
      <w:r w:rsidRPr="00673006">
        <w:rPr>
          <w:lang w:val="en-IN"/>
        </w:rPr>
        <w:t>.</w:t>
      </w:r>
    </w:p>
    <w:p w14:paraId="08FA2C5B" w14:textId="173181B9" w:rsidR="00673006" w:rsidRPr="00673006" w:rsidRDefault="00673006" w:rsidP="00673006">
      <w:pPr>
        <w:rPr>
          <w:lang w:val="en-IN"/>
        </w:rPr>
      </w:pPr>
      <w:r w:rsidRPr="00673006">
        <w:rPr>
          <w:lang w:val="en-IN"/>
        </w:rPr>
        <w:t xml:space="preserve">On top of effective implementation, good communication and engagement are also helpful. Managers should </w:t>
      </w:r>
      <w:r w:rsidR="00EB65DE">
        <w:rPr>
          <w:lang w:val="en-IN"/>
        </w:rPr>
        <w:t>reduce resistance through promotion of</w:t>
      </w:r>
      <w:r w:rsidRPr="00673006">
        <w:rPr>
          <w:lang w:val="en-IN"/>
        </w:rPr>
        <w:t xml:space="preserve"> psychological safety, posing questions, and answering them in an empathetic manner</w:t>
      </w:r>
      <w:r w:rsidR="00B17142">
        <w:rPr>
          <w:lang w:val="en-IN"/>
        </w:rPr>
        <w:t xml:space="preserve"> (</w:t>
      </w:r>
      <w:r w:rsidR="00B17142" w:rsidRPr="00170472">
        <w:t>Beri, 2024</w:t>
      </w:r>
      <w:r w:rsidR="00B17142">
        <w:t>)</w:t>
      </w:r>
      <w:r w:rsidRPr="00673006">
        <w:rPr>
          <w:lang w:val="en-IN"/>
        </w:rPr>
        <w:t>. Frequent one-on-one meetings can be used to detect specific issues, whereas feedback loops provide room on an ongoing improvement. The skills of resolving conflicts are particularly relevant in hybrid and digitally made environments, where the misunderstandings might be given easier to emerge. Managers reach employees through transparent and open communication, thereby enabling employees to overcome uncertainty and ensure confidence throughout the course of transitions.</w:t>
      </w:r>
    </w:p>
    <w:p w14:paraId="00845131" w14:textId="50F10394" w:rsidR="00673006" w:rsidRPr="00673006" w:rsidRDefault="00673006" w:rsidP="00673006">
      <w:pPr>
        <w:rPr>
          <w:lang w:val="en-IN"/>
        </w:rPr>
      </w:pPr>
      <w:r w:rsidRPr="00673006">
        <w:rPr>
          <w:lang w:val="en-IN"/>
        </w:rPr>
        <w:t>The other duties include resource management and capability building. Through training needs analysis, managers should determine the skills gap as well as liaise with their HR to offer them relevant reskilling or upskilling</w:t>
      </w:r>
      <w:r w:rsidR="00680C0D">
        <w:rPr>
          <w:lang w:val="en-IN"/>
        </w:rPr>
        <w:t xml:space="preserve"> (</w:t>
      </w:r>
      <w:r w:rsidR="00680C0D" w:rsidRPr="00170472">
        <w:t>Karpunina</w:t>
      </w:r>
      <w:r w:rsidR="00680C0D">
        <w:t xml:space="preserve"> </w:t>
      </w:r>
      <w:r w:rsidR="00680C0D">
        <w:rPr>
          <w:i/>
          <w:iCs/>
        </w:rPr>
        <w:t xml:space="preserve">et al., </w:t>
      </w:r>
      <w:r w:rsidR="00680C0D" w:rsidRPr="00170472">
        <w:t>2023</w:t>
      </w:r>
      <w:r w:rsidR="00680C0D">
        <w:t>)</w:t>
      </w:r>
      <w:r w:rsidRPr="00673006">
        <w:rPr>
          <w:lang w:val="en-IN"/>
        </w:rPr>
        <w:t>. They should also observe workloads in order to avoid burnout especially when flexible work structures blur work boundaries or when digital transformation adds more burden to the work. The fact that the teams are provided with the required resources contributes to wellbeing and productivity.</w:t>
      </w:r>
    </w:p>
    <w:p w14:paraId="087B044A" w14:textId="6F2B65C4" w:rsidR="00D33077" w:rsidRPr="00D33077" w:rsidRDefault="00673006" w:rsidP="00673006">
      <w:pPr>
        <w:rPr>
          <w:lang w:val="en-IN"/>
        </w:rPr>
      </w:pPr>
      <w:r w:rsidRPr="00673006">
        <w:rPr>
          <w:lang w:val="en-IN"/>
        </w:rPr>
        <w:t>The critical assessment, however, produces challenges. Other types of managers will be opposed to HR efforts because of the pressure to work or their lack of digital competence or due to habitual tendencies. The bias can also affect the application of the policies, particularly to flexible working, and decrease the perceived fairness. Devoid of proper training, equipment and support of senior management, managers can have difficulty to be consistent. Not eliminating these limitations will necessitate constant development, well-defined organisational expectation, and excellent HR-manager partnership.</w:t>
      </w:r>
    </w:p>
    <w:p w14:paraId="1BE07D6D" w14:textId="3CA90BF6" w:rsidR="00820EA9" w:rsidRDefault="00B04240" w:rsidP="00A257EC">
      <w:pPr>
        <w:pStyle w:val="Heading1"/>
      </w:pPr>
      <w:bookmarkStart w:id="10" w:name="_Toc214143564"/>
      <w:r>
        <w:lastRenderedPageBreak/>
        <w:t xml:space="preserve">5.0 </w:t>
      </w:r>
      <w:r w:rsidR="00820EA9">
        <w:t>Conclusion</w:t>
      </w:r>
      <w:bookmarkEnd w:id="10"/>
    </w:p>
    <w:p w14:paraId="47A0DEF2" w14:textId="30B96AAC" w:rsidR="00D33077" w:rsidRPr="00D33077" w:rsidRDefault="00B9063A" w:rsidP="00D33077">
      <w:r w:rsidRPr="00B9063A">
        <w:t>On the whole, the review reveals that the increase in employee grievances is due to the fast change of the business, the growth of digital systems, and the development of more complex flexible working options. To overcome these challenges, modern approaches to Hr practices are of pivotal importance and these include: organized change management, digital capability development and equitable flexible-work policies. The departmental managers ultimately determine the effectiveness of the implementation process, as their leadership, communication, and accountability largely determine the experience of the employees. These findings are purported to conform to the learning outcomes of the module because they focus on the development of staff, performance management, strategic role of personnel development in ensuring organisational performance.</w:t>
      </w:r>
    </w:p>
    <w:p w14:paraId="5BC45C64" w14:textId="694C47C2" w:rsidR="00820EA9" w:rsidRDefault="00B04240" w:rsidP="00A257EC">
      <w:pPr>
        <w:pStyle w:val="Heading1"/>
      </w:pPr>
      <w:bookmarkStart w:id="11" w:name="_Toc214143565"/>
      <w:r>
        <w:t xml:space="preserve">6.0 </w:t>
      </w:r>
      <w:r w:rsidR="00820EA9">
        <w:t>Recommendations</w:t>
      </w:r>
      <w:bookmarkEnd w:id="11"/>
      <w:r w:rsidR="00820EA9">
        <w:t xml:space="preserve"> </w:t>
      </w:r>
    </w:p>
    <w:p w14:paraId="61ADA1F8" w14:textId="79E48559" w:rsidR="00671642" w:rsidRPr="00C635A0" w:rsidRDefault="000726E8" w:rsidP="00C635A0">
      <w:pPr>
        <w:rPr>
          <w:lang w:val="en-IN"/>
        </w:rPr>
      </w:pPr>
      <w:r w:rsidRPr="000726E8">
        <w:rPr>
          <w:lang w:val="en-IN"/>
        </w:rPr>
        <w:t>Organised digital upskilling initiatives must target the challenges of technostress, lack of capability and resistance, which have been highlighted above. Enhancement of change communication channels will facilitate transparency and minimize uncertainty with change</w:t>
      </w:r>
      <w:r w:rsidR="00680C0D">
        <w:rPr>
          <w:lang w:val="en-IN"/>
        </w:rPr>
        <w:t xml:space="preserve"> (</w:t>
      </w:r>
      <w:r w:rsidR="00680C0D" w:rsidRPr="00170472">
        <w:t>Li</w:t>
      </w:r>
      <w:r w:rsidR="00680C0D">
        <w:t xml:space="preserve"> </w:t>
      </w:r>
      <w:r w:rsidR="00680C0D">
        <w:rPr>
          <w:i/>
          <w:iCs/>
        </w:rPr>
        <w:t xml:space="preserve">et al., </w:t>
      </w:r>
      <w:r w:rsidR="00680C0D" w:rsidRPr="00170472">
        <w:t>2021</w:t>
      </w:r>
      <w:r w:rsidR="00680C0D">
        <w:t>)</w:t>
      </w:r>
      <w:r w:rsidRPr="000726E8">
        <w:rPr>
          <w:lang w:val="en-IN"/>
        </w:rPr>
        <w:t xml:space="preserve">. The consistency will be maintained with a formalised flexible-work policy that will be fair by check thus avoiding team fragmentation. Digital leadership and inclusive management should be introduced as an aspect of training to the managers so that they can model behaviours, remain engaged and comply with policy. Lastly, the possibility to install a grievance-preventing dashboard will allow identifying any emergent problem in a timely manner and intervening proactively and enhance overall employee experience. </w:t>
      </w:r>
      <w:r w:rsidR="00671642">
        <w:br w:type="page"/>
      </w:r>
    </w:p>
    <w:p w14:paraId="627CF93E" w14:textId="0FCDB536" w:rsidR="00820EA9" w:rsidRDefault="00B04240" w:rsidP="00A257EC">
      <w:pPr>
        <w:pStyle w:val="Heading1"/>
      </w:pPr>
      <w:bookmarkStart w:id="12" w:name="_Toc214143566"/>
      <w:r>
        <w:lastRenderedPageBreak/>
        <w:t xml:space="preserve">7.0 </w:t>
      </w:r>
      <w:r w:rsidR="00820EA9">
        <w:t>References</w:t>
      </w:r>
      <w:bookmarkEnd w:id="12"/>
    </w:p>
    <w:p w14:paraId="4CA63C88" w14:textId="77777777" w:rsidR="00F97FDA" w:rsidRPr="008948DF" w:rsidRDefault="00F97FDA" w:rsidP="00F97FDA">
      <w:pPr>
        <w:rPr>
          <w:lang w:val="en-IN"/>
        </w:rPr>
      </w:pPr>
      <w:r>
        <w:rPr>
          <w:lang w:val="en-IN"/>
        </w:rPr>
        <w:t xml:space="preserve">Activtrak. (2025). </w:t>
      </w:r>
      <w:r w:rsidRPr="008948DF">
        <w:rPr>
          <w:i/>
          <w:iCs/>
          <w:lang w:val="en-IN"/>
        </w:rPr>
        <w:t xml:space="preserve">Top Flexible Work Schedule Statistics Shaping the Future of Work. Activtrak. </w:t>
      </w:r>
      <w:r>
        <w:t>Available at:</w:t>
      </w:r>
      <w:r w:rsidRPr="008948DF">
        <w:t xml:space="preserve"> https://www.activtrak.com/blog/flexible-work-schedule-statistics/#:~:text=Another%20study%20found%20that%20team,offer%20correlates%20to%20tangible%20benefits.</w:t>
      </w:r>
      <w:r>
        <w:t xml:space="preserve"> (Accessed on: 15/11/2025). </w:t>
      </w:r>
    </w:p>
    <w:p w14:paraId="206D072C" w14:textId="77777777" w:rsidR="00F97FDA" w:rsidRDefault="00F97FDA" w:rsidP="00F97FDA">
      <w:r w:rsidRPr="00170472">
        <w:t xml:space="preserve">Beri, P., </w:t>
      </w:r>
      <w:r>
        <w:t>(</w:t>
      </w:r>
      <w:r w:rsidRPr="00170472">
        <w:t>2024</w:t>
      </w:r>
      <w:r>
        <w:t>)</w:t>
      </w:r>
      <w:r w:rsidRPr="00170472">
        <w:t>. </w:t>
      </w:r>
      <w:r w:rsidRPr="00170472">
        <w:rPr>
          <w:i/>
          <w:iCs/>
        </w:rPr>
        <w:t>Do Empathy and Psychological Safety Need to Be Equally Present to Create an Environment of Mutual Accountability?</w:t>
      </w:r>
      <w:r w:rsidRPr="00170472">
        <w:t> (Doctoral dissertation, The Chicago School of Professional Psychology).</w:t>
      </w:r>
    </w:p>
    <w:p w14:paraId="11B8EDB1" w14:textId="77777777" w:rsidR="00F97FDA" w:rsidRDefault="00F97FDA" w:rsidP="00F97FDA">
      <w:r>
        <w:rPr>
          <w:lang w:val="en-IN"/>
        </w:rPr>
        <w:t xml:space="preserve">Bojic. (2025). </w:t>
      </w:r>
      <w:r w:rsidRPr="008948DF">
        <w:rPr>
          <w:i/>
          <w:iCs/>
          <w:lang w:val="en-IN"/>
        </w:rPr>
        <w:t xml:space="preserve">Remote Work Statistics 2025: Trends and Factors. Pumble. </w:t>
      </w:r>
      <w:r>
        <w:t>Available at:</w:t>
      </w:r>
      <w:r w:rsidRPr="008948DF">
        <w:t xml:space="preserve"> https://pumble.com/learn/collaboration/remote-work-statistics/</w:t>
      </w:r>
      <w:r>
        <w:t xml:space="preserve"> (Accessed on: 15/11/2025). </w:t>
      </w:r>
    </w:p>
    <w:p w14:paraId="7E835672" w14:textId="77777777" w:rsidR="00F97FDA" w:rsidRPr="008948DF" w:rsidRDefault="00F97FDA" w:rsidP="00F97FDA">
      <w:pPr>
        <w:rPr>
          <w:lang w:val="en-IN"/>
        </w:rPr>
      </w:pPr>
      <w:r w:rsidRPr="008948DF">
        <w:t xml:space="preserve">Bouwmans, M., Lub, X., Orlowski, M. and Nguyen, T.V., </w:t>
      </w:r>
      <w:r>
        <w:t>(</w:t>
      </w:r>
      <w:r w:rsidRPr="008948DF">
        <w:t>2024</w:t>
      </w:r>
      <w:r>
        <w:t>)</w:t>
      </w:r>
      <w:r w:rsidRPr="008948DF">
        <w:t>. Developing the digital transformation skills framework: A systematic literature review approach. </w:t>
      </w:r>
      <w:r w:rsidRPr="008948DF">
        <w:rPr>
          <w:i/>
          <w:iCs/>
        </w:rPr>
        <w:t>Plos one</w:t>
      </w:r>
      <w:r w:rsidRPr="008948DF">
        <w:t>, </w:t>
      </w:r>
      <w:r w:rsidRPr="008948DF">
        <w:rPr>
          <w:i/>
          <w:iCs/>
        </w:rPr>
        <w:t>19</w:t>
      </w:r>
      <w:r w:rsidRPr="008948DF">
        <w:t>(7), p.e0304127.</w:t>
      </w:r>
    </w:p>
    <w:p w14:paraId="0F9847A2" w14:textId="77777777" w:rsidR="00F97FDA" w:rsidRDefault="00F97FDA" w:rsidP="00F97FDA">
      <w:r w:rsidRPr="008948DF">
        <w:t>Browne. (2018)</w:t>
      </w:r>
      <w:r>
        <w:rPr>
          <w:i/>
          <w:iCs/>
        </w:rPr>
        <w:t xml:space="preserve">. </w:t>
      </w:r>
      <w:r w:rsidRPr="008948DF">
        <w:rPr>
          <w:i/>
          <w:iCs/>
        </w:rPr>
        <w:t xml:space="preserve">70% of people globally work remotely at least once a week, study says. CNBC. </w:t>
      </w:r>
      <w:r>
        <w:t xml:space="preserve">Available at: </w:t>
      </w:r>
      <w:r w:rsidRPr="008948DF">
        <w:t xml:space="preserve">https://www.cnbc.com/2018/05/30/70-percent-of-people-globally-work-remotely-at-least-once-a-week-iwg-study.html </w:t>
      </w:r>
      <w:r>
        <w:t xml:space="preserve">(Accessed on: 15/11/2025). </w:t>
      </w:r>
    </w:p>
    <w:p w14:paraId="6000BAD6" w14:textId="77777777" w:rsidR="00F97FDA" w:rsidRDefault="00F97FDA" w:rsidP="00F97FDA">
      <w:r w:rsidRPr="008948DF">
        <w:t xml:space="preserve">Burnes, B., </w:t>
      </w:r>
      <w:r>
        <w:t>(</w:t>
      </w:r>
      <w:r w:rsidRPr="008948DF">
        <w:t>2020</w:t>
      </w:r>
      <w:r>
        <w:t>)</w:t>
      </w:r>
      <w:r w:rsidRPr="008948DF">
        <w:t>. The origins of Lewin’s three-step model of change. </w:t>
      </w:r>
      <w:r w:rsidRPr="008948DF">
        <w:rPr>
          <w:i/>
          <w:iCs/>
        </w:rPr>
        <w:t>The Journal of Applied Behavioral Science</w:t>
      </w:r>
      <w:r w:rsidRPr="008948DF">
        <w:t>, </w:t>
      </w:r>
      <w:r w:rsidRPr="008948DF">
        <w:rPr>
          <w:i/>
          <w:iCs/>
        </w:rPr>
        <w:t>56</w:t>
      </w:r>
      <w:r w:rsidRPr="008948DF">
        <w:t>(1), pp.32-59.</w:t>
      </w:r>
    </w:p>
    <w:p w14:paraId="170C8B4C" w14:textId="07100357" w:rsidR="00F97FDA" w:rsidRDefault="00F97FDA" w:rsidP="00F97FDA">
      <w:r w:rsidRPr="008948DF">
        <w:t xml:space="preserve">Dash, S.P., </w:t>
      </w:r>
      <w:r w:rsidR="00A15D3C">
        <w:t>(</w:t>
      </w:r>
      <w:r w:rsidRPr="008948DF">
        <w:t>2023</w:t>
      </w:r>
      <w:r w:rsidR="00A15D3C">
        <w:t>)</w:t>
      </w:r>
      <w:r w:rsidRPr="008948DF">
        <w:t>. HR digital transformation: Blockchain for business. In </w:t>
      </w:r>
      <w:r w:rsidRPr="008948DF">
        <w:rPr>
          <w:i/>
          <w:iCs/>
        </w:rPr>
        <w:t>Recent Advances in blockchain technology: Real-world applications</w:t>
      </w:r>
      <w:r w:rsidRPr="008948DF">
        <w:t> (pp. 59-87). Cham: Springer International Publishing.</w:t>
      </w:r>
    </w:p>
    <w:p w14:paraId="57489722" w14:textId="77777777" w:rsidR="00F97FDA" w:rsidRDefault="00F97FDA" w:rsidP="00F97FDA">
      <w:r w:rsidRPr="008948DF">
        <w:t xml:space="preserve">Ghasabeh, M.S., Soosay, C. and Reaiche, C., </w:t>
      </w:r>
      <w:r>
        <w:t>(</w:t>
      </w:r>
      <w:r w:rsidRPr="008948DF">
        <w:t>2015</w:t>
      </w:r>
      <w:r>
        <w:t>)</w:t>
      </w:r>
      <w:r w:rsidRPr="008948DF">
        <w:t>. The emerging role of transformational leadership. </w:t>
      </w:r>
      <w:r w:rsidRPr="008948DF">
        <w:rPr>
          <w:i/>
          <w:iCs/>
        </w:rPr>
        <w:t>The Journal of Developing Areas</w:t>
      </w:r>
      <w:r w:rsidRPr="008948DF">
        <w:t>, </w:t>
      </w:r>
      <w:r w:rsidRPr="008948DF">
        <w:rPr>
          <w:i/>
          <w:iCs/>
        </w:rPr>
        <w:t>49</w:t>
      </w:r>
      <w:r w:rsidRPr="008948DF">
        <w:t>(6), pp.459-467.</w:t>
      </w:r>
    </w:p>
    <w:p w14:paraId="16DAD9DB" w14:textId="4CD9B730" w:rsidR="00F97FDA" w:rsidRDefault="00F97FDA" w:rsidP="00F97FDA">
      <w:r w:rsidRPr="008948DF">
        <w:t xml:space="preserve">Iqbal, K.M.J., Khalid, F. and Barykin, S.Y., </w:t>
      </w:r>
      <w:r w:rsidR="00A15D3C">
        <w:t>(</w:t>
      </w:r>
      <w:r w:rsidRPr="008948DF">
        <w:t>2021</w:t>
      </w:r>
      <w:r w:rsidR="00A15D3C">
        <w:t>)</w:t>
      </w:r>
      <w:r w:rsidRPr="008948DF">
        <w:t>. Hybrid workplace: The future of work. In </w:t>
      </w:r>
      <w:r w:rsidRPr="008948DF">
        <w:rPr>
          <w:i/>
          <w:iCs/>
        </w:rPr>
        <w:t>Handbook of research on future opportunities for technology management education</w:t>
      </w:r>
      <w:r w:rsidRPr="008948DF">
        <w:t> (pp. 28-48). IGI Global.</w:t>
      </w:r>
    </w:p>
    <w:p w14:paraId="64E46C9D" w14:textId="77777777" w:rsidR="00F97FDA" w:rsidRDefault="00F97FDA" w:rsidP="00F97FDA">
      <w:r w:rsidRPr="00170472">
        <w:t xml:space="preserve">Karpunina, E.K., Okunkova, E.A., Molchan, A.S., Belova, E.O. and Kuznetsova, O.A., </w:t>
      </w:r>
      <w:r>
        <w:t>(</w:t>
      </w:r>
      <w:r w:rsidRPr="00170472">
        <w:t>2023</w:t>
      </w:r>
      <w:r>
        <w:t>)</w:t>
      </w:r>
      <w:r w:rsidRPr="00170472">
        <w:t>. Management of personnel professional development as a condition of digital transformation of the organisation. </w:t>
      </w:r>
      <w:r w:rsidRPr="00170472">
        <w:rPr>
          <w:i/>
          <w:iCs/>
        </w:rPr>
        <w:t>International Journal of Learning and Change</w:t>
      </w:r>
      <w:r w:rsidRPr="00170472">
        <w:t>, </w:t>
      </w:r>
      <w:r w:rsidRPr="00170472">
        <w:rPr>
          <w:i/>
          <w:iCs/>
        </w:rPr>
        <w:t>15</w:t>
      </w:r>
      <w:r w:rsidRPr="00170472">
        <w:t>(4), pp.365-387.</w:t>
      </w:r>
    </w:p>
    <w:p w14:paraId="2A27BCDF" w14:textId="77777777" w:rsidR="00F97FDA" w:rsidRDefault="00F97FDA" w:rsidP="00F97FDA">
      <w:r w:rsidRPr="00170472">
        <w:lastRenderedPageBreak/>
        <w:t xml:space="preserve">Kerzner, H., </w:t>
      </w:r>
      <w:r>
        <w:t>(</w:t>
      </w:r>
      <w:r w:rsidRPr="00170472">
        <w:t>2023</w:t>
      </w:r>
      <w:r>
        <w:t>)</w:t>
      </w:r>
      <w:r w:rsidRPr="00170472">
        <w:t>. </w:t>
      </w:r>
      <w:r w:rsidRPr="00170472">
        <w:rPr>
          <w:i/>
          <w:iCs/>
        </w:rPr>
        <w:t>Project management metrics, KPIs, and dashboards: a guide to measuring and monitoring project performance</w:t>
      </w:r>
      <w:r w:rsidRPr="00170472">
        <w:t>. John wiley &amp; sons.</w:t>
      </w:r>
    </w:p>
    <w:p w14:paraId="518577D3" w14:textId="77777777" w:rsidR="00F97FDA" w:rsidRDefault="00F97FDA" w:rsidP="00F97FDA">
      <w:r w:rsidRPr="00170472">
        <w:t xml:space="preserve">Li, J.Y., Sun, R., Tao, W. and Lee, Y., </w:t>
      </w:r>
      <w:r>
        <w:t>(</w:t>
      </w:r>
      <w:r w:rsidRPr="00170472">
        <w:t>2021</w:t>
      </w:r>
      <w:r>
        <w:t>)</w:t>
      </w:r>
      <w:r w:rsidRPr="00170472">
        <w:t>. Employee coping with organizational change in the face of a pandemic: The role of transparent internal communication. </w:t>
      </w:r>
      <w:r w:rsidRPr="00170472">
        <w:rPr>
          <w:i/>
          <w:iCs/>
        </w:rPr>
        <w:t>Public relations review</w:t>
      </w:r>
      <w:r w:rsidRPr="00170472">
        <w:t>, </w:t>
      </w:r>
      <w:r w:rsidRPr="00170472">
        <w:rPr>
          <w:i/>
          <w:iCs/>
        </w:rPr>
        <w:t>47</w:t>
      </w:r>
      <w:r w:rsidRPr="00170472">
        <w:t>(1), p.101984.</w:t>
      </w:r>
    </w:p>
    <w:p w14:paraId="0852B811" w14:textId="77777777" w:rsidR="00F97FDA" w:rsidRDefault="00F97FDA" w:rsidP="00F97FDA">
      <w:r w:rsidRPr="008948DF">
        <w:t xml:space="preserve">Mallow, M.S., </w:t>
      </w:r>
      <w:r>
        <w:t>(</w:t>
      </w:r>
      <w:r w:rsidRPr="008948DF">
        <w:t>2023</w:t>
      </w:r>
      <w:r>
        <w:t>)</w:t>
      </w:r>
      <w:r w:rsidRPr="008948DF">
        <w:t>. Flexible working arrangement and flexible education: how flexibility can transform education as we know it. </w:t>
      </w:r>
      <w:r w:rsidRPr="008948DF">
        <w:rPr>
          <w:i/>
          <w:iCs/>
        </w:rPr>
        <w:t>Proceedings of INTCESS</w:t>
      </w:r>
      <w:r w:rsidRPr="008948DF">
        <w:t>.</w:t>
      </w:r>
    </w:p>
    <w:p w14:paraId="686C128E" w14:textId="77777777" w:rsidR="00F97FDA" w:rsidRDefault="00F97FDA" w:rsidP="00F97FDA">
      <w:r w:rsidRPr="008948DF">
        <w:t xml:space="preserve">Rhaditstya, P.A. and Prahastiwi, U., </w:t>
      </w:r>
      <w:r>
        <w:t>(</w:t>
      </w:r>
      <w:r w:rsidRPr="008948DF">
        <w:t>2023</w:t>
      </w:r>
      <w:r>
        <w:t>)</w:t>
      </w:r>
      <w:r w:rsidRPr="008948DF">
        <w:t>. FLEXIBLE WORK ARRANGEMENT, WORK-LIFE BALANCE AND COMMUNICATION: A SYSTEMATIC LITERATURE REVIEW. </w:t>
      </w:r>
      <w:r w:rsidRPr="008948DF">
        <w:rPr>
          <w:i/>
          <w:iCs/>
        </w:rPr>
        <w:t>Russian Journal of Agricultural and Socio-Economic Sciences</w:t>
      </w:r>
      <w:r w:rsidRPr="008948DF">
        <w:t>, </w:t>
      </w:r>
      <w:r w:rsidRPr="008948DF">
        <w:rPr>
          <w:i/>
          <w:iCs/>
        </w:rPr>
        <w:t>135</w:t>
      </w:r>
      <w:r w:rsidRPr="008948DF">
        <w:t>(3), pp.25-34.</w:t>
      </w:r>
    </w:p>
    <w:p w14:paraId="1510BC23" w14:textId="77777777" w:rsidR="00F97FDA" w:rsidRDefault="00F97FDA" w:rsidP="00F97FDA">
      <w:r w:rsidRPr="008948DF">
        <w:t xml:space="preserve">Trivedi, S. and Patel, N., </w:t>
      </w:r>
      <w:r>
        <w:t>(</w:t>
      </w:r>
      <w:r w:rsidRPr="008948DF">
        <w:t>2021</w:t>
      </w:r>
      <w:r>
        <w:t>)</w:t>
      </w:r>
      <w:r w:rsidRPr="008948DF">
        <w:t>. Virtual employee monitoring: A review on tools, opportunities, challenges, and decision factors. </w:t>
      </w:r>
      <w:r w:rsidRPr="008948DF">
        <w:rPr>
          <w:i/>
          <w:iCs/>
        </w:rPr>
        <w:t>Empirical Quests for Management Essences</w:t>
      </w:r>
      <w:r w:rsidRPr="008948DF">
        <w:t>, </w:t>
      </w:r>
      <w:r w:rsidRPr="008948DF">
        <w:rPr>
          <w:i/>
          <w:iCs/>
        </w:rPr>
        <w:t>1</w:t>
      </w:r>
      <w:r w:rsidRPr="008948DF">
        <w:t>(1), pp.86-99.</w:t>
      </w:r>
    </w:p>
    <w:p w14:paraId="03645550" w14:textId="691A32F0" w:rsidR="00C635A0" w:rsidRPr="00C635A0" w:rsidRDefault="00F97FDA" w:rsidP="00C635A0">
      <w:r w:rsidRPr="008948DF">
        <w:t xml:space="preserve">Yen, Y.S., </w:t>
      </w:r>
      <w:r w:rsidR="006F08BD">
        <w:t>(</w:t>
      </w:r>
      <w:r w:rsidRPr="008948DF">
        <w:t>2024</w:t>
      </w:r>
      <w:r w:rsidR="006F08BD">
        <w:t>)</w:t>
      </w:r>
      <w:r w:rsidRPr="008948DF">
        <w:t>. Job demands and technology overload influencing work stress in organizations during the COVID-19 pandemic. </w:t>
      </w:r>
      <w:r w:rsidRPr="008948DF">
        <w:rPr>
          <w:i/>
          <w:iCs/>
        </w:rPr>
        <w:t>Aslib Journal of Information Management</w:t>
      </w:r>
      <w:r w:rsidRPr="008948DF">
        <w:t>, </w:t>
      </w:r>
      <w:r w:rsidRPr="008948DF">
        <w:rPr>
          <w:i/>
          <w:iCs/>
        </w:rPr>
        <w:t>76</w:t>
      </w:r>
      <w:r w:rsidRPr="008948DF">
        <w:t>(1), pp.170-188.</w:t>
      </w:r>
    </w:p>
    <w:sectPr w:rsidR="00C635A0" w:rsidRPr="00C635A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D7F3D" w14:textId="77777777" w:rsidR="00206AD1" w:rsidRDefault="00206AD1" w:rsidP="00A15D3C">
      <w:pPr>
        <w:spacing w:after="0" w:line="240" w:lineRule="auto"/>
      </w:pPr>
      <w:r>
        <w:separator/>
      </w:r>
    </w:p>
  </w:endnote>
  <w:endnote w:type="continuationSeparator" w:id="0">
    <w:p w14:paraId="45BCC37F" w14:textId="77777777" w:rsidR="00206AD1" w:rsidRDefault="00206AD1" w:rsidP="00A15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8122275"/>
      <w:docPartObj>
        <w:docPartGallery w:val="Page Numbers (Bottom of Page)"/>
        <w:docPartUnique/>
      </w:docPartObj>
    </w:sdtPr>
    <w:sdtEndPr>
      <w:rPr>
        <w:noProof/>
      </w:rPr>
    </w:sdtEndPr>
    <w:sdtContent>
      <w:p w14:paraId="69A1D443" w14:textId="2DF9A77F" w:rsidR="00A15D3C" w:rsidRDefault="00A15D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1B3877" w14:textId="77777777" w:rsidR="00A15D3C" w:rsidRDefault="00A15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E1711" w14:textId="77777777" w:rsidR="00206AD1" w:rsidRDefault="00206AD1" w:rsidP="00A15D3C">
      <w:pPr>
        <w:spacing w:after="0" w:line="240" w:lineRule="auto"/>
      </w:pPr>
      <w:r>
        <w:separator/>
      </w:r>
    </w:p>
  </w:footnote>
  <w:footnote w:type="continuationSeparator" w:id="0">
    <w:p w14:paraId="6C0D1D55" w14:textId="77777777" w:rsidR="00206AD1" w:rsidRDefault="00206AD1" w:rsidP="00A15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E31A08"/>
    <w:multiLevelType w:val="multilevel"/>
    <w:tmpl w:val="9CDE6E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97815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B66"/>
    <w:rsid w:val="00014FD9"/>
    <w:rsid w:val="00026BED"/>
    <w:rsid w:val="00027669"/>
    <w:rsid w:val="00027999"/>
    <w:rsid w:val="000343F6"/>
    <w:rsid w:val="0003715D"/>
    <w:rsid w:val="00045270"/>
    <w:rsid w:val="00053906"/>
    <w:rsid w:val="00062694"/>
    <w:rsid w:val="0006314A"/>
    <w:rsid w:val="000726E8"/>
    <w:rsid w:val="000813A9"/>
    <w:rsid w:val="00093BF6"/>
    <w:rsid w:val="00094181"/>
    <w:rsid w:val="000A45DB"/>
    <w:rsid w:val="000A5214"/>
    <w:rsid w:val="000B7924"/>
    <w:rsid w:val="000D45E8"/>
    <w:rsid w:val="000D6004"/>
    <w:rsid w:val="000F199B"/>
    <w:rsid w:val="000F4C78"/>
    <w:rsid w:val="00105E4A"/>
    <w:rsid w:val="00112018"/>
    <w:rsid w:val="0011227F"/>
    <w:rsid w:val="00114EA0"/>
    <w:rsid w:val="00122982"/>
    <w:rsid w:val="001264AC"/>
    <w:rsid w:val="00135C3A"/>
    <w:rsid w:val="00135EA0"/>
    <w:rsid w:val="0013623F"/>
    <w:rsid w:val="00142CD2"/>
    <w:rsid w:val="00154AB3"/>
    <w:rsid w:val="00163C85"/>
    <w:rsid w:val="001647CD"/>
    <w:rsid w:val="0019110B"/>
    <w:rsid w:val="00192ACD"/>
    <w:rsid w:val="001954B0"/>
    <w:rsid w:val="00196696"/>
    <w:rsid w:val="001A3293"/>
    <w:rsid w:val="001A772B"/>
    <w:rsid w:val="001B0C80"/>
    <w:rsid w:val="001B39C1"/>
    <w:rsid w:val="001C0C15"/>
    <w:rsid w:val="001C0EDA"/>
    <w:rsid w:val="001C1982"/>
    <w:rsid w:val="001D06AC"/>
    <w:rsid w:val="001D57BB"/>
    <w:rsid w:val="001D5E58"/>
    <w:rsid w:val="001E4A55"/>
    <w:rsid w:val="001E5319"/>
    <w:rsid w:val="00202B47"/>
    <w:rsid w:val="00206AD1"/>
    <w:rsid w:val="00212574"/>
    <w:rsid w:val="002140C3"/>
    <w:rsid w:val="002259D6"/>
    <w:rsid w:val="00227A04"/>
    <w:rsid w:val="0023302A"/>
    <w:rsid w:val="00235DC9"/>
    <w:rsid w:val="002372A7"/>
    <w:rsid w:val="00237798"/>
    <w:rsid w:val="002409B5"/>
    <w:rsid w:val="00240B5E"/>
    <w:rsid w:val="00240EBC"/>
    <w:rsid w:val="0024216D"/>
    <w:rsid w:val="002445BF"/>
    <w:rsid w:val="00245A26"/>
    <w:rsid w:val="00256B9C"/>
    <w:rsid w:val="0026741B"/>
    <w:rsid w:val="00280AF9"/>
    <w:rsid w:val="00284CCB"/>
    <w:rsid w:val="00291AB3"/>
    <w:rsid w:val="00291E68"/>
    <w:rsid w:val="0029427E"/>
    <w:rsid w:val="002A13EA"/>
    <w:rsid w:val="002A3F23"/>
    <w:rsid w:val="002B7972"/>
    <w:rsid w:val="002C2793"/>
    <w:rsid w:val="002C749A"/>
    <w:rsid w:val="002D5DE4"/>
    <w:rsid w:val="002D6D15"/>
    <w:rsid w:val="002E3DED"/>
    <w:rsid w:val="00303C2F"/>
    <w:rsid w:val="00305BC2"/>
    <w:rsid w:val="003068AF"/>
    <w:rsid w:val="00307A93"/>
    <w:rsid w:val="00313FF1"/>
    <w:rsid w:val="003173DE"/>
    <w:rsid w:val="00330D10"/>
    <w:rsid w:val="003318A5"/>
    <w:rsid w:val="003318EA"/>
    <w:rsid w:val="0033674C"/>
    <w:rsid w:val="003369DB"/>
    <w:rsid w:val="00341EBC"/>
    <w:rsid w:val="00347D61"/>
    <w:rsid w:val="00347F2E"/>
    <w:rsid w:val="00354DF4"/>
    <w:rsid w:val="003662E4"/>
    <w:rsid w:val="00366933"/>
    <w:rsid w:val="003718BB"/>
    <w:rsid w:val="003738EF"/>
    <w:rsid w:val="00376EA9"/>
    <w:rsid w:val="003856FB"/>
    <w:rsid w:val="00391057"/>
    <w:rsid w:val="003A1A46"/>
    <w:rsid w:val="003A636F"/>
    <w:rsid w:val="003B4EDB"/>
    <w:rsid w:val="003C16FF"/>
    <w:rsid w:val="003C50EC"/>
    <w:rsid w:val="003C7241"/>
    <w:rsid w:val="003E6E0C"/>
    <w:rsid w:val="003E735A"/>
    <w:rsid w:val="003F1E85"/>
    <w:rsid w:val="003F2800"/>
    <w:rsid w:val="00406677"/>
    <w:rsid w:val="00412FFB"/>
    <w:rsid w:val="00413677"/>
    <w:rsid w:val="00416D22"/>
    <w:rsid w:val="0042634E"/>
    <w:rsid w:val="004302D5"/>
    <w:rsid w:val="004326B5"/>
    <w:rsid w:val="00432756"/>
    <w:rsid w:val="00441540"/>
    <w:rsid w:val="00444AD7"/>
    <w:rsid w:val="004720B8"/>
    <w:rsid w:val="00490C4C"/>
    <w:rsid w:val="00496E71"/>
    <w:rsid w:val="004A2022"/>
    <w:rsid w:val="004A2C94"/>
    <w:rsid w:val="004A7E48"/>
    <w:rsid w:val="004B4584"/>
    <w:rsid w:val="004B5E8E"/>
    <w:rsid w:val="004C3BA6"/>
    <w:rsid w:val="004D106A"/>
    <w:rsid w:val="004D4AA9"/>
    <w:rsid w:val="004F4577"/>
    <w:rsid w:val="00501D39"/>
    <w:rsid w:val="005067E1"/>
    <w:rsid w:val="00517D95"/>
    <w:rsid w:val="005274DF"/>
    <w:rsid w:val="00527999"/>
    <w:rsid w:val="00541777"/>
    <w:rsid w:val="00541F4B"/>
    <w:rsid w:val="005421F0"/>
    <w:rsid w:val="005451C0"/>
    <w:rsid w:val="005545BF"/>
    <w:rsid w:val="00554B18"/>
    <w:rsid w:val="00561D73"/>
    <w:rsid w:val="0056698C"/>
    <w:rsid w:val="005671A5"/>
    <w:rsid w:val="00572724"/>
    <w:rsid w:val="00572AA7"/>
    <w:rsid w:val="005738B3"/>
    <w:rsid w:val="00573CC8"/>
    <w:rsid w:val="00582721"/>
    <w:rsid w:val="005930C2"/>
    <w:rsid w:val="00597904"/>
    <w:rsid w:val="005A0376"/>
    <w:rsid w:val="005A08C8"/>
    <w:rsid w:val="005A0984"/>
    <w:rsid w:val="005A2571"/>
    <w:rsid w:val="005A6318"/>
    <w:rsid w:val="005C1599"/>
    <w:rsid w:val="005C3B47"/>
    <w:rsid w:val="005D3FBF"/>
    <w:rsid w:val="005D574A"/>
    <w:rsid w:val="005D7665"/>
    <w:rsid w:val="005D7B84"/>
    <w:rsid w:val="005D7C82"/>
    <w:rsid w:val="005F311A"/>
    <w:rsid w:val="00600729"/>
    <w:rsid w:val="00611982"/>
    <w:rsid w:val="006154FC"/>
    <w:rsid w:val="006361D4"/>
    <w:rsid w:val="006446AD"/>
    <w:rsid w:val="00651C24"/>
    <w:rsid w:val="00671642"/>
    <w:rsid w:val="00673006"/>
    <w:rsid w:val="0067691E"/>
    <w:rsid w:val="00680C0D"/>
    <w:rsid w:val="0068132E"/>
    <w:rsid w:val="0068468D"/>
    <w:rsid w:val="00691DB0"/>
    <w:rsid w:val="0069267F"/>
    <w:rsid w:val="006944D0"/>
    <w:rsid w:val="006A0AA9"/>
    <w:rsid w:val="006B1E8D"/>
    <w:rsid w:val="006B4C92"/>
    <w:rsid w:val="006B6F29"/>
    <w:rsid w:val="006C1410"/>
    <w:rsid w:val="006C20DA"/>
    <w:rsid w:val="006E0F76"/>
    <w:rsid w:val="006E0FA1"/>
    <w:rsid w:val="006E5CD0"/>
    <w:rsid w:val="006F08BD"/>
    <w:rsid w:val="00703549"/>
    <w:rsid w:val="0070511C"/>
    <w:rsid w:val="00706491"/>
    <w:rsid w:val="0071163F"/>
    <w:rsid w:val="0071227B"/>
    <w:rsid w:val="00714F2E"/>
    <w:rsid w:val="00720EDC"/>
    <w:rsid w:val="00723740"/>
    <w:rsid w:val="00740A25"/>
    <w:rsid w:val="00750D66"/>
    <w:rsid w:val="00765A48"/>
    <w:rsid w:val="00765BE4"/>
    <w:rsid w:val="00767B36"/>
    <w:rsid w:val="0077292B"/>
    <w:rsid w:val="00772FEA"/>
    <w:rsid w:val="007829EA"/>
    <w:rsid w:val="0079755B"/>
    <w:rsid w:val="007A640B"/>
    <w:rsid w:val="007A69F3"/>
    <w:rsid w:val="007B7B2A"/>
    <w:rsid w:val="007C5FB6"/>
    <w:rsid w:val="007C6581"/>
    <w:rsid w:val="007C7851"/>
    <w:rsid w:val="007C7C5A"/>
    <w:rsid w:val="007D1DA8"/>
    <w:rsid w:val="007D32A1"/>
    <w:rsid w:val="007D4AFD"/>
    <w:rsid w:val="007E3358"/>
    <w:rsid w:val="007E341C"/>
    <w:rsid w:val="007E55A0"/>
    <w:rsid w:val="0080583B"/>
    <w:rsid w:val="00805851"/>
    <w:rsid w:val="00813D64"/>
    <w:rsid w:val="00820EA9"/>
    <w:rsid w:val="0082380D"/>
    <w:rsid w:val="00826613"/>
    <w:rsid w:val="00831C2A"/>
    <w:rsid w:val="00833927"/>
    <w:rsid w:val="008368EA"/>
    <w:rsid w:val="00836F49"/>
    <w:rsid w:val="00842B5A"/>
    <w:rsid w:val="008453E1"/>
    <w:rsid w:val="0084613D"/>
    <w:rsid w:val="00856073"/>
    <w:rsid w:val="00863729"/>
    <w:rsid w:val="00864250"/>
    <w:rsid w:val="0086507C"/>
    <w:rsid w:val="008717A5"/>
    <w:rsid w:val="008749D2"/>
    <w:rsid w:val="00883465"/>
    <w:rsid w:val="00890278"/>
    <w:rsid w:val="008A3718"/>
    <w:rsid w:val="008A5674"/>
    <w:rsid w:val="008A68D6"/>
    <w:rsid w:val="008B1028"/>
    <w:rsid w:val="008B26EE"/>
    <w:rsid w:val="008B4E29"/>
    <w:rsid w:val="008C19D7"/>
    <w:rsid w:val="008C1E00"/>
    <w:rsid w:val="008C5A4B"/>
    <w:rsid w:val="008E7AFE"/>
    <w:rsid w:val="00904108"/>
    <w:rsid w:val="0091539D"/>
    <w:rsid w:val="00916BA9"/>
    <w:rsid w:val="00917B93"/>
    <w:rsid w:val="009331A8"/>
    <w:rsid w:val="009338FE"/>
    <w:rsid w:val="00934AC9"/>
    <w:rsid w:val="0093524E"/>
    <w:rsid w:val="00954432"/>
    <w:rsid w:val="00956752"/>
    <w:rsid w:val="00962934"/>
    <w:rsid w:val="00966EFE"/>
    <w:rsid w:val="00973EF6"/>
    <w:rsid w:val="009817D9"/>
    <w:rsid w:val="009901F2"/>
    <w:rsid w:val="00990800"/>
    <w:rsid w:val="00992A0E"/>
    <w:rsid w:val="0099582F"/>
    <w:rsid w:val="00997245"/>
    <w:rsid w:val="009A6BA6"/>
    <w:rsid w:val="009B6FEE"/>
    <w:rsid w:val="009C2DCD"/>
    <w:rsid w:val="009C5731"/>
    <w:rsid w:val="009C79C7"/>
    <w:rsid w:val="009D0FF7"/>
    <w:rsid w:val="009D143D"/>
    <w:rsid w:val="009D19F0"/>
    <w:rsid w:val="009D2ED9"/>
    <w:rsid w:val="009D6B0D"/>
    <w:rsid w:val="009F38E0"/>
    <w:rsid w:val="009F676C"/>
    <w:rsid w:val="00A01E57"/>
    <w:rsid w:val="00A04AC2"/>
    <w:rsid w:val="00A10426"/>
    <w:rsid w:val="00A157B6"/>
    <w:rsid w:val="00A15D3C"/>
    <w:rsid w:val="00A257EC"/>
    <w:rsid w:val="00A31F31"/>
    <w:rsid w:val="00A331BE"/>
    <w:rsid w:val="00A34136"/>
    <w:rsid w:val="00A35D43"/>
    <w:rsid w:val="00A379DA"/>
    <w:rsid w:val="00A40A04"/>
    <w:rsid w:val="00A41B9D"/>
    <w:rsid w:val="00A420E4"/>
    <w:rsid w:val="00A4570F"/>
    <w:rsid w:val="00A46AE8"/>
    <w:rsid w:val="00A46DD9"/>
    <w:rsid w:val="00A53170"/>
    <w:rsid w:val="00A54263"/>
    <w:rsid w:val="00A603F5"/>
    <w:rsid w:val="00A74452"/>
    <w:rsid w:val="00A75F08"/>
    <w:rsid w:val="00A81C76"/>
    <w:rsid w:val="00A8376D"/>
    <w:rsid w:val="00AA4A05"/>
    <w:rsid w:val="00AA605F"/>
    <w:rsid w:val="00AA7236"/>
    <w:rsid w:val="00AB1AD8"/>
    <w:rsid w:val="00AB4BB0"/>
    <w:rsid w:val="00AC0C95"/>
    <w:rsid w:val="00AC5BE5"/>
    <w:rsid w:val="00AD03F4"/>
    <w:rsid w:val="00AD200F"/>
    <w:rsid w:val="00AD48B5"/>
    <w:rsid w:val="00AD7B23"/>
    <w:rsid w:val="00AD7C79"/>
    <w:rsid w:val="00B02138"/>
    <w:rsid w:val="00B04240"/>
    <w:rsid w:val="00B108ED"/>
    <w:rsid w:val="00B13024"/>
    <w:rsid w:val="00B17142"/>
    <w:rsid w:val="00B20252"/>
    <w:rsid w:val="00B409EF"/>
    <w:rsid w:val="00B413C6"/>
    <w:rsid w:val="00B52F6C"/>
    <w:rsid w:val="00B600DB"/>
    <w:rsid w:val="00B621D7"/>
    <w:rsid w:val="00B6674B"/>
    <w:rsid w:val="00B72F11"/>
    <w:rsid w:val="00B83FE3"/>
    <w:rsid w:val="00B9063A"/>
    <w:rsid w:val="00B970DA"/>
    <w:rsid w:val="00BA1797"/>
    <w:rsid w:val="00BA2698"/>
    <w:rsid w:val="00BA6F8B"/>
    <w:rsid w:val="00BA71C6"/>
    <w:rsid w:val="00BB4F10"/>
    <w:rsid w:val="00BB569E"/>
    <w:rsid w:val="00BB6134"/>
    <w:rsid w:val="00BE4A35"/>
    <w:rsid w:val="00BF3D82"/>
    <w:rsid w:val="00C011DC"/>
    <w:rsid w:val="00C07270"/>
    <w:rsid w:val="00C10F06"/>
    <w:rsid w:val="00C1410E"/>
    <w:rsid w:val="00C22EA3"/>
    <w:rsid w:val="00C2406E"/>
    <w:rsid w:val="00C2611E"/>
    <w:rsid w:val="00C31753"/>
    <w:rsid w:val="00C33865"/>
    <w:rsid w:val="00C34EF9"/>
    <w:rsid w:val="00C35061"/>
    <w:rsid w:val="00C374CF"/>
    <w:rsid w:val="00C467BD"/>
    <w:rsid w:val="00C50551"/>
    <w:rsid w:val="00C5267A"/>
    <w:rsid w:val="00C5291E"/>
    <w:rsid w:val="00C53942"/>
    <w:rsid w:val="00C53E83"/>
    <w:rsid w:val="00C635A0"/>
    <w:rsid w:val="00C74CCE"/>
    <w:rsid w:val="00C765E1"/>
    <w:rsid w:val="00C87E5B"/>
    <w:rsid w:val="00C95D6A"/>
    <w:rsid w:val="00C97651"/>
    <w:rsid w:val="00CA1E33"/>
    <w:rsid w:val="00CA607F"/>
    <w:rsid w:val="00CC5C1D"/>
    <w:rsid w:val="00CD1D8A"/>
    <w:rsid w:val="00CD33A4"/>
    <w:rsid w:val="00CE4445"/>
    <w:rsid w:val="00CE5BC9"/>
    <w:rsid w:val="00CE7F08"/>
    <w:rsid w:val="00CF3C50"/>
    <w:rsid w:val="00D0008E"/>
    <w:rsid w:val="00D11745"/>
    <w:rsid w:val="00D11A44"/>
    <w:rsid w:val="00D12035"/>
    <w:rsid w:val="00D13281"/>
    <w:rsid w:val="00D151C3"/>
    <w:rsid w:val="00D167D0"/>
    <w:rsid w:val="00D33077"/>
    <w:rsid w:val="00D43317"/>
    <w:rsid w:val="00D557A2"/>
    <w:rsid w:val="00D57BE2"/>
    <w:rsid w:val="00D71940"/>
    <w:rsid w:val="00D74E50"/>
    <w:rsid w:val="00D82026"/>
    <w:rsid w:val="00D82505"/>
    <w:rsid w:val="00D90056"/>
    <w:rsid w:val="00DA31EB"/>
    <w:rsid w:val="00DA660A"/>
    <w:rsid w:val="00DB5AC4"/>
    <w:rsid w:val="00DD6DDF"/>
    <w:rsid w:val="00DE376D"/>
    <w:rsid w:val="00DF36A1"/>
    <w:rsid w:val="00E04EAF"/>
    <w:rsid w:val="00E050FF"/>
    <w:rsid w:val="00E05519"/>
    <w:rsid w:val="00E13E05"/>
    <w:rsid w:val="00E24889"/>
    <w:rsid w:val="00E27CDB"/>
    <w:rsid w:val="00E34028"/>
    <w:rsid w:val="00E4299A"/>
    <w:rsid w:val="00E43B71"/>
    <w:rsid w:val="00E5738B"/>
    <w:rsid w:val="00E57C61"/>
    <w:rsid w:val="00E605F5"/>
    <w:rsid w:val="00E62B2E"/>
    <w:rsid w:val="00E6783A"/>
    <w:rsid w:val="00E748F1"/>
    <w:rsid w:val="00E82873"/>
    <w:rsid w:val="00E828B5"/>
    <w:rsid w:val="00E83EEB"/>
    <w:rsid w:val="00E861C2"/>
    <w:rsid w:val="00E86246"/>
    <w:rsid w:val="00EA2D95"/>
    <w:rsid w:val="00EA3FDF"/>
    <w:rsid w:val="00EA5B1C"/>
    <w:rsid w:val="00EB43B1"/>
    <w:rsid w:val="00EB46C5"/>
    <w:rsid w:val="00EB65DE"/>
    <w:rsid w:val="00EB6B2B"/>
    <w:rsid w:val="00ED5A3A"/>
    <w:rsid w:val="00ED6316"/>
    <w:rsid w:val="00ED7BF2"/>
    <w:rsid w:val="00EE1C49"/>
    <w:rsid w:val="00EE48C5"/>
    <w:rsid w:val="00EF2585"/>
    <w:rsid w:val="00EF37DE"/>
    <w:rsid w:val="00EF698A"/>
    <w:rsid w:val="00F05243"/>
    <w:rsid w:val="00F13832"/>
    <w:rsid w:val="00F16E1C"/>
    <w:rsid w:val="00F21F5B"/>
    <w:rsid w:val="00F22313"/>
    <w:rsid w:val="00F23CB9"/>
    <w:rsid w:val="00F33B47"/>
    <w:rsid w:val="00F35947"/>
    <w:rsid w:val="00F426D1"/>
    <w:rsid w:val="00F42FA3"/>
    <w:rsid w:val="00F4407F"/>
    <w:rsid w:val="00F62ACE"/>
    <w:rsid w:val="00F706F6"/>
    <w:rsid w:val="00F92250"/>
    <w:rsid w:val="00F9265D"/>
    <w:rsid w:val="00F97FDA"/>
    <w:rsid w:val="00FA4BE3"/>
    <w:rsid w:val="00FA68DC"/>
    <w:rsid w:val="00FC5B16"/>
    <w:rsid w:val="00FD23B5"/>
    <w:rsid w:val="00FD3B66"/>
    <w:rsid w:val="00FE2C74"/>
    <w:rsid w:val="00FE55F7"/>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F21C7"/>
  <w15:chartTrackingRefBased/>
  <w15:docId w15:val="{8FA91164-03A5-458A-A384-BCBE24B4A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252"/>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257EC"/>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A257EC"/>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FD3B6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3B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3B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3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7EC"/>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A257EC"/>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FD3B6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D3B6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D3B6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D3B6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D3B6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D3B6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D3B6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D3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B6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D3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B6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D3B66"/>
    <w:pPr>
      <w:spacing w:before="160"/>
      <w:jc w:val="center"/>
    </w:pPr>
    <w:rPr>
      <w:i/>
      <w:iCs/>
      <w:color w:val="404040" w:themeColor="text1" w:themeTint="BF"/>
    </w:rPr>
  </w:style>
  <w:style w:type="character" w:customStyle="1" w:styleId="QuoteChar">
    <w:name w:val="Quote Char"/>
    <w:basedOn w:val="DefaultParagraphFont"/>
    <w:link w:val="Quote"/>
    <w:uiPriority w:val="29"/>
    <w:rsid w:val="00FD3B66"/>
    <w:rPr>
      <w:i/>
      <w:iCs/>
      <w:color w:val="404040" w:themeColor="text1" w:themeTint="BF"/>
      <w:lang w:val="en-GB"/>
    </w:rPr>
  </w:style>
  <w:style w:type="paragraph" w:styleId="ListParagraph">
    <w:name w:val="List Paragraph"/>
    <w:basedOn w:val="Normal"/>
    <w:uiPriority w:val="34"/>
    <w:qFormat/>
    <w:rsid w:val="00FD3B66"/>
    <w:pPr>
      <w:ind w:left="720"/>
      <w:contextualSpacing/>
    </w:pPr>
  </w:style>
  <w:style w:type="character" w:styleId="IntenseEmphasis">
    <w:name w:val="Intense Emphasis"/>
    <w:basedOn w:val="DefaultParagraphFont"/>
    <w:uiPriority w:val="21"/>
    <w:qFormat/>
    <w:rsid w:val="00FD3B66"/>
    <w:rPr>
      <w:i/>
      <w:iCs/>
      <w:color w:val="2F5496" w:themeColor="accent1" w:themeShade="BF"/>
    </w:rPr>
  </w:style>
  <w:style w:type="paragraph" w:styleId="IntenseQuote">
    <w:name w:val="Intense Quote"/>
    <w:basedOn w:val="Normal"/>
    <w:next w:val="Normal"/>
    <w:link w:val="IntenseQuoteChar"/>
    <w:uiPriority w:val="30"/>
    <w:qFormat/>
    <w:rsid w:val="00FD3B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3B66"/>
    <w:rPr>
      <w:i/>
      <w:iCs/>
      <w:color w:val="2F5496" w:themeColor="accent1" w:themeShade="BF"/>
      <w:lang w:val="en-GB"/>
    </w:rPr>
  </w:style>
  <w:style w:type="character" w:styleId="IntenseReference">
    <w:name w:val="Intense Reference"/>
    <w:basedOn w:val="DefaultParagraphFont"/>
    <w:uiPriority w:val="32"/>
    <w:qFormat/>
    <w:rsid w:val="00FD3B66"/>
    <w:rPr>
      <w:b/>
      <w:bCs/>
      <w:smallCaps/>
      <w:color w:val="2F5496" w:themeColor="accent1" w:themeShade="BF"/>
      <w:spacing w:val="5"/>
    </w:rPr>
  </w:style>
  <w:style w:type="paragraph" w:styleId="Header">
    <w:name w:val="header"/>
    <w:basedOn w:val="Normal"/>
    <w:link w:val="HeaderChar"/>
    <w:uiPriority w:val="99"/>
    <w:unhideWhenUsed/>
    <w:rsid w:val="00A15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D3C"/>
    <w:rPr>
      <w:rFonts w:ascii="Times New Roman" w:hAnsi="Times New Roman"/>
      <w:lang w:val="en-GB"/>
    </w:rPr>
  </w:style>
  <w:style w:type="paragraph" w:styleId="Footer">
    <w:name w:val="footer"/>
    <w:basedOn w:val="Normal"/>
    <w:link w:val="FooterChar"/>
    <w:uiPriority w:val="99"/>
    <w:unhideWhenUsed/>
    <w:rsid w:val="00A15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D3C"/>
    <w:rPr>
      <w:rFonts w:ascii="Times New Roman" w:hAnsi="Times New Roman"/>
      <w:lang w:val="en-GB"/>
    </w:rPr>
  </w:style>
  <w:style w:type="paragraph" w:styleId="TOCHeading">
    <w:name w:val="TOC Heading"/>
    <w:basedOn w:val="Heading1"/>
    <w:next w:val="Normal"/>
    <w:uiPriority w:val="39"/>
    <w:unhideWhenUsed/>
    <w:qFormat/>
    <w:rsid w:val="00C011DC"/>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011DC"/>
    <w:pPr>
      <w:spacing w:after="100"/>
    </w:pPr>
  </w:style>
  <w:style w:type="paragraph" w:styleId="TOC2">
    <w:name w:val="toc 2"/>
    <w:basedOn w:val="Normal"/>
    <w:next w:val="Normal"/>
    <w:autoRedefine/>
    <w:uiPriority w:val="39"/>
    <w:unhideWhenUsed/>
    <w:rsid w:val="00C011DC"/>
    <w:pPr>
      <w:spacing w:after="100"/>
      <w:ind w:left="240"/>
    </w:pPr>
  </w:style>
  <w:style w:type="character" w:styleId="Hyperlink">
    <w:name w:val="Hyperlink"/>
    <w:basedOn w:val="DefaultParagraphFont"/>
    <w:uiPriority w:val="99"/>
    <w:unhideWhenUsed/>
    <w:rsid w:val="00C011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FFDA8E-53E6-4AE1-8AB3-096EBEDB7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1</Pages>
  <Words>2922</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bob</cp:lastModifiedBy>
  <cp:revision>3</cp:revision>
  <dcterms:created xsi:type="dcterms:W3CDTF">2025-11-15T11:03:00Z</dcterms:created>
  <dcterms:modified xsi:type="dcterms:W3CDTF">2025-11-17T11:09:00Z</dcterms:modified>
</cp:coreProperties>
</file>