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0A67D" w14:textId="77777777" w:rsidR="00DC3904" w:rsidRDefault="00DC3904" w:rsidP="00DC3904">
      <w:pPr>
        <w:spacing w:line="360" w:lineRule="auto"/>
        <w:rPr>
          <w:rFonts w:ascii="Arial" w:hAnsi="Arial" w:cs="Arial"/>
        </w:rPr>
      </w:pPr>
      <w:r w:rsidRPr="00DC3904">
        <w:rPr>
          <w:rFonts w:ascii="Arial" w:hAnsi="Arial" w:cs="Arial"/>
          <w:b/>
          <w:bCs/>
          <w:u w:val="single"/>
        </w:rPr>
        <w:t xml:space="preserve">Module Title: </w:t>
      </w:r>
      <w:r>
        <w:rPr>
          <w:rFonts w:ascii="Arial" w:hAnsi="Arial" w:cs="Arial"/>
        </w:rPr>
        <w:t xml:space="preserve"> Psychology in Health and Social Care</w:t>
      </w:r>
    </w:p>
    <w:p w14:paraId="35AD078A" w14:textId="624A8B21" w:rsidR="00DC3904" w:rsidRPr="00DC3904" w:rsidRDefault="00DC3904" w:rsidP="00DC3904">
      <w:pPr>
        <w:spacing w:line="360" w:lineRule="auto"/>
        <w:rPr>
          <w:rFonts w:ascii="Arial" w:hAnsi="Arial" w:cs="Arial"/>
        </w:rPr>
      </w:pPr>
      <w:r>
        <w:rPr>
          <w:rFonts w:ascii="Arial" w:hAnsi="Arial" w:cs="Arial"/>
          <w:b/>
          <w:bCs/>
          <w:u w:val="single"/>
        </w:rPr>
        <w:t xml:space="preserve">Module Number: </w:t>
      </w:r>
      <w:r>
        <w:rPr>
          <w:rFonts w:ascii="Arial" w:hAnsi="Arial" w:cs="Arial"/>
        </w:rPr>
        <w:t>LCHS4010</w:t>
      </w:r>
    </w:p>
    <w:p w14:paraId="6B7DC5D3" w14:textId="36FB0861" w:rsidR="00DC3904" w:rsidRPr="00DC3904" w:rsidRDefault="00DC3904" w:rsidP="00DC3904">
      <w:pPr>
        <w:spacing w:line="360" w:lineRule="auto"/>
        <w:rPr>
          <w:rFonts w:ascii="Arial" w:hAnsi="Arial" w:cs="Arial"/>
        </w:rPr>
      </w:pPr>
      <w:r>
        <w:rPr>
          <w:rFonts w:ascii="Arial" w:hAnsi="Arial" w:cs="Arial"/>
          <w:b/>
          <w:bCs/>
          <w:u w:val="single"/>
        </w:rPr>
        <w:t xml:space="preserve">Assignment No: </w:t>
      </w:r>
      <w:r>
        <w:rPr>
          <w:rFonts w:ascii="Arial" w:hAnsi="Arial" w:cs="Arial"/>
        </w:rPr>
        <w:t>Assignment 2</w:t>
      </w:r>
    </w:p>
    <w:p w14:paraId="4392A6F1" w14:textId="1C37F638" w:rsidR="00DC3904" w:rsidRPr="00DC3904" w:rsidRDefault="00DC3904" w:rsidP="00DC3904">
      <w:pPr>
        <w:spacing w:line="360" w:lineRule="auto"/>
        <w:rPr>
          <w:rFonts w:ascii="Arial" w:hAnsi="Arial" w:cs="Arial"/>
        </w:rPr>
      </w:pPr>
      <w:r>
        <w:rPr>
          <w:rFonts w:ascii="Arial" w:hAnsi="Arial" w:cs="Arial"/>
          <w:b/>
          <w:bCs/>
          <w:u w:val="single"/>
        </w:rPr>
        <w:t xml:space="preserve">Student ID: </w:t>
      </w:r>
      <w:r>
        <w:rPr>
          <w:rFonts w:ascii="Arial" w:hAnsi="Arial" w:cs="Arial"/>
        </w:rPr>
        <w:t>2442252</w:t>
      </w:r>
    </w:p>
    <w:p w14:paraId="057281D4" w14:textId="30811D5C" w:rsidR="00DC3904" w:rsidRPr="00DC3904" w:rsidRDefault="00DC3904" w:rsidP="00DC3904">
      <w:pPr>
        <w:spacing w:line="360" w:lineRule="auto"/>
        <w:rPr>
          <w:rFonts w:ascii="Arial" w:hAnsi="Arial" w:cs="Arial"/>
        </w:rPr>
      </w:pPr>
      <w:r>
        <w:rPr>
          <w:rFonts w:ascii="Arial" w:hAnsi="Arial" w:cs="Arial"/>
          <w:b/>
          <w:bCs/>
          <w:u w:val="single"/>
        </w:rPr>
        <w:t>Lecturer’s Name:</w:t>
      </w:r>
      <w:r>
        <w:rPr>
          <w:rFonts w:ascii="Arial" w:hAnsi="Arial" w:cs="Arial"/>
          <w:b/>
          <w:bCs/>
        </w:rPr>
        <w:t xml:space="preserve"> </w:t>
      </w:r>
      <w:r>
        <w:rPr>
          <w:rFonts w:ascii="Arial" w:hAnsi="Arial" w:cs="Arial"/>
        </w:rPr>
        <w:t>Brian Mashumba</w:t>
      </w:r>
    </w:p>
    <w:p w14:paraId="23ABAF67" w14:textId="77777777" w:rsidR="00DC3904" w:rsidRDefault="00DC3904" w:rsidP="00DC3904">
      <w:pPr>
        <w:spacing w:line="360" w:lineRule="auto"/>
        <w:rPr>
          <w:rFonts w:ascii="Arial" w:hAnsi="Arial" w:cs="Arial"/>
          <w:b/>
          <w:bCs/>
        </w:rPr>
      </w:pPr>
    </w:p>
    <w:p w14:paraId="790A8EF7" w14:textId="77777777" w:rsidR="00DC3904" w:rsidRDefault="00DC3904">
      <w:pPr>
        <w:rPr>
          <w:rFonts w:ascii="Arial" w:hAnsi="Arial" w:cs="Arial"/>
          <w:b/>
          <w:bCs/>
        </w:rPr>
      </w:pPr>
      <w:r>
        <w:rPr>
          <w:rFonts w:ascii="Arial" w:hAnsi="Arial" w:cs="Arial"/>
          <w:b/>
          <w:bCs/>
        </w:rPr>
        <w:br w:type="page"/>
      </w:r>
    </w:p>
    <w:p w14:paraId="5F7E6B45" w14:textId="0C74D48B" w:rsidR="005A3F8A" w:rsidRPr="00DC3904" w:rsidRDefault="005A3F8A" w:rsidP="00DC3904">
      <w:pPr>
        <w:spacing w:line="360" w:lineRule="auto"/>
        <w:rPr>
          <w:rFonts w:ascii="Arial" w:hAnsi="Arial" w:cs="Arial"/>
          <w:b/>
          <w:bCs/>
        </w:rPr>
      </w:pPr>
      <w:r w:rsidRPr="00DC3904">
        <w:rPr>
          <w:rFonts w:ascii="Arial" w:hAnsi="Arial" w:cs="Arial"/>
          <w:b/>
          <w:bCs/>
        </w:rPr>
        <w:lastRenderedPageBreak/>
        <w:t>Discuss the Impact of Social Media on Mental Health in Adolescence</w:t>
      </w:r>
    </w:p>
    <w:p w14:paraId="0FE61348" w14:textId="36255E24" w:rsidR="005A3F8A" w:rsidRPr="00DC3904" w:rsidRDefault="005A3F8A" w:rsidP="00DC3904">
      <w:pPr>
        <w:spacing w:line="360" w:lineRule="auto"/>
        <w:rPr>
          <w:rFonts w:ascii="Arial" w:hAnsi="Arial" w:cs="Arial"/>
        </w:rPr>
      </w:pPr>
      <w:r w:rsidRPr="00DC3904">
        <w:rPr>
          <w:rFonts w:ascii="Arial" w:hAnsi="Arial" w:cs="Arial"/>
        </w:rPr>
        <w:t xml:space="preserve">Social media platforms such as Instagram, Snapchat and TikTok have become an almost universal feature of adolescent life, with research suggesting that more than nine in ten adolescents hold at least one social media account (Agyapong-Opoku, Agyapong-Opoku and Greenshaw, 2025). Adolescence is a developmental period marked by rapid physical, cognitive and social change, during which young people become increasingly sensitive to peer evaluation, social comparison and the pursuit of social reward (Agyapong-Opoku, Agyapong-Opoku and Greenshaw, 2025; Senekal et al., 2023). Because this developmental window overlaps almost exactly with the rise of networked social platforms, researchers, parents and policymakers have become increasingly concerned about the effect that constant online connection may have on adolescent mental health. Systematic reviews report consistent, if modest, associations between social media use and depression, anxiety, poor sleep, body dissatisfaction and self-harm (Khalaf et al., 2023; Royal Society for Public Health and Young Health Movement, 2017), yet other large-scale analyses conclude that the overall relationship between digital technology use and wellbeing is small and highly dependent on how, rather than simply how much, adolescents use these platforms (Orben and Przybylski, 2019; Orben, </w:t>
      </w:r>
      <w:proofErr w:type="spellStart"/>
      <w:r w:rsidRPr="00DC3904">
        <w:rPr>
          <w:rFonts w:ascii="Arial" w:hAnsi="Arial" w:cs="Arial"/>
        </w:rPr>
        <w:t>Dienlin</w:t>
      </w:r>
      <w:proofErr w:type="spellEnd"/>
      <w:r w:rsidRPr="00DC3904">
        <w:rPr>
          <w:rFonts w:ascii="Arial" w:hAnsi="Arial" w:cs="Arial"/>
        </w:rPr>
        <w:t xml:space="preserve"> and Przybylski, 2019). This essay will draw on Erikson's theory of psychosocial development and Bowlby's attachment theory to explain how and why adolescent mental health may be affected by exposure to social media, before concluding that its impact is best understood as contingent on the developmental tasks and relational needs that define adolescence, rather than as a uniformly harmful or beneficial influence.</w:t>
      </w:r>
    </w:p>
    <w:p w14:paraId="087E6323" w14:textId="77777777" w:rsidR="005A3F8A" w:rsidRPr="00DC3904" w:rsidRDefault="005A3F8A" w:rsidP="00DC3904">
      <w:pPr>
        <w:spacing w:line="360" w:lineRule="auto"/>
        <w:rPr>
          <w:rFonts w:ascii="Arial" w:hAnsi="Arial" w:cs="Arial"/>
        </w:rPr>
      </w:pPr>
      <w:r w:rsidRPr="00DC3904">
        <w:rPr>
          <w:rFonts w:ascii="Arial" w:hAnsi="Arial" w:cs="Arial"/>
        </w:rPr>
        <w:t xml:space="preserve">A substantial body of research links frequent or problematic social media use with poorer adolescent mental health. A systematic review of eleven studies found a modest but statistically significant association between social media use and depressive symptoms in children and adolescents, although the authors cautioned that causality remained unclear (Khalaf et al., 2023). A more recent scoping review of forty-three reviews similarly concluded that the majority of the literature links social media use to adverse outcomes, particularly depression and anxiety, but stressed that the nature of use, rather than exposure alone, was the strongest predictor of harm: passive scrolling, appearance-focused browsing and night-time use were consistently associated with worse outcomes, whereas active communication with friends and participation in supportive online communities were linked to enhanced wellbeing (Agyapong-Opoku, Agyapong-Opoku and Greenshaw, 2025). This distinction between active and passive use helps explain some of the inconsistency in the wider literature. The Royal Society for Public Health and Young Health Movement (2017) reported that heavy users of social media, defined as those spending more than two hours a day on </w:t>
      </w:r>
      <w:r w:rsidRPr="00DC3904">
        <w:rPr>
          <w:rFonts w:ascii="Arial" w:hAnsi="Arial" w:cs="Arial"/>
        </w:rPr>
        <w:lastRenderedPageBreak/>
        <w:t>networking sites, were more likely to report psychological distress, poor sleep and negative body image, while also acknowledging that platforms can provide emotional support, a sense of community and access to health information. Cyberbullying, unattainable appearance ideals and the fear of missing out have each been identified as specific mechanisms through which social media may erode adolescent wellbeing (Royal Society for Public Health and Young Health Movement, 2017).</w:t>
      </w:r>
    </w:p>
    <w:p w14:paraId="73ADEF1B" w14:textId="77777777" w:rsidR="005A3F8A" w:rsidRPr="00DC3904" w:rsidRDefault="005A3F8A" w:rsidP="00DC3904">
      <w:pPr>
        <w:spacing w:line="360" w:lineRule="auto"/>
        <w:rPr>
          <w:rFonts w:ascii="Arial" w:hAnsi="Arial" w:cs="Arial"/>
        </w:rPr>
      </w:pPr>
      <w:r w:rsidRPr="00DC3904">
        <w:rPr>
          <w:rFonts w:ascii="Arial" w:hAnsi="Arial" w:cs="Arial"/>
        </w:rPr>
        <w:t xml:space="preserve">Not all evidence points to a strong or consistent negative effect, however. Using specification curve analysis across three large representative datasets, Orben and Przybylski (2019) found that digital technology use explained, at most, a very small proportion of variance in adolescent wellbeing, with an effect size comparable to seemingly trivial behaviours such as eating potatoes. A related analysis of longitudinal panel data found that social media use predicted small declines in life satisfaction that were reciprocal, gender-specific and highly dependent on the particular analytic choices made by researchers (Orben, </w:t>
      </w:r>
      <w:proofErr w:type="spellStart"/>
      <w:r w:rsidRPr="00DC3904">
        <w:rPr>
          <w:rFonts w:ascii="Arial" w:hAnsi="Arial" w:cs="Arial"/>
        </w:rPr>
        <w:t>Dienlin</w:t>
      </w:r>
      <w:proofErr w:type="spellEnd"/>
      <w:r w:rsidRPr="00DC3904">
        <w:rPr>
          <w:rFonts w:ascii="Arial" w:hAnsi="Arial" w:cs="Arial"/>
        </w:rPr>
        <w:t xml:space="preserve"> and Przybylski, 2019). Taken together, this body of work suggests that social media does not affect all adolescents uniformly; rather, its influence appears to depend on individual differences, patterns of use and the wider social and relational context in which it occurs. Psychological theory offers a useful lens for understanding why some adolescents may be more vulnerable to these effects than others.</w:t>
      </w:r>
    </w:p>
    <w:p w14:paraId="72BAE441" w14:textId="77777777" w:rsidR="005A3F8A" w:rsidRPr="00DC3904" w:rsidRDefault="005A3F8A" w:rsidP="00DC3904">
      <w:pPr>
        <w:spacing w:line="360" w:lineRule="auto"/>
        <w:rPr>
          <w:rFonts w:ascii="Arial" w:hAnsi="Arial" w:cs="Arial"/>
        </w:rPr>
      </w:pPr>
      <w:r w:rsidRPr="00DC3904">
        <w:rPr>
          <w:rFonts w:ascii="Arial" w:hAnsi="Arial" w:cs="Arial"/>
        </w:rPr>
        <w:t xml:space="preserve">Erikson's (1968) theory of psychosocial development offers one explanation for why social media may have such a pronounced effect on adolescent mental health. Erikson proposed that development proceeds through eight stages, each defined by a particular psychosocial crisis that must be resolved before healthy progression to the next stage. Adolescence corresponds to the stage of identity versus role confusion, during which the central developmental task is to construct a coherent and stable sense of self, often through experimentation with different roles, values, appearances and social groups. Social media can be understood as a modern arena for this identity work: profiles, posts and curated images allow adolescents to try out different self-presentations and to receive immediate feedback from peers in the form of likes, comments and follower counts (Senekal et al., 2023; Primack et al., 2022). Where this feedback is affirming, social media may support healthy identity formation by allowing adolescents to explore and consolidate aspects of who they are. However, because platforms tend to reward idealised and curated self-presentation, adolescents may also experience pressure to maintain an inauthentic online identity, or may repeatedly compare their own unfiltered lives with the highlight reels of others. From an </w:t>
      </w:r>
      <w:proofErr w:type="spellStart"/>
      <w:r w:rsidRPr="00DC3904">
        <w:rPr>
          <w:rFonts w:ascii="Arial" w:hAnsi="Arial" w:cs="Arial"/>
        </w:rPr>
        <w:t>Eriksonian</w:t>
      </w:r>
      <w:proofErr w:type="spellEnd"/>
      <w:r w:rsidRPr="00DC3904">
        <w:rPr>
          <w:rFonts w:ascii="Arial" w:hAnsi="Arial" w:cs="Arial"/>
        </w:rPr>
        <w:t xml:space="preserve"> perspective, this could produce identity confusion, low self-esteem or a foreclosed identity based on external validation rather than genuine self-exploration, offering a plausible mechanism for the associations between heavy or passive </w:t>
      </w:r>
      <w:r w:rsidRPr="00DC3904">
        <w:rPr>
          <w:rFonts w:ascii="Arial" w:hAnsi="Arial" w:cs="Arial"/>
        </w:rPr>
        <w:lastRenderedPageBreak/>
        <w:t>social media use and anxiety, depression and body dissatisfaction reported in the literature (Khalaf et al., 2023; Royal Society for Public Health and Young Health Movement, 2017).</w:t>
      </w:r>
    </w:p>
    <w:p w14:paraId="06D37ECA" w14:textId="77777777" w:rsidR="005A3F8A" w:rsidRPr="00DC3904" w:rsidRDefault="005A3F8A" w:rsidP="00DC3904">
      <w:pPr>
        <w:spacing w:line="360" w:lineRule="auto"/>
        <w:rPr>
          <w:rFonts w:ascii="Arial" w:hAnsi="Arial" w:cs="Arial"/>
        </w:rPr>
      </w:pPr>
      <w:r w:rsidRPr="00DC3904">
        <w:rPr>
          <w:rFonts w:ascii="Arial" w:hAnsi="Arial" w:cs="Arial"/>
        </w:rPr>
        <w:t>Bowlby's (1969) attachment theory provides a complementary explanation, focused less on identity and more on the quality of adolescents' relational bonds. Bowlby argued that infants form an internal working model of relationships based on the responsiveness of their primary caregiver, and that this model shapes expectations of closeness, trust and support throughout life, including during the shift of adolescence towards greater reliance on peer attachments. Because adolescence is a period in which young people begin to seek proximity, reassurance and a "safe base" from peers as well as parents, social media, with its promise of constant connection, may become an important attachment-related resource. For adolescents with secure internal working models, social media use in moderation can support existing friendships and provide genuine emotional support; indeed, the Royal Society for Public Health and Young Health Movement (2017) reported that many adolescents receive meaningful support from peers during difficult times online. For adolescents with more anxious or insecure attachment styles, however, social media may instead intensify attachment-related distress. The constant availability of peers can heighten hypervigilance to signs of rejection or exclusion, manifesting as fear of missing out, compulsive checking behaviour, or distress when posts are not acknowledged (Royal Society for Public Health and</w:t>
      </w:r>
    </w:p>
    <w:p w14:paraId="7AB3B185" w14:textId="77777777" w:rsidR="005A3F8A" w:rsidRPr="00DC3904" w:rsidRDefault="005A3F8A" w:rsidP="00DC3904">
      <w:pPr>
        <w:spacing w:line="360" w:lineRule="auto"/>
        <w:rPr>
          <w:rFonts w:ascii="Arial" w:hAnsi="Arial" w:cs="Arial"/>
        </w:rPr>
      </w:pPr>
      <w:r w:rsidRPr="00DC3904">
        <w:rPr>
          <w:rFonts w:ascii="Arial" w:hAnsi="Arial" w:cs="Arial"/>
        </w:rPr>
        <w:t>Young Health Movement, 2017). Cyberbullying and public exclusion, meanwhile, can be understood as direct threats to the "safe base" that attachment figures are meant to provide, which may help explain the particularly strong associations found between online victimisation and depression, self-harm and suicidal ideation in adolescent populations (Khalaf et al., 2023). Attachment theory therefore suggests that the mental health impact of social media is not uniform but is moderated by the relational security an adolescent brings to their online interactions.</w:t>
      </w:r>
    </w:p>
    <w:p w14:paraId="660C3311" w14:textId="03A11902" w:rsidR="005A3F8A" w:rsidRPr="00DC3904" w:rsidRDefault="005A3F8A" w:rsidP="00DC3904">
      <w:pPr>
        <w:spacing w:line="360" w:lineRule="auto"/>
        <w:rPr>
          <w:rFonts w:ascii="Arial" w:hAnsi="Arial" w:cs="Arial"/>
        </w:rPr>
      </w:pPr>
      <w:r w:rsidRPr="00DC3904">
        <w:rPr>
          <w:rFonts w:ascii="Arial" w:hAnsi="Arial" w:cs="Arial"/>
        </w:rPr>
        <w:t xml:space="preserve">In conclusion, the impact of social media on adolescent mental health cannot be reduced to a simple verdict of harm or benefit. Research evidence indicates a modest but meaningful association between social media use, particularly problematic or passive use, and outcomes such as depression, anxiety, poor sleep and body dissatisfaction, while also showing that overall effect sizes are small and highly dependent on the type and context of use (Khalaf et al., 2023; Orben and Przybylski, 2019; Orben, </w:t>
      </w:r>
      <w:proofErr w:type="spellStart"/>
      <w:r w:rsidRPr="00DC3904">
        <w:rPr>
          <w:rFonts w:ascii="Arial" w:hAnsi="Arial" w:cs="Arial"/>
        </w:rPr>
        <w:t>Dienlin</w:t>
      </w:r>
      <w:proofErr w:type="spellEnd"/>
      <w:r w:rsidRPr="00DC3904">
        <w:rPr>
          <w:rFonts w:ascii="Arial" w:hAnsi="Arial" w:cs="Arial"/>
        </w:rPr>
        <w:t xml:space="preserve"> and Przybylski, 2019; Agyapong-Opoku, Agyapong-Opoku and Greenshaw, 2025). Erikson's theory of psychosocial development helps to explain this pattern by framing social media as an arena for identity experimentation that can either support or undermine the adolescent task of </w:t>
      </w:r>
      <w:r w:rsidRPr="00DC3904">
        <w:rPr>
          <w:rFonts w:ascii="Arial" w:hAnsi="Arial" w:cs="Arial"/>
        </w:rPr>
        <w:lastRenderedPageBreak/>
        <w:t>constructing a stable sense of self, depending on whether online feedback is affirming or comparison-driven. Bowlby's attachment theory adds a further, complementary explanation, suggesting that the emotional consequences of social media use are shaped by the security of an adolescent's existing relational bonds, with securely attached adolescents more able to use these platforms as a genuine source of peer support and insecurely attached adolescents more vulnerable to distress arising from exclusion, comparison and disrupted reassurance-seeking. Together, these theories suggest that effective responses to the risks associated with adolescent social media use, such as digital literacy education and safeguarding measures recommended by the Royal Society for Public Health and Young Health Movement (2017), should attend not only to the amount of time adolescents spend online but to the developmental and relational needs that shape how that time is experienced.</w:t>
      </w:r>
    </w:p>
    <w:p w14:paraId="039C5DAD" w14:textId="77777777" w:rsidR="00DC3904" w:rsidRDefault="00DC3904" w:rsidP="00DC3904">
      <w:pPr>
        <w:spacing w:line="360" w:lineRule="auto"/>
        <w:rPr>
          <w:rFonts w:ascii="Arial" w:hAnsi="Arial" w:cs="Arial"/>
        </w:rPr>
      </w:pPr>
    </w:p>
    <w:p w14:paraId="5D1BA927" w14:textId="77777777" w:rsidR="00DC3904" w:rsidRDefault="00DC3904" w:rsidP="00DC3904">
      <w:pPr>
        <w:spacing w:line="360" w:lineRule="auto"/>
        <w:rPr>
          <w:rFonts w:ascii="Arial" w:hAnsi="Arial" w:cs="Arial"/>
        </w:rPr>
      </w:pPr>
    </w:p>
    <w:p w14:paraId="544D7E92" w14:textId="77777777" w:rsidR="00DC3904" w:rsidRDefault="00DC3904" w:rsidP="00DC3904">
      <w:pPr>
        <w:spacing w:line="360" w:lineRule="auto"/>
        <w:rPr>
          <w:rFonts w:ascii="Arial" w:hAnsi="Arial" w:cs="Arial"/>
        </w:rPr>
      </w:pPr>
    </w:p>
    <w:p w14:paraId="08E9B688" w14:textId="77777777" w:rsidR="00DC3904" w:rsidRDefault="00DC3904" w:rsidP="00DC3904">
      <w:pPr>
        <w:spacing w:line="360" w:lineRule="auto"/>
        <w:rPr>
          <w:rFonts w:ascii="Arial" w:hAnsi="Arial" w:cs="Arial"/>
        </w:rPr>
      </w:pPr>
    </w:p>
    <w:p w14:paraId="35C94599" w14:textId="77777777" w:rsidR="00DC3904" w:rsidRDefault="00DC3904" w:rsidP="00DC3904">
      <w:pPr>
        <w:spacing w:line="360" w:lineRule="auto"/>
        <w:rPr>
          <w:rFonts w:ascii="Arial" w:hAnsi="Arial" w:cs="Arial"/>
        </w:rPr>
      </w:pPr>
    </w:p>
    <w:p w14:paraId="15F1A9A6" w14:textId="77777777" w:rsidR="00DC3904" w:rsidRDefault="00DC3904" w:rsidP="00DC3904">
      <w:pPr>
        <w:spacing w:line="360" w:lineRule="auto"/>
        <w:rPr>
          <w:rFonts w:ascii="Arial" w:hAnsi="Arial" w:cs="Arial"/>
        </w:rPr>
      </w:pPr>
    </w:p>
    <w:p w14:paraId="48F1CDA3" w14:textId="77777777" w:rsidR="00DC3904" w:rsidRDefault="00DC3904" w:rsidP="00DC3904">
      <w:pPr>
        <w:spacing w:line="360" w:lineRule="auto"/>
        <w:rPr>
          <w:rFonts w:ascii="Arial" w:hAnsi="Arial" w:cs="Arial"/>
        </w:rPr>
      </w:pPr>
    </w:p>
    <w:p w14:paraId="3C3737B1" w14:textId="77777777" w:rsidR="00DC3904" w:rsidRDefault="00DC3904" w:rsidP="00DC3904">
      <w:pPr>
        <w:spacing w:line="360" w:lineRule="auto"/>
        <w:rPr>
          <w:rFonts w:ascii="Arial" w:hAnsi="Arial" w:cs="Arial"/>
        </w:rPr>
      </w:pPr>
    </w:p>
    <w:p w14:paraId="630E5756" w14:textId="77777777" w:rsidR="00DC3904" w:rsidRDefault="00DC3904" w:rsidP="00DC3904">
      <w:pPr>
        <w:spacing w:line="360" w:lineRule="auto"/>
        <w:rPr>
          <w:rFonts w:ascii="Arial" w:hAnsi="Arial" w:cs="Arial"/>
        </w:rPr>
      </w:pPr>
    </w:p>
    <w:p w14:paraId="0E6487BB" w14:textId="77777777" w:rsidR="00DC3904" w:rsidRDefault="00DC3904" w:rsidP="00DC3904">
      <w:pPr>
        <w:spacing w:line="360" w:lineRule="auto"/>
        <w:rPr>
          <w:rFonts w:ascii="Arial" w:hAnsi="Arial" w:cs="Arial"/>
        </w:rPr>
      </w:pPr>
    </w:p>
    <w:p w14:paraId="42A33A0F" w14:textId="77777777" w:rsidR="00DC3904" w:rsidRDefault="00DC3904" w:rsidP="00DC3904">
      <w:pPr>
        <w:spacing w:line="360" w:lineRule="auto"/>
        <w:rPr>
          <w:rFonts w:ascii="Arial" w:hAnsi="Arial" w:cs="Arial"/>
        </w:rPr>
      </w:pPr>
    </w:p>
    <w:p w14:paraId="44A3E5D1" w14:textId="77777777" w:rsidR="00DC3904" w:rsidRDefault="00DC3904" w:rsidP="00DC3904">
      <w:pPr>
        <w:spacing w:line="360" w:lineRule="auto"/>
        <w:rPr>
          <w:rFonts w:ascii="Arial" w:hAnsi="Arial" w:cs="Arial"/>
        </w:rPr>
      </w:pPr>
    </w:p>
    <w:p w14:paraId="490F9499" w14:textId="77777777" w:rsidR="00DC3904" w:rsidRDefault="00DC3904" w:rsidP="00DC3904">
      <w:pPr>
        <w:spacing w:line="360" w:lineRule="auto"/>
        <w:rPr>
          <w:rFonts w:ascii="Arial" w:hAnsi="Arial" w:cs="Arial"/>
        </w:rPr>
      </w:pPr>
    </w:p>
    <w:p w14:paraId="10CC3869" w14:textId="77777777" w:rsidR="00DC3904" w:rsidRDefault="00DC3904" w:rsidP="00DC3904">
      <w:pPr>
        <w:spacing w:line="360" w:lineRule="auto"/>
        <w:rPr>
          <w:rFonts w:ascii="Arial" w:hAnsi="Arial" w:cs="Arial"/>
        </w:rPr>
      </w:pPr>
    </w:p>
    <w:p w14:paraId="45C04E4A" w14:textId="77777777" w:rsidR="00DC3904" w:rsidRDefault="00DC3904" w:rsidP="00DC3904">
      <w:pPr>
        <w:spacing w:line="360" w:lineRule="auto"/>
        <w:rPr>
          <w:rFonts w:ascii="Arial" w:hAnsi="Arial" w:cs="Arial"/>
        </w:rPr>
      </w:pPr>
    </w:p>
    <w:p w14:paraId="7D1011CD" w14:textId="3E545EA9" w:rsidR="005A3F8A" w:rsidRPr="00DC3904" w:rsidRDefault="005A3F8A" w:rsidP="00DC3904">
      <w:pPr>
        <w:spacing w:line="360" w:lineRule="auto"/>
        <w:rPr>
          <w:rFonts w:ascii="Arial" w:hAnsi="Arial" w:cs="Arial"/>
        </w:rPr>
      </w:pPr>
      <w:r w:rsidRPr="00DC3904">
        <w:rPr>
          <w:rFonts w:ascii="Arial" w:hAnsi="Arial" w:cs="Arial"/>
        </w:rPr>
        <w:t>References</w:t>
      </w:r>
    </w:p>
    <w:p w14:paraId="6C87E4A0" w14:textId="77777777" w:rsidR="005A3F8A" w:rsidRPr="00DC3904" w:rsidRDefault="005A3F8A" w:rsidP="00DC3904">
      <w:pPr>
        <w:spacing w:line="360" w:lineRule="auto"/>
        <w:rPr>
          <w:rFonts w:ascii="Arial" w:hAnsi="Arial" w:cs="Arial"/>
        </w:rPr>
      </w:pPr>
      <w:r w:rsidRPr="00DC3904">
        <w:rPr>
          <w:rFonts w:ascii="Arial" w:hAnsi="Arial" w:cs="Arial"/>
        </w:rPr>
        <w:lastRenderedPageBreak/>
        <w:t xml:space="preserve">Agyapong-Opoku, N., Agyapong-Opoku, F. and Greenshaw, A.J. (2025) 'Effects of social media use on youth and adolescent mental health: a scoping review of reviews', </w:t>
      </w:r>
      <w:proofErr w:type="spellStart"/>
      <w:r w:rsidRPr="00DC3904">
        <w:rPr>
          <w:rFonts w:ascii="Arial" w:hAnsi="Arial" w:cs="Arial"/>
        </w:rPr>
        <w:t>Behavioral</w:t>
      </w:r>
      <w:proofErr w:type="spellEnd"/>
      <w:r w:rsidRPr="00DC3904">
        <w:rPr>
          <w:rFonts w:ascii="Arial" w:hAnsi="Arial" w:cs="Arial"/>
        </w:rPr>
        <w:t xml:space="preserve"> Sciences, 15(5), 574.</w:t>
      </w:r>
    </w:p>
    <w:p w14:paraId="345AB168" w14:textId="77777777" w:rsidR="005A3F8A" w:rsidRPr="00DC3904" w:rsidRDefault="005A3F8A" w:rsidP="00DC3904">
      <w:pPr>
        <w:spacing w:line="360" w:lineRule="auto"/>
        <w:rPr>
          <w:rFonts w:ascii="Arial" w:hAnsi="Arial" w:cs="Arial"/>
        </w:rPr>
      </w:pPr>
      <w:r w:rsidRPr="00DC3904">
        <w:rPr>
          <w:rFonts w:ascii="Arial" w:hAnsi="Arial" w:cs="Arial"/>
        </w:rPr>
        <w:t>Bowlby, J. (1969) Attachment and Loss: Volume 1. Attachment. London: Hogarth Press.</w:t>
      </w:r>
    </w:p>
    <w:p w14:paraId="1654B02F" w14:textId="77777777" w:rsidR="005A3F8A" w:rsidRPr="00DC3904" w:rsidRDefault="005A3F8A" w:rsidP="00DC3904">
      <w:pPr>
        <w:spacing w:line="360" w:lineRule="auto"/>
        <w:rPr>
          <w:rFonts w:ascii="Arial" w:hAnsi="Arial" w:cs="Arial"/>
        </w:rPr>
      </w:pPr>
      <w:r w:rsidRPr="00DC3904">
        <w:rPr>
          <w:rFonts w:ascii="Arial" w:hAnsi="Arial" w:cs="Arial"/>
        </w:rPr>
        <w:t>Erikson, E.H. (1968) Identity: Youth and Crisis. New York: Norton.</w:t>
      </w:r>
    </w:p>
    <w:p w14:paraId="49F7C6E7" w14:textId="77777777" w:rsidR="005A3F8A" w:rsidRPr="00DC3904" w:rsidRDefault="005A3F8A" w:rsidP="00DC3904">
      <w:pPr>
        <w:spacing w:line="360" w:lineRule="auto"/>
        <w:rPr>
          <w:rFonts w:ascii="Arial" w:hAnsi="Arial" w:cs="Arial"/>
        </w:rPr>
      </w:pPr>
      <w:r w:rsidRPr="00DC3904">
        <w:rPr>
          <w:rFonts w:ascii="Arial" w:hAnsi="Arial" w:cs="Arial"/>
        </w:rPr>
        <w:t xml:space="preserve">Khalaf, A.M., </w:t>
      </w:r>
      <w:proofErr w:type="spellStart"/>
      <w:r w:rsidRPr="00DC3904">
        <w:rPr>
          <w:rFonts w:ascii="Arial" w:hAnsi="Arial" w:cs="Arial"/>
        </w:rPr>
        <w:t>Alubied</w:t>
      </w:r>
      <w:proofErr w:type="spellEnd"/>
      <w:r w:rsidRPr="00DC3904">
        <w:rPr>
          <w:rFonts w:ascii="Arial" w:hAnsi="Arial" w:cs="Arial"/>
        </w:rPr>
        <w:t xml:space="preserve">, A.A., Khalaf, A.M. and </w:t>
      </w:r>
      <w:proofErr w:type="spellStart"/>
      <w:r w:rsidRPr="00DC3904">
        <w:rPr>
          <w:rFonts w:ascii="Arial" w:hAnsi="Arial" w:cs="Arial"/>
        </w:rPr>
        <w:t>Rifaey</w:t>
      </w:r>
      <w:proofErr w:type="spellEnd"/>
      <w:r w:rsidRPr="00DC3904">
        <w:rPr>
          <w:rFonts w:ascii="Arial" w:hAnsi="Arial" w:cs="Arial"/>
        </w:rPr>
        <w:t xml:space="preserve">, A.A. (2023) 'The impact of social media on the mental health of adolescents and young adults: a systematic review', </w:t>
      </w:r>
      <w:proofErr w:type="spellStart"/>
      <w:r w:rsidRPr="00DC3904">
        <w:rPr>
          <w:rFonts w:ascii="Arial" w:hAnsi="Arial" w:cs="Arial"/>
        </w:rPr>
        <w:t>Cureus</w:t>
      </w:r>
      <w:proofErr w:type="spellEnd"/>
      <w:r w:rsidRPr="00DC3904">
        <w:rPr>
          <w:rFonts w:ascii="Arial" w:hAnsi="Arial" w:cs="Arial"/>
        </w:rPr>
        <w:t>, 15(8), e42990.</w:t>
      </w:r>
    </w:p>
    <w:p w14:paraId="41965EDD" w14:textId="77777777" w:rsidR="005A3F8A" w:rsidRPr="00DC3904" w:rsidRDefault="005A3F8A" w:rsidP="00DC3904">
      <w:pPr>
        <w:spacing w:line="360" w:lineRule="auto"/>
        <w:rPr>
          <w:rFonts w:ascii="Arial" w:hAnsi="Arial" w:cs="Arial"/>
        </w:rPr>
      </w:pPr>
      <w:r w:rsidRPr="00DC3904">
        <w:rPr>
          <w:rFonts w:ascii="Arial" w:hAnsi="Arial" w:cs="Arial"/>
        </w:rPr>
        <w:t>Orben, A. and Przybylski, A.K. (2019) 'The association between adolescent well-being and digital technology use', Nature Human Behaviour, 3, pp. 173–182.</w:t>
      </w:r>
    </w:p>
    <w:p w14:paraId="40C2210C" w14:textId="77777777" w:rsidR="005A3F8A" w:rsidRPr="00DC3904" w:rsidRDefault="005A3F8A" w:rsidP="00DC3904">
      <w:pPr>
        <w:spacing w:line="360" w:lineRule="auto"/>
        <w:rPr>
          <w:rFonts w:ascii="Arial" w:hAnsi="Arial" w:cs="Arial"/>
        </w:rPr>
      </w:pPr>
      <w:r w:rsidRPr="00DC3904">
        <w:rPr>
          <w:rFonts w:ascii="Arial" w:hAnsi="Arial" w:cs="Arial"/>
        </w:rPr>
        <w:t xml:space="preserve">Orben, A., </w:t>
      </w:r>
      <w:proofErr w:type="spellStart"/>
      <w:r w:rsidRPr="00DC3904">
        <w:rPr>
          <w:rFonts w:ascii="Arial" w:hAnsi="Arial" w:cs="Arial"/>
        </w:rPr>
        <w:t>Dienlin</w:t>
      </w:r>
      <w:proofErr w:type="spellEnd"/>
      <w:r w:rsidRPr="00DC3904">
        <w:rPr>
          <w:rFonts w:ascii="Arial" w:hAnsi="Arial" w:cs="Arial"/>
        </w:rPr>
        <w:t>, T. and Przybylski, A.K. (2019) 'Social media's enduring effect on adolescent life satisfaction', Proceedings of the National Academy of Sciences, 116(21), pp. 10226–10228.</w:t>
      </w:r>
    </w:p>
    <w:p w14:paraId="727A9E40" w14:textId="77777777" w:rsidR="005A3F8A" w:rsidRPr="00DC3904" w:rsidRDefault="005A3F8A" w:rsidP="00DC3904">
      <w:pPr>
        <w:spacing w:line="360" w:lineRule="auto"/>
        <w:rPr>
          <w:rFonts w:ascii="Arial" w:hAnsi="Arial" w:cs="Arial"/>
        </w:rPr>
      </w:pPr>
      <w:r w:rsidRPr="00DC3904">
        <w:rPr>
          <w:rFonts w:ascii="Arial" w:hAnsi="Arial" w:cs="Arial"/>
        </w:rPr>
        <w:t>Primack, B.A., Perryman, K.L., Crofford, R.A. and Escobar-Viera, C.G. (2022) 'Social media as it interfaces with psychosocial development and mental illness in transitional-age youth', Child and Adolescent Psychiatric Clinics of North America, 31(1), pp. 11–30.</w:t>
      </w:r>
    </w:p>
    <w:p w14:paraId="6515F5BC" w14:textId="77777777" w:rsidR="005A3F8A" w:rsidRPr="00DC3904" w:rsidRDefault="005A3F8A" w:rsidP="00DC3904">
      <w:pPr>
        <w:spacing w:line="360" w:lineRule="auto"/>
        <w:rPr>
          <w:rFonts w:ascii="Arial" w:hAnsi="Arial" w:cs="Arial"/>
        </w:rPr>
      </w:pPr>
      <w:r w:rsidRPr="00DC3904">
        <w:rPr>
          <w:rFonts w:ascii="Arial" w:hAnsi="Arial" w:cs="Arial"/>
        </w:rPr>
        <w:t>Royal Society for Public Health and Young Health Movement (2017) #StatusOfMind: Social Media and Young People's Mental Health and Wellbeing. London: RSPH.</w:t>
      </w:r>
    </w:p>
    <w:p w14:paraId="16810A23" w14:textId="77777777" w:rsidR="005A3F8A" w:rsidRPr="00DC3904" w:rsidRDefault="005A3F8A" w:rsidP="00DC3904">
      <w:pPr>
        <w:spacing w:line="360" w:lineRule="auto"/>
        <w:rPr>
          <w:rFonts w:ascii="Arial" w:hAnsi="Arial" w:cs="Arial"/>
        </w:rPr>
      </w:pPr>
      <w:r w:rsidRPr="00DC3904">
        <w:rPr>
          <w:rFonts w:ascii="Arial" w:hAnsi="Arial" w:cs="Arial"/>
        </w:rPr>
        <w:t>Senekal, J.S., Groenewald, G.R., Wolfaardt, L., Jansen, C. and Williams, K. (2023) 'Social media and adolescent psychosocial development: a systematic review', South African Journal of Psychology, 53(2), pp. 157–171.</w:t>
      </w:r>
    </w:p>
    <w:p w14:paraId="3964E04E" w14:textId="77777777" w:rsidR="0078080F" w:rsidRPr="00DC3904" w:rsidRDefault="0078080F" w:rsidP="00DC3904">
      <w:pPr>
        <w:spacing w:line="360" w:lineRule="auto"/>
        <w:rPr>
          <w:rFonts w:ascii="Arial" w:hAnsi="Arial" w:cs="Arial"/>
        </w:rPr>
      </w:pPr>
    </w:p>
    <w:sectPr w:rsidR="0078080F" w:rsidRPr="00DC39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F8A"/>
    <w:rsid w:val="00004B9E"/>
    <w:rsid w:val="005A3F8A"/>
    <w:rsid w:val="0078080F"/>
    <w:rsid w:val="007F4928"/>
    <w:rsid w:val="009C1413"/>
    <w:rsid w:val="00C83916"/>
    <w:rsid w:val="00DC3904"/>
    <w:rsid w:val="00DF78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82F24"/>
  <w15:chartTrackingRefBased/>
  <w15:docId w15:val="{6B8B9B27-C9BB-4A27-98ED-04D0FAD92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3F8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5A3F8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5A3F8A"/>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5A3F8A"/>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5A3F8A"/>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5A3F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3F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3F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3F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F8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5A3F8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5A3F8A"/>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5A3F8A"/>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5A3F8A"/>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5A3F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3F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3F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3F8A"/>
    <w:rPr>
      <w:rFonts w:eastAsiaTheme="majorEastAsia" w:cstheme="majorBidi"/>
      <w:color w:val="272727" w:themeColor="text1" w:themeTint="D8"/>
    </w:rPr>
  </w:style>
  <w:style w:type="paragraph" w:styleId="Title">
    <w:name w:val="Title"/>
    <w:basedOn w:val="Normal"/>
    <w:next w:val="Normal"/>
    <w:link w:val="TitleChar"/>
    <w:uiPriority w:val="10"/>
    <w:qFormat/>
    <w:rsid w:val="005A3F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3F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3F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3F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3F8A"/>
    <w:pPr>
      <w:spacing w:before="160"/>
      <w:jc w:val="center"/>
    </w:pPr>
    <w:rPr>
      <w:i/>
      <w:iCs/>
      <w:color w:val="404040" w:themeColor="text1" w:themeTint="BF"/>
    </w:rPr>
  </w:style>
  <w:style w:type="character" w:customStyle="1" w:styleId="QuoteChar">
    <w:name w:val="Quote Char"/>
    <w:basedOn w:val="DefaultParagraphFont"/>
    <w:link w:val="Quote"/>
    <w:uiPriority w:val="29"/>
    <w:rsid w:val="005A3F8A"/>
    <w:rPr>
      <w:i/>
      <w:iCs/>
      <w:color w:val="404040" w:themeColor="text1" w:themeTint="BF"/>
    </w:rPr>
  </w:style>
  <w:style w:type="paragraph" w:styleId="ListParagraph">
    <w:name w:val="List Paragraph"/>
    <w:basedOn w:val="Normal"/>
    <w:uiPriority w:val="34"/>
    <w:qFormat/>
    <w:rsid w:val="005A3F8A"/>
    <w:pPr>
      <w:ind w:left="720"/>
      <w:contextualSpacing/>
    </w:pPr>
  </w:style>
  <w:style w:type="character" w:styleId="IntenseEmphasis">
    <w:name w:val="Intense Emphasis"/>
    <w:basedOn w:val="DefaultParagraphFont"/>
    <w:uiPriority w:val="21"/>
    <w:qFormat/>
    <w:rsid w:val="005A3F8A"/>
    <w:rPr>
      <w:i/>
      <w:iCs/>
      <w:color w:val="2E74B5" w:themeColor="accent1" w:themeShade="BF"/>
    </w:rPr>
  </w:style>
  <w:style w:type="paragraph" w:styleId="IntenseQuote">
    <w:name w:val="Intense Quote"/>
    <w:basedOn w:val="Normal"/>
    <w:next w:val="Normal"/>
    <w:link w:val="IntenseQuoteChar"/>
    <w:uiPriority w:val="30"/>
    <w:qFormat/>
    <w:rsid w:val="005A3F8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5A3F8A"/>
    <w:rPr>
      <w:i/>
      <w:iCs/>
      <w:color w:val="2E74B5" w:themeColor="accent1" w:themeShade="BF"/>
    </w:rPr>
  </w:style>
  <w:style w:type="character" w:styleId="IntenseReference">
    <w:name w:val="Intense Reference"/>
    <w:basedOn w:val="DefaultParagraphFont"/>
    <w:uiPriority w:val="32"/>
    <w:qFormat/>
    <w:rsid w:val="005A3F8A"/>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6</Pages>
  <Words>1763</Words>
  <Characters>10050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Saratu Mohammed (2442252)</dc:creator>
  <cp:keywords/>
  <dc:description/>
  <cp:lastModifiedBy>Saratu Mohammed (2442252)</cp:lastModifiedBy>
  <cp:revision>3</cp:revision>
  <dcterms:created xsi:type="dcterms:W3CDTF">2026-08-02T18:26:00Z</dcterms:created>
  <dcterms:modified xsi:type="dcterms:W3CDTF">2026-08-09T13:20:00Z</dcterms:modified>
</cp:coreProperties>
</file>