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6B068" w14:textId="77777777" w:rsidR="00BD4473" w:rsidRPr="00DA4AED" w:rsidRDefault="00A3770E" w:rsidP="00BD4473">
      <w:pPr>
        <w:jc w:val="center"/>
        <w:rPr>
          <w:rFonts w:ascii="Arial" w:hAnsi="Arial" w:cs="Arial"/>
          <w:b/>
          <w:bCs/>
          <w:sz w:val="36"/>
          <w:szCs w:val="36"/>
        </w:rPr>
      </w:pPr>
      <w:r w:rsidRPr="00DA4AED">
        <w:rPr>
          <w:rFonts w:ascii="Arial" w:hAnsi="Arial" w:cs="Arial"/>
          <w:b/>
          <w:bCs/>
          <w:sz w:val="36"/>
          <w:szCs w:val="36"/>
        </w:rPr>
        <w:t>Managing People</w:t>
      </w:r>
    </w:p>
    <w:p w14:paraId="73120792" w14:textId="77777777" w:rsidR="00BD4473" w:rsidRDefault="00BD4473" w:rsidP="00BD4473">
      <w:pPr>
        <w:jc w:val="center"/>
        <w:rPr>
          <w:rFonts w:cs="Times New Roman"/>
          <w:b/>
          <w:bCs/>
          <w:sz w:val="36"/>
          <w:szCs w:val="36"/>
        </w:rPr>
      </w:pPr>
    </w:p>
    <w:p w14:paraId="1816F91D" w14:textId="4DC0A8A1" w:rsidR="00A3770E" w:rsidRPr="00DA4AED" w:rsidRDefault="00A3770E" w:rsidP="00BD4473">
      <w:pPr>
        <w:jc w:val="center"/>
        <w:rPr>
          <w:rFonts w:ascii="Arial" w:hAnsi="Arial" w:cs="Arial"/>
          <w:b/>
          <w:bCs/>
          <w:sz w:val="36"/>
          <w:szCs w:val="36"/>
        </w:rPr>
      </w:pPr>
      <w:r w:rsidRPr="00DA4AED">
        <w:rPr>
          <w:rFonts w:ascii="Arial" w:hAnsi="Arial" w:cs="Arial"/>
          <w:b/>
          <w:bCs/>
          <w:sz w:val="32"/>
          <w:szCs w:val="32"/>
        </w:rPr>
        <w:t>Ass</w:t>
      </w:r>
      <w:r w:rsidR="00BD4473" w:rsidRPr="00DA4AED">
        <w:rPr>
          <w:rFonts w:ascii="Arial" w:hAnsi="Arial" w:cs="Arial"/>
          <w:b/>
          <w:bCs/>
          <w:sz w:val="32"/>
          <w:szCs w:val="32"/>
        </w:rPr>
        <w:t>ignment</w:t>
      </w:r>
      <w:r w:rsidRPr="00DA4AED">
        <w:rPr>
          <w:rFonts w:ascii="Arial" w:hAnsi="Arial" w:cs="Arial"/>
          <w:b/>
          <w:bCs/>
          <w:sz w:val="32"/>
          <w:szCs w:val="32"/>
        </w:rPr>
        <w:t xml:space="preserve"> 2: Written Assignment</w:t>
      </w:r>
    </w:p>
    <w:p w14:paraId="0DDBF7CF" w14:textId="77777777" w:rsidR="00A3770E" w:rsidRPr="00CB707E" w:rsidRDefault="00A3770E" w:rsidP="00A3770E">
      <w:pPr>
        <w:spacing w:after="200"/>
        <w:jc w:val="center"/>
        <w:rPr>
          <w:rFonts w:cs="Times New Roman"/>
        </w:rPr>
      </w:pPr>
    </w:p>
    <w:p w14:paraId="09F5082B" w14:textId="77777777" w:rsidR="00A3770E" w:rsidRDefault="00A3770E" w:rsidP="00A3770E">
      <w:pPr>
        <w:spacing w:after="200"/>
        <w:jc w:val="center"/>
        <w:rPr>
          <w:rFonts w:cs="Times New Roman"/>
        </w:rPr>
      </w:pPr>
    </w:p>
    <w:p w14:paraId="5B490683" w14:textId="77777777" w:rsidR="00DA4AED" w:rsidRDefault="00DA4AED" w:rsidP="00DA4AED">
      <w:pPr>
        <w:spacing w:after="200"/>
        <w:rPr>
          <w:rFonts w:ascii="Arial" w:hAnsi="Arial" w:cs="Arial"/>
          <w:b/>
          <w:bCs/>
        </w:rPr>
      </w:pPr>
    </w:p>
    <w:p w14:paraId="59DB3C84" w14:textId="77777777" w:rsidR="00DA4AED" w:rsidRDefault="00DA4AED" w:rsidP="00DA4AED">
      <w:pPr>
        <w:spacing w:after="200"/>
        <w:rPr>
          <w:rFonts w:ascii="Arial" w:hAnsi="Arial" w:cs="Arial"/>
          <w:b/>
          <w:bCs/>
        </w:rPr>
      </w:pPr>
    </w:p>
    <w:p w14:paraId="4942DE05" w14:textId="1B8BB63F" w:rsidR="00BD4473" w:rsidRPr="00DA4AED" w:rsidRDefault="00BD4473" w:rsidP="00DA4AED">
      <w:pPr>
        <w:spacing w:after="200"/>
        <w:rPr>
          <w:rFonts w:ascii="Arial" w:hAnsi="Arial" w:cs="Arial"/>
          <w:b/>
          <w:bCs/>
        </w:rPr>
      </w:pPr>
      <w:proofErr w:type="spellStart"/>
      <w:proofErr w:type="gramStart"/>
      <w:r w:rsidRPr="00DA4AED">
        <w:rPr>
          <w:rFonts w:ascii="Arial" w:hAnsi="Arial" w:cs="Arial"/>
          <w:b/>
          <w:bCs/>
        </w:rPr>
        <w:t>Name:Constantin</w:t>
      </w:r>
      <w:proofErr w:type="spellEnd"/>
      <w:proofErr w:type="gramEnd"/>
      <w:r w:rsidRPr="00DA4AED">
        <w:rPr>
          <w:rFonts w:ascii="Arial" w:hAnsi="Arial" w:cs="Arial"/>
          <w:b/>
          <w:bCs/>
        </w:rPr>
        <w:t xml:space="preserve"> </w:t>
      </w:r>
      <w:proofErr w:type="spellStart"/>
      <w:r w:rsidRPr="00DA4AED">
        <w:rPr>
          <w:rFonts w:ascii="Arial" w:hAnsi="Arial" w:cs="Arial"/>
          <w:b/>
          <w:bCs/>
        </w:rPr>
        <w:t>Somodi</w:t>
      </w:r>
      <w:proofErr w:type="spellEnd"/>
    </w:p>
    <w:p w14:paraId="27B63377" w14:textId="1A8C422D" w:rsidR="00BD4473" w:rsidRPr="00DA4AED" w:rsidRDefault="00BD4473" w:rsidP="00DA4AED">
      <w:pPr>
        <w:spacing w:after="200"/>
        <w:rPr>
          <w:rFonts w:ascii="Arial" w:hAnsi="Arial" w:cs="Arial"/>
          <w:b/>
          <w:bCs/>
        </w:rPr>
      </w:pPr>
      <w:r w:rsidRPr="00DA4AED">
        <w:rPr>
          <w:rFonts w:ascii="Arial" w:hAnsi="Arial" w:cs="Arial"/>
          <w:b/>
          <w:bCs/>
        </w:rPr>
        <w:t>Student ID:2123844</w:t>
      </w:r>
    </w:p>
    <w:p w14:paraId="7B8259C8" w14:textId="7A43D690" w:rsidR="00BD4473" w:rsidRPr="00DA4AED" w:rsidRDefault="00BD4473" w:rsidP="00DA4AED">
      <w:pPr>
        <w:spacing w:after="200"/>
        <w:rPr>
          <w:rFonts w:ascii="Arial" w:hAnsi="Arial" w:cs="Arial"/>
          <w:b/>
          <w:bCs/>
        </w:rPr>
      </w:pPr>
      <w:proofErr w:type="spellStart"/>
      <w:proofErr w:type="gramStart"/>
      <w:r w:rsidRPr="00DA4AED">
        <w:rPr>
          <w:rFonts w:ascii="Arial" w:hAnsi="Arial" w:cs="Arial"/>
          <w:b/>
          <w:bCs/>
        </w:rPr>
        <w:t>Module:Managing</w:t>
      </w:r>
      <w:proofErr w:type="spellEnd"/>
      <w:proofErr w:type="gramEnd"/>
      <w:r w:rsidRPr="00DA4AED">
        <w:rPr>
          <w:rFonts w:ascii="Arial" w:hAnsi="Arial" w:cs="Arial"/>
          <w:b/>
          <w:bCs/>
        </w:rPr>
        <w:t xml:space="preserve"> People</w:t>
      </w:r>
    </w:p>
    <w:p w14:paraId="24A3E36D" w14:textId="7B65AC2F" w:rsidR="00BD4473" w:rsidRPr="00DA4AED" w:rsidRDefault="00BD4473" w:rsidP="00DA4AED">
      <w:pPr>
        <w:spacing w:after="200"/>
        <w:rPr>
          <w:rFonts w:ascii="Arial" w:hAnsi="Arial" w:cs="Arial"/>
          <w:b/>
          <w:bCs/>
        </w:rPr>
      </w:pPr>
      <w:r w:rsidRPr="00DA4AED">
        <w:rPr>
          <w:rFonts w:ascii="Arial" w:hAnsi="Arial" w:cs="Arial"/>
          <w:b/>
          <w:bCs/>
        </w:rPr>
        <w:t xml:space="preserve">Module </w:t>
      </w:r>
      <w:proofErr w:type="gramStart"/>
      <w:r w:rsidRPr="00DA4AED">
        <w:rPr>
          <w:rFonts w:ascii="Arial" w:hAnsi="Arial" w:cs="Arial"/>
          <w:b/>
          <w:bCs/>
        </w:rPr>
        <w:t>code:LCBB</w:t>
      </w:r>
      <w:proofErr w:type="gramEnd"/>
      <w:r w:rsidRPr="00DA4AED">
        <w:rPr>
          <w:rFonts w:ascii="Arial" w:hAnsi="Arial" w:cs="Arial"/>
          <w:b/>
          <w:bCs/>
        </w:rPr>
        <w:t>5004</w:t>
      </w:r>
    </w:p>
    <w:p w14:paraId="2EC0C3EC" w14:textId="02A1F122" w:rsidR="00BD4473" w:rsidRPr="00DA4AED" w:rsidRDefault="00BD4473" w:rsidP="00DA4AED">
      <w:pPr>
        <w:spacing w:after="200"/>
        <w:rPr>
          <w:rFonts w:ascii="Arial" w:hAnsi="Arial" w:cs="Arial"/>
          <w:b/>
          <w:bCs/>
        </w:rPr>
      </w:pPr>
      <w:proofErr w:type="spellStart"/>
      <w:proofErr w:type="gramStart"/>
      <w:r w:rsidRPr="00DA4AED">
        <w:rPr>
          <w:rFonts w:ascii="Arial" w:hAnsi="Arial" w:cs="Arial"/>
          <w:b/>
          <w:bCs/>
        </w:rPr>
        <w:t>Lecturer:</w:t>
      </w:r>
      <w:r w:rsidR="00DA4AED" w:rsidRPr="00DA4AED">
        <w:rPr>
          <w:rFonts w:ascii="Arial" w:hAnsi="Arial" w:cs="Arial"/>
          <w:b/>
          <w:bCs/>
        </w:rPr>
        <w:t>Mushfiqur</w:t>
      </w:r>
      <w:proofErr w:type="spellEnd"/>
      <w:proofErr w:type="gramEnd"/>
      <w:r w:rsidR="00DA4AED" w:rsidRPr="00DA4AED">
        <w:rPr>
          <w:rFonts w:ascii="Arial" w:hAnsi="Arial" w:cs="Arial"/>
          <w:b/>
          <w:bCs/>
        </w:rPr>
        <w:t xml:space="preserve"> Rahman</w:t>
      </w:r>
    </w:p>
    <w:p w14:paraId="720ECA6D" w14:textId="77777777" w:rsidR="00BD4473" w:rsidRDefault="00BD4473" w:rsidP="00A3770E">
      <w:pPr>
        <w:spacing w:after="200"/>
        <w:jc w:val="center"/>
        <w:rPr>
          <w:rFonts w:cs="Times New Roman"/>
        </w:rPr>
      </w:pPr>
    </w:p>
    <w:p w14:paraId="558D936C" w14:textId="77777777" w:rsidR="00BD4473" w:rsidRPr="00CB707E" w:rsidRDefault="00BD4473" w:rsidP="00A3770E">
      <w:pPr>
        <w:spacing w:after="200"/>
        <w:jc w:val="center"/>
        <w:rPr>
          <w:rFonts w:cs="Times New Roman"/>
        </w:rPr>
      </w:pPr>
    </w:p>
    <w:p w14:paraId="7686C401" w14:textId="77777777" w:rsidR="00A3770E" w:rsidRPr="00CB707E" w:rsidRDefault="00A3770E" w:rsidP="00A3770E">
      <w:pPr>
        <w:spacing w:after="200"/>
        <w:jc w:val="center"/>
        <w:rPr>
          <w:rFonts w:cs="Times New Roman"/>
        </w:rPr>
      </w:pPr>
    </w:p>
    <w:p w14:paraId="2BE36C14" w14:textId="77777777" w:rsidR="00A3770E" w:rsidRPr="00CB707E" w:rsidRDefault="00A3770E" w:rsidP="00A3770E">
      <w:pPr>
        <w:spacing w:after="200"/>
        <w:jc w:val="center"/>
        <w:rPr>
          <w:rFonts w:cs="Times New Roman"/>
        </w:rPr>
      </w:pPr>
    </w:p>
    <w:p w14:paraId="383536EC" w14:textId="77777777" w:rsidR="00A3770E" w:rsidRPr="00CB707E" w:rsidRDefault="00A3770E" w:rsidP="00A3770E">
      <w:pPr>
        <w:spacing w:after="200"/>
        <w:jc w:val="center"/>
        <w:rPr>
          <w:rFonts w:cs="Times New Roman"/>
        </w:rPr>
      </w:pPr>
    </w:p>
    <w:p w14:paraId="5A2286CE" w14:textId="77777777" w:rsidR="00A3770E" w:rsidRPr="00CB707E" w:rsidRDefault="00A3770E" w:rsidP="00A3770E">
      <w:pPr>
        <w:spacing w:after="200"/>
        <w:jc w:val="center"/>
        <w:rPr>
          <w:rFonts w:cs="Times New Roman"/>
        </w:rPr>
      </w:pPr>
    </w:p>
    <w:p w14:paraId="334ACD8E" w14:textId="77777777" w:rsidR="00A3770E" w:rsidRPr="00CB707E" w:rsidRDefault="00A3770E" w:rsidP="00A3770E">
      <w:pPr>
        <w:spacing w:after="200"/>
        <w:jc w:val="center"/>
        <w:rPr>
          <w:rFonts w:cs="Times New Roman"/>
        </w:rPr>
      </w:pPr>
    </w:p>
    <w:p w14:paraId="522FF1FD" w14:textId="522505D9" w:rsidR="00B70EC4" w:rsidRPr="00CB707E" w:rsidRDefault="008C7CD0" w:rsidP="00E83A76">
      <w:pPr>
        <w:spacing w:after="200"/>
        <w:rPr>
          <w:rFonts w:cs="Times New Roman"/>
        </w:rPr>
      </w:pPr>
      <w:r w:rsidRPr="00CB707E">
        <w:rPr>
          <w:rFonts w:cs="Times New Roman"/>
        </w:rPr>
        <w:br w:type="page"/>
      </w:r>
    </w:p>
    <w:sdt>
      <w:sdtPr>
        <w:rPr>
          <w:rFonts w:ascii="Times New Roman" w:eastAsiaTheme="minorHAnsi" w:hAnsi="Times New Roman" w:cs="Times New Roman"/>
          <w:color w:val="auto"/>
          <w:sz w:val="24"/>
          <w:szCs w:val="22"/>
          <w:lang w:val="en-GB"/>
        </w:rPr>
        <w:id w:val="-1487853684"/>
        <w:docPartObj>
          <w:docPartGallery w:val="Table of Contents"/>
          <w:docPartUnique/>
        </w:docPartObj>
      </w:sdtPr>
      <w:sdtEndPr>
        <w:rPr>
          <w:b/>
          <w:bCs/>
          <w:noProof/>
        </w:rPr>
      </w:sdtEndPr>
      <w:sdtContent>
        <w:p w14:paraId="067E0D9B" w14:textId="77777777" w:rsidR="00DA4AED" w:rsidRDefault="00DA4AED" w:rsidP="00B70EC4">
          <w:pPr>
            <w:pStyle w:val="TOCHeading"/>
            <w:shd w:val="clear" w:color="auto" w:fill="FFFFFF" w:themeFill="background1"/>
            <w:rPr>
              <w:rFonts w:ascii="Times New Roman" w:eastAsiaTheme="minorHAnsi" w:hAnsi="Times New Roman" w:cs="Times New Roman"/>
              <w:color w:val="auto"/>
              <w:sz w:val="24"/>
              <w:szCs w:val="22"/>
              <w:lang w:val="en-GB"/>
            </w:rPr>
          </w:pPr>
        </w:p>
        <w:p w14:paraId="108E6D9A" w14:textId="36661D47" w:rsidR="00B70EC4" w:rsidRDefault="00B70EC4" w:rsidP="00B70EC4">
          <w:pPr>
            <w:pStyle w:val="TOCHeading"/>
            <w:shd w:val="clear" w:color="auto" w:fill="FFFFFF" w:themeFill="background1"/>
            <w:rPr>
              <w:rFonts w:ascii="Arial" w:hAnsi="Arial" w:cs="Arial"/>
              <w:b/>
              <w:bCs/>
              <w:color w:val="auto"/>
            </w:rPr>
          </w:pPr>
          <w:r w:rsidRPr="00DA4AED">
            <w:rPr>
              <w:rFonts w:ascii="Arial" w:hAnsi="Arial" w:cs="Arial"/>
              <w:b/>
              <w:bCs/>
              <w:color w:val="auto"/>
            </w:rPr>
            <w:t>Table of Contents</w:t>
          </w:r>
        </w:p>
        <w:p w14:paraId="7C86FE95" w14:textId="24FC16DF" w:rsidR="00A27E3D" w:rsidRPr="00A27E3D" w:rsidRDefault="00A27E3D" w:rsidP="00A27E3D">
          <w:pPr>
            <w:rPr>
              <w:lang w:val="en-US"/>
            </w:rPr>
          </w:pPr>
        </w:p>
        <w:p w14:paraId="18AE0FE9" w14:textId="2642F1DD" w:rsidR="00286BAB" w:rsidRPr="00DA4AED" w:rsidRDefault="00B70EC4">
          <w:pPr>
            <w:pStyle w:val="TOC1"/>
            <w:tabs>
              <w:tab w:val="right" w:leader="dot" w:pos="9350"/>
            </w:tabs>
            <w:rPr>
              <w:rFonts w:ascii="Arial" w:eastAsiaTheme="minorEastAsia" w:hAnsi="Arial" w:cs="Arial"/>
              <w:noProof/>
              <w:sz w:val="22"/>
              <w:lang w:eastAsia="en-GB"/>
            </w:rPr>
          </w:pPr>
          <w:r w:rsidRPr="00DA4AED">
            <w:rPr>
              <w:rFonts w:ascii="Arial" w:hAnsi="Arial" w:cs="Arial"/>
            </w:rPr>
            <w:fldChar w:fldCharType="begin"/>
          </w:r>
          <w:r w:rsidRPr="00DA4AED">
            <w:rPr>
              <w:rFonts w:ascii="Arial" w:hAnsi="Arial" w:cs="Arial"/>
            </w:rPr>
            <w:instrText xml:space="preserve"> TOC \o "1-3" \h \z \u </w:instrText>
          </w:r>
          <w:r w:rsidRPr="00DA4AED">
            <w:rPr>
              <w:rFonts w:ascii="Arial" w:hAnsi="Arial" w:cs="Arial"/>
            </w:rPr>
            <w:fldChar w:fldCharType="separate"/>
          </w:r>
          <w:hyperlink w:anchor="_Toc130083869" w:history="1">
            <w:r w:rsidR="00286BAB" w:rsidRPr="00DA4AED">
              <w:rPr>
                <w:rStyle w:val="Hyperlink"/>
                <w:rFonts w:ascii="Arial" w:hAnsi="Arial" w:cs="Arial"/>
                <w:noProof/>
              </w:rPr>
              <w:t>Introduction</w:t>
            </w:r>
            <w:r w:rsidR="00286BAB" w:rsidRPr="00DA4AED">
              <w:rPr>
                <w:rFonts w:ascii="Arial" w:hAnsi="Arial" w:cs="Arial"/>
                <w:noProof/>
                <w:webHidden/>
              </w:rPr>
              <w:tab/>
            </w:r>
            <w:r w:rsidR="00286BAB" w:rsidRPr="00DA4AED">
              <w:rPr>
                <w:rFonts w:ascii="Arial" w:hAnsi="Arial" w:cs="Arial"/>
                <w:noProof/>
                <w:webHidden/>
              </w:rPr>
              <w:fldChar w:fldCharType="begin"/>
            </w:r>
            <w:r w:rsidR="00286BAB" w:rsidRPr="00DA4AED">
              <w:rPr>
                <w:rFonts w:ascii="Arial" w:hAnsi="Arial" w:cs="Arial"/>
                <w:noProof/>
                <w:webHidden/>
              </w:rPr>
              <w:instrText xml:space="preserve"> PAGEREF _Toc130083869 \h </w:instrText>
            </w:r>
            <w:r w:rsidR="00286BAB" w:rsidRPr="00DA4AED">
              <w:rPr>
                <w:rFonts w:ascii="Arial" w:hAnsi="Arial" w:cs="Arial"/>
                <w:noProof/>
                <w:webHidden/>
              </w:rPr>
            </w:r>
            <w:r w:rsidR="00286BAB" w:rsidRPr="00DA4AED">
              <w:rPr>
                <w:rFonts w:ascii="Arial" w:hAnsi="Arial" w:cs="Arial"/>
                <w:noProof/>
                <w:webHidden/>
              </w:rPr>
              <w:fldChar w:fldCharType="separate"/>
            </w:r>
            <w:r w:rsidR="00767E74" w:rsidRPr="00DA4AED">
              <w:rPr>
                <w:rFonts w:ascii="Arial" w:hAnsi="Arial" w:cs="Arial"/>
                <w:noProof/>
                <w:webHidden/>
              </w:rPr>
              <w:t>3</w:t>
            </w:r>
            <w:r w:rsidR="00286BAB" w:rsidRPr="00DA4AED">
              <w:rPr>
                <w:rFonts w:ascii="Arial" w:hAnsi="Arial" w:cs="Arial"/>
                <w:noProof/>
                <w:webHidden/>
              </w:rPr>
              <w:fldChar w:fldCharType="end"/>
            </w:r>
          </w:hyperlink>
        </w:p>
        <w:p w14:paraId="68A52C64" w14:textId="6A94C358" w:rsidR="00286BAB" w:rsidRPr="00DA4AED" w:rsidRDefault="00000000">
          <w:pPr>
            <w:pStyle w:val="TOC1"/>
            <w:tabs>
              <w:tab w:val="right" w:leader="dot" w:pos="9350"/>
            </w:tabs>
            <w:rPr>
              <w:rFonts w:ascii="Arial" w:eastAsiaTheme="minorEastAsia" w:hAnsi="Arial" w:cs="Arial"/>
              <w:noProof/>
              <w:sz w:val="22"/>
              <w:lang w:eastAsia="en-GB"/>
            </w:rPr>
          </w:pPr>
          <w:hyperlink w:anchor="_Toc130083870" w:history="1">
            <w:r w:rsidR="00286BAB" w:rsidRPr="00DA4AED">
              <w:rPr>
                <w:rStyle w:val="Hyperlink"/>
                <w:rFonts w:ascii="Arial" w:hAnsi="Arial" w:cs="Arial"/>
                <w:noProof/>
              </w:rPr>
              <w:t>The causes and effects of employee attrition within the Nursing Industry in the UK</w:t>
            </w:r>
            <w:r w:rsidR="00286BAB" w:rsidRPr="00DA4AED">
              <w:rPr>
                <w:rFonts w:ascii="Arial" w:hAnsi="Arial" w:cs="Arial"/>
                <w:noProof/>
                <w:webHidden/>
              </w:rPr>
              <w:tab/>
            </w:r>
            <w:r w:rsidR="00286BAB" w:rsidRPr="00DA4AED">
              <w:rPr>
                <w:rFonts w:ascii="Arial" w:hAnsi="Arial" w:cs="Arial"/>
                <w:noProof/>
                <w:webHidden/>
              </w:rPr>
              <w:fldChar w:fldCharType="begin"/>
            </w:r>
            <w:r w:rsidR="00286BAB" w:rsidRPr="00DA4AED">
              <w:rPr>
                <w:rFonts w:ascii="Arial" w:hAnsi="Arial" w:cs="Arial"/>
                <w:noProof/>
                <w:webHidden/>
              </w:rPr>
              <w:instrText xml:space="preserve"> PAGEREF _Toc130083870 \h </w:instrText>
            </w:r>
            <w:r w:rsidR="00286BAB" w:rsidRPr="00DA4AED">
              <w:rPr>
                <w:rFonts w:ascii="Arial" w:hAnsi="Arial" w:cs="Arial"/>
                <w:noProof/>
                <w:webHidden/>
              </w:rPr>
            </w:r>
            <w:r w:rsidR="00286BAB" w:rsidRPr="00DA4AED">
              <w:rPr>
                <w:rFonts w:ascii="Arial" w:hAnsi="Arial" w:cs="Arial"/>
                <w:noProof/>
                <w:webHidden/>
              </w:rPr>
              <w:fldChar w:fldCharType="separate"/>
            </w:r>
            <w:r w:rsidR="00767E74" w:rsidRPr="00DA4AED">
              <w:rPr>
                <w:rFonts w:ascii="Arial" w:hAnsi="Arial" w:cs="Arial"/>
                <w:noProof/>
                <w:webHidden/>
              </w:rPr>
              <w:t>3</w:t>
            </w:r>
            <w:r w:rsidR="00286BAB" w:rsidRPr="00DA4AED">
              <w:rPr>
                <w:rFonts w:ascii="Arial" w:hAnsi="Arial" w:cs="Arial"/>
                <w:noProof/>
                <w:webHidden/>
              </w:rPr>
              <w:fldChar w:fldCharType="end"/>
            </w:r>
          </w:hyperlink>
        </w:p>
        <w:p w14:paraId="23A4F4DC" w14:textId="27A8CDF3" w:rsidR="00286BAB" w:rsidRPr="00DA4AED" w:rsidRDefault="00000000">
          <w:pPr>
            <w:pStyle w:val="TOC1"/>
            <w:tabs>
              <w:tab w:val="right" w:leader="dot" w:pos="9350"/>
            </w:tabs>
            <w:rPr>
              <w:rFonts w:ascii="Arial" w:eastAsiaTheme="minorEastAsia" w:hAnsi="Arial" w:cs="Arial"/>
              <w:noProof/>
              <w:sz w:val="22"/>
              <w:lang w:eastAsia="en-GB"/>
            </w:rPr>
          </w:pPr>
          <w:hyperlink w:anchor="_Toc130083871" w:history="1">
            <w:r w:rsidR="00286BAB" w:rsidRPr="00DA4AED">
              <w:rPr>
                <w:rStyle w:val="Hyperlink"/>
                <w:rFonts w:ascii="Arial" w:hAnsi="Arial" w:cs="Arial"/>
                <w:noProof/>
              </w:rPr>
              <w:t>Five monetary and five non-monetary existing retention schemes used by NHS for Nursing professionals.</w:t>
            </w:r>
            <w:r w:rsidR="00286BAB" w:rsidRPr="00DA4AED">
              <w:rPr>
                <w:rFonts w:ascii="Arial" w:hAnsi="Arial" w:cs="Arial"/>
                <w:noProof/>
                <w:webHidden/>
              </w:rPr>
              <w:tab/>
            </w:r>
            <w:r w:rsidR="00286BAB" w:rsidRPr="00DA4AED">
              <w:rPr>
                <w:rFonts w:ascii="Arial" w:hAnsi="Arial" w:cs="Arial"/>
                <w:noProof/>
                <w:webHidden/>
              </w:rPr>
              <w:fldChar w:fldCharType="begin"/>
            </w:r>
            <w:r w:rsidR="00286BAB" w:rsidRPr="00DA4AED">
              <w:rPr>
                <w:rFonts w:ascii="Arial" w:hAnsi="Arial" w:cs="Arial"/>
                <w:noProof/>
                <w:webHidden/>
              </w:rPr>
              <w:instrText xml:space="preserve"> PAGEREF _Toc130083871 \h </w:instrText>
            </w:r>
            <w:r w:rsidR="00286BAB" w:rsidRPr="00DA4AED">
              <w:rPr>
                <w:rFonts w:ascii="Arial" w:hAnsi="Arial" w:cs="Arial"/>
                <w:noProof/>
                <w:webHidden/>
              </w:rPr>
            </w:r>
            <w:r w:rsidR="00286BAB" w:rsidRPr="00DA4AED">
              <w:rPr>
                <w:rFonts w:ascii="Arial" w:hAnsi="Arial" w:cs="Arial"/>
                <w:noProof/>
                <w:webHidden/>
              </w:rPr>
              <w:fldChar w:fldCharType="separate"/>
            </w:r>
            <w:r w:rsidR="00767E74" w:rsidRPr="00DA4AED">
              <w:rPr>
                <w:rFonts w:ascii="Arial" w:hAnsi="Arial" w:cs="Arial"/>
                <w:noProof/>
                <w:webHidden/>
              </w:rPr>
              <w:t>6</w:t>
            </w:r>
            <w:r w:rsidR="00286BAB" w:rsidRPr="00DA4AED">
              <w:rPr>
                <w:rFonts w:ascii="Arial" w:hAnsi="Arial" w:cs="Arial"/>
                <w:noProof/>
                <w:webHidden/>
              </w:rPr>
              <w:fldChar w:fldCharType="end"/>
            </w:r>
          </w:hyperlink>
        </w:p>
        <w:p w14:paraId="0A52716B" w14:textId="56A14ACB" w:rsidR="00286BAB" w:rsidRPr="00DA4AED" w:rsidRDefault="00000000">
          <w:pPr>
            <w:pStyle w:val="TOC1"/>
            <w:tabs>
              <w:tab w:val="right" w:leader="dot" w:pos="9350"/>
            </w:tabs>
            <w:rPr>
              <w:rFonts w:ascii="Arial" w:eastAsiaTheme="minorEastAsia" w:hAnsi="Arial" w:cs="Arial"/>
              <w:noProof/>
              <w:sz w:val="22"/>
              <w:lang w:eastAsia="en-GB"/>
            </w:rPr>
          </w:pPr>
          <w:hyperlink w:anchor="_Toc130083872" w:history="1">
            <w:r w:rsidR="00286BAB" w:rsidRPr="00DA4AED">
              <w:rPr>
                <w:rStyle w:val="Hyperlink"/>
                <w:rFonts w:ascii="Arial" w:hAnsi="Arial" w:cs="Arial"/>
                <w:noProof/>
              </w:rPr>
              <w:t>Recommendations</w:t>
            </w:r>
            <w:r w:rsidR="00286BAB" w:rsidRPr="00DA4AED">
              <w:rPr>
                <w:rFonts w:ascii="Arial" w:hAnsi="Arial" w:cs="Arial"/>
                <w:noProof/>
                <w:webHidden/>
              </w:rPr>
              <w:tab/>
            </w:r>
            <w:r w:rsidR="00A27E3D">
              <w:rPr>
                <w:rFonts w:ascii="Arial" w:hAnsi="Arial" w:cs="Arial"/>
                <w:noProof/>
                <w:webHidden/>
              </w:rPr>
              <w:t>10</w:t>
            </w:r>
          </w:hyperlink>
        </w:p>
        <w:p w14:paraId="17D5D304" w14:textId="330B222C" w:rsidR="00286BAB" w:rsidRPr="00DA4AED" w:rsidRDefault="00000000">
          <w:pPr>
            <w:pStyle w:val="TOC1"/>
            <w:tabs>
              <w:tab w:val="right" w:leader="dot" w:pos="9350"/>
            </w:tabs>
            <w:rPr>
              <w:rFonts w:ascii="Arial" w:eastAsiaTheme="minorEastAsia" w:hAnsi="Arial" w:cs="Arial"/>
              <w:noProof/>
              <w:sz w:val="22"/>
              <w:lang w:eastAsia="en-GB"/>
            </w:rPr>
          </w:pPr>
          <w:hyperlink w:anchor="_Toc130083873" w:history="1">
            <w:r w:rsidR="00286BAB" w:rsidRPr="00DA4AED">
              <w:rPr>
                <w:rStyle w:val="Hyperlink"/>
                <w:rFonts w:ascii="Arial" w:hAnsi="Arial" w:cs="Arial"/>
                <w:noProof/>
              </w:rPr>
              <w:t>Conclusion</w:t>
            </w:r>
            <w:r w:rsidR="00286BAB" w:rsidRPr="00DA4AED">
              <w:rPr>
                <w:rFonts w:ascii="Arial" w:hAnsi="Arial" w:cs="Arial"/>
                <w:noProof/>
                <w:webHidden/>
              </w:rPr>
              <w:tab/>
            </w:r>
            <w:r w:rsidR="00286BAB" w:rsidRPr="00DA4AED">
              <w:rPr>
                <w:rFonts w:ascii="Arial" w:hAnsi="Arial" w:cs="Arial"/>
                <w:noProof/>
                <w:webHidden/>
              </w:rPr>
              <w:fldChar w:fldCharType="begin"/>
            </w:r>
            <w:r w:rsidR="00286BAB" w:rsidRPr="00DA4AED">
              <w:rPr>
                <w:rFonts w:ascii="Arial" w:hAnsi="Arial" w:cs="Arial"/>
                <w:noProof/>
                <w:webHidden/>
              </w:rPr>
              <w:instrText xml:space="preserve"> PAGEREF _Toc130083873 \h </w:instrText>
            </w:r>
            <w:r w:rsidR="00286BAB" w:rsidRPr="00DA4AED">
              <w:rPr>
                <w:rFonts w:ascii="Arial" w:hAnsi="Arial" w:cs="Arial"/>
                <w:noProof/>
                <w:webHidden/>
              </w:rPr>
            </w:r>
            <w:r w:rsidR="00286BAB" w:rsidRPr="00DA4AED">
              <w:rPr>
                <w:rFonts w:ascii="Arial" w:hAnsi="Arial" w:cs="Arial"/>
                <w:noProof/>
                <w:webHidden/>
              </w:rPr>
              <w:fldChar w:fldCharType="separate"/>
            </w:r>
            <w:r w:rsidR="00767E74" w:rsidRPr="00DA4AED">
              <w:rPr>
                <w:rFonts w:ascii="Arial" w:hAnsi="Arial" w:cs="Arial"/>
                <w:noProof/>
                <w:webHidden/>
              </w:rPr>
              <w:t>1</w:t>
            </w:r>
            <w:r w:rsidR="00A27E3D">
              <w:rPr>
                <w:rFonts w:ascii="Arial" w:hAnsi="Arial" w:cs="Arial"/>
                <w:noProof/>
                <w:webHidden/>
              </w:rPr>
              <w:t>3</w:t>
            </w:r>
            <w:r w:rsidR="00286BAB" w:rsidRPr="00DA4AED">
              <w:rPr>
                <w:rFonts w:ascii="Arial" w:hAnsi="Arial" w:cs="Arial"/>
                <w:noProof/>
                <w:webHidden/>
              </w:rPr>
              <w:fldChar w:fldCharType="end"/>
            </w:r>
          </w:hyperlink>
        </w:p>
        <w:p w14:paraId="010CFC53" w14:textId="77F3A0D4" w:rsidR="00286BAB" w:rsidRPr="00DA4AED" w:rsidRDefault="00000000">
          <w:pPr>
            <w:pStyle w:val="TOC1"/>
            <w:tabs>
              <w:tab w:val="right" w:leader="dot" w:pos="9350"/>
            </w:tabs>
            <w:rPr>
              <w:rFonts w:ascii="Arial" w:eastAsiaTheme="minorEastAsia" w:hAnsi="Arial" w:cs="Arial"/>
              <w:noProof/>
              <w:sz w:val="22"/>
              <w:lang w:eastAsia="en-GB"/>
            </w:rPr>
          </w:pPr>
          <w:hyperlink w:anchor="_Toc130083874" w:history="1">
            <w:r w:rsidR="00286BAB" w:rsidRPr="00DA4AED">
              <w:rPr>
                <w:rStyle w:val="Hyperlink"/>
                <w:rFonts w:ascii="Arial" w:hAnsi="Arial" w:cs="Arial"/>
                <w:noProof/>
              </w:rPr>
              <w:t>References</w:t>
            </w:r>
            <w:r w:rsidR="00286BAB" w:rsidRPr="00DA4AED">
              <w:rPr>
                <w:rFonts w:ascii="Arial" w:hAnsi="Arial" w:cs="Arial"/>
                <w:noProof/>
                <w:webHidden/>
              </w:rPr>
              <w:tab/>
            </w:r>
            <w:r w:rsidR="00A27E3D">
              <w:rPr>
                <w:rFonts w:ascii="Arial" w:hAnsi="Arial" w:cs="Arial"/>
                <w:noProof/>
                <w:webHidden/>
              </w:rPr>
              <w:t>14</w:t>
            </w:r>
          </w:hyperlink>
        </w:p>
        <w:p w14:paraId="430F73E7" w14:textId="6A38B4A5" w:rsidR="00B70EC4" w:rsidRPr="00CB707E" w:rsidRDefault="00B70EC4">
          <w:pPr>
            <w:rPr>
              <w:rFonts w:cs="Times New Roman"/>
            </w:rPr>
          </w:pPr>
          <w:r w:rsidRPr="00DA4AED">
            <w:rPr>
              <w:rFonts w:ascii="Arial" w:hAnsi="Arial" w:cs="Arial"/>
              <w:b/>
              <w:bCs/>
              <w:noProof/>
            </w:rPr>
            <w:fldChar w:fldCharType="end"/>
          </w:r>
        </w:p>
      </w:sdtContent>
    </w:sdt>
    <w:p w14:paraId="0C7A26DC" w14:textId="5436DDBC" w:rsidR="008C7CD0" w:rsidRPr="00CB707E" w:rsidRDefault="00B70EC4" w:rsidP="00E96D6E">
      <w:pPr>
        <w:spacing w:after="200" w:line="240" w:lineRule="auto"/>
        <w:rPr>
          <w:rFonts w:cs="Times New Roman"/>
        </w:rPr>
      </w:pPr>
      <w:r w:rsidRPr="00CB707E">
        <w:rPr>
          <w:rFonts w:cs="Times New Roman"/>
        </w:rPr>
        <w:br w:type="page"/>
      </w:r>
    </w:p>
    <w:p w14:paraId="77DDC81F" w14:textId="58C19484" w:rsidR="001D34EC" w:rsidRPr="00DA4AED" w:rsidRDefault="001D34EC" w:rsidP="00A3770E">
      <w:pPr>
        <w:pStyle w:val="Heading1"/>
        <w:rPr>
          <w:rFonts w:ascii="Arial" w:hAnsi="Arial" w:cs="Arial"/>
        </w:rPr>
      </w:pPr>
      <w:bookmarkStart w:id="0" w:name="_Toc130083869"/>
      <w:r w:rsidRPr="00DA4AED">
        <w:rPr>
          <w:rFonts w:ascii="Arial" w:hAnsi="Arial" w:cs="Arial"/>
        </w:rPr>
        <w:lastRenderedPageBreak/>
        <w:t>Introduction</w:t>
      </w:r>
      <w:bookmarkEnd w:id="0"/>
    </w:p>
    <w:p w14:paraId="156B6233" w14:textId="03FF29A5" w:rsidR="001D34EC" w:rsidRPr="00DA4AED" w:rsidRDefault="001D34EC" w:rsidP="00A3770E">
      <w:pPr>
        <w:rPr>
          <w:rFonts w:ascii="Arial" w:hAnsi="Arial" w:cs="Arial"/>
        </w:rPr>
      </w:pPr>
      <w:r w:rsidRPr="00DA4AED">
        <w:rPr>
          <w:rFonts w:ascii="Arial" w:hAnsi="Arial" w:cs="Arial"/>
        </w:rPr>
        <w:t>The nursing workforce plays a crucial role in providing quality healthcare services to the population in the United Kingdom. However, the high rate of nurse attrition poses a significant challenge to the healthcare system, resulting in reduced quality of care, increased workload for remaining staff, and significant costs associated with recruitment and training. To address this issue, the National Health Service (NHS) has implemented various retention schemes aimed at improving nurse retention. This analysis examines the causes and effects of nurse attrition in the UK, evaluates the existing retention schemes used by the NHS, and provides recommendations for improving nurse retention in the short-term and long-term. By addressing the underlying causes of nurse attrition and implementing effective retention strategies, the NHS can improve nurse retention, ultimately leading to better patient care and a more sustainable nursing workforce.</w:t>
      </w:r>
    </w:p>
    <w:p w14:paraId="14726EA7" w14:textId="0DBFE490" w:rsidR="00687B24" w:rsidRPr="00DA4AED" w:rsidRDefault="00687B24" w:rsidP="00687B24">
      <w:pPr>
        <w:pStyle w:val="Heading1"/>
        <w:rPr>
          <w:rFonts w:ascii="Arial" w:hAnsi="Arial" w:cs="Arial"/>
        </w:rPr>
      </w:pPr>
      <w:bookmarkStart w:id="1" w:name="_Toc130083870"/>
      <w:r w:rsidRPr="00DA4AED">
        <w:rPr>
          <w:rFonts w:ascii="Arial" w:hAnsi="Arial" w:cs="Arial"/>
        </w:rPr>
        <w:t>The</w:t>
      </w:r>
      <w:r w:rsidR="002B3968">
        <w:rPr>
          <w:rFonts w:ascii="Arial" w:hAnsi="Arial" w:cs="Arial"/>
        </w:rPr>
        <w:t xml:space="preserve"> </w:t>
      </w:r>
      <w:r w:rsidRPr="00DA4AED">
        <w:rPr>
          <w:rFonts w:ascii="Arial" w:hAnsi="Arial" w:cs="Arial"/>
        </w:rPr>
        <w:t>causes and effects of employee attrition within the Nursing Industry in the UK</w:t>
      </w:r>
      <w:bookmarkEnd w:id="1"/>
    </w:p>
    <w:p w14:paraId="050D5CC9" w14:textId="732A4755" w:rsidR="008C7CD0" w:rsidRPr="00DA4AED" w:rsidRDefault="008C7CD0" w:rsidP="00A3770E">
      <w:pPr>
        <w:rPr>
          <w:rFonts w:ascii="Arial" w:hAnsi="Arial" w:cs="Arial"/>
        </w:rPr>
      </w:pPr>
      <w:r w:rsidRPr="00DA4AED">
        <w:rPr>
          <w:rFonts w:ascii="Arial" w:hAnsi="Arial" w:cs="Arial"/>
        </w:rPr>
        <w:t>Employee attrition, or staff turnover, is a significant issue in the nursing industry in the UK. The Nuffield Trust report titled "Peak leaving: A spotlight on nurse leaver rates in the UK" found that the nursing workforce in the UK experienced an overall attrition rate of 8.4% in 2019, which is significantly higher than the average rate across all industries in the UK</w:t>
      </w:r>
      <w:r w:rsidR="00DE14A8" w:rsidRPr="00DA4AED">
        <w:rPr>
          <w:rFonts w:ascii="Arial" w:hAnsi="Arial" w:cs="Arial"/>
        </w:rPr>
        <w:t xml:space="preserve"> (Dangerfield, 2015)</w:t>
      </w:r>
      <w:r w:rsidRPr="00DA4AED">
        <w:rPr>
          <w:rFonts w:ascii="Arial" w:hAnsi="Arial" w:cs="Arial"/>
        </w:rPr>
        <w:t>. In this analysis, I will examine the causes and effects of employee attrition within the nursing industry in the UK.</w:t>
      </w:r>
    </w:p>
    <w:p w14:paraId="6CAD417D" w14:textId="46506983" w:rsidR="008C7CD0" w:rsidRDefault="008C7CD0" w:rsidP="00A3770E">
      <w:pPr>
        <w:rPr>
          <w:rFonts w:cs="Times New Roman"/>
          <w:b/>
          <w:bCs/>
        </w:rPr>
      </w:pPr>
      <w:r w:rsidRPr="00DA4AED">
        <w:rPr>
          <w:rFonts w:ascii="Arial" w:hAnsi="Arial" w:cs="Arial"/>
          <w:b/>
          <w:bCs/>
        </w:rPr>
        <w:t>Causes of Employee Attrition in the Nursing Industry in the UK</w:t>
      </w:r>
      <w:r w:rsidRPr="008C7CD0">
        <w:rPr>
          <w:rFonts w:cs="Times New Roman"/>
          <w:b/>
          <w:bCs/>
        </w:rPr>
        <w:t>:</w:t>
      </w:r>
    </w:p>
    <w:p w14:paraId="307A7D27" w14:textId="77777777" w:rsidR="001B420E" w:rsidRPr="00CB707E" w:rsidRDefault="001B420E" w:rsidP="001B420E">
      <w:pPr>
        <w:rPr>
          <w:rFonts w:cs="Times New Roman"/>
        </w:rPr>
      </w:pPr>
      <w:r w:rsidRPr="00CB707E">
        <w:rPr>
          <w:rFonts w:cs="Times New Roman"/>
          <w:noProof/>
        </w:rPr>
        <w:drawing>
          <wp:inline distT="0" distB="0" distL="0" distR="0" wp14:anchorId="7806B56A" wp14:editId="22A6AADC">
            <wp:extent cx="5486400" cy="1360627"/>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5EC9771" w14:textId="2343E981" w:rsidR="001B420E" w:rsidRPr="00DA4AED" w:rsidRDefault="001B420E" w:rsidP="001B420E">
      <w:pPr>
        <w:jc w:val="center"/>
        <w:rPr>
          <w:rFonts w:ascii="Arial" w:hAnsi="Arial" w:cs="Arial"/>
        </w:rPr>
      </w:pPr>
      <w:r w:rsidRPr="00DA4AED">
        <w:rPr>
          <w:rFonts w:ascii="Arial" w:hAnsi="Arial" w:cs="Arial"/>
        </w:rPr>
        <w:t>Figure 1: The causes of employee attrition in the Nursing industry (Holmes, 2022).</w:t>
      </w:r>
    </w:p>
    <w:p w14:paraId="4DB65AA3" w14:textId="24647A6F" w:rsidR="008C7CD0" w:rsidRPr="00DA4AED" w:rsidRDefault="008C7CD0" w:rsidP="00A3770E">
      <w:pPr>
        <w:numPr>
          <w:ilvl w:val="0"/>
          <w:numId w:val="1"/>
        </w:numPr>
        <w:rPr>
          <w:rFonts w:ascii="Arial" w:hAnsi="Arial" w:cs="Arial"/>
        </w:rPr>
      </w:pPr>
      <w:r w:rsidRPr="00DA4AED">
        <w:rPr>
          <w:rFonts w:ascii="Arial" w:hAnsi="Arial" w:cs="Arial"/>
          <w:b/>
          <w:bCs/>
        </w:rPr>
        <w:lastRenderedPageBreak/>
        <w:t>Workload:</w:t>
      </w:r>
      <w:r w:rsidRPr="00DA4AED">
        <w:rPr>
          <w:rFonts w:ascii="Arial" w:hAnsi="Arial" w:cs="Arial"/>
        </w:rPr>
        <w:t xml:space="preserve"> Nurses in the UK often work long hours, which can lead to physical and emotional exhaustion. The Nuffield Trust report found that workload was a significant contributor to nurse leaver rates in the UK</w:t>
      </w:r>
      <w:r w:rsidR="00DE14A8" w:rsidRPr="00DA4AED">
        <w:rPr>
          <w:rFonts w:ascii="Arial" w:hAnsi="Arial" w:cs="Arial"/>
        </w:rPr>
        <w:t xml:space="preserve"> (Holmes, 2022)</w:t>
      </w:r>
      <w:r w:rsidRPr="00DA4AED">
        <w:rPr>
          <w:rFonts w:ascii="Arial" w:hAnsi="Arial" w:cs="Arial"/>
        </w:rPr>
        <w:t>. The high workload can lead to burnout, which can ultimately result in job dissatisfaction and an increased likelihood of leaving the profession. The report noted that 48% of nurses surveyed reported that they often felt overwhelmed by their workload, and 36% reported that they did not have enough time to complete their tasks</w:t>
      </w:r>
      <w:r w:rsidR="00DE14A8" w:rsidRPr="00DA4AED">
        <w:rPr>
          <w:rFonts w:ascii="Arial" w:hAnsi="Arial" w:cs="Arial"/>
        </w:rPr>
        <w:t xml:space="preserve"> (Holmes, 2022)</w:t>
      </w:r>
      <w:r w:rsidRPr="00DA4AED">
        <w:rPr>
          <w:rFonts w:ascii="Arial" w:hAnsi="Arial" w:cs="Arial"/>
        </w:rPr>
        <w:t>.</w:t>
      </w:r>
    </w:p>
    <w:p w14:paraId="67BFED5D" w14:textId="1D90B6AA" w:rsidR="008C7CD0" w:rsidRPr="00DA4AED" w:rsidRDefault="008C7CD0" w:rsidP="00A3770E">
      <w:pPr>
        <w:numPr>
          <w:ilvl w:val="0"/>
          <w:numId w:val="1"/>
        </w:numPr>
        <w:rPr>
          <w:rFonts w:ascii="Arial" w:hAnsi="Arial" w:cs="Arial"/>
        </w:rPr>
      </w:pPr>
      <w:r w:rsidRPr="00DA4AED">
        <w:rPr>
          <w:rFonts w:ascii="Arial" w:hAnsi="Arial" w:cs="Arial"/>
          <w:b/>
          <w:bCs/>
        </w:rPr>
        <w:t>Lack of career development:</w:t>
      </w:r>
      <w:r w:rsidRPr="00DA4AED">
        <w:rPr>
          <w:rFonts w:ascii="Arial" w:hAnsi="Arial" w:cs="Arial"/>
        </w:rPr>
        <w:t xml:space="preserve"> The nursing profession in the UK is often perceived as lacking in career progression opportunities. This can lead to a lack of motivation and a decreased desire to remain in the profession. The King's Fund blog post noted that 59% of nurses in the UK reported that they did not receive enough support for their professional development.</w:t>
      </w:r>
    </w:p>
    <w:p w14:paraId="4901F3EF" w14:textId="1166FEC8" w:rsidR="008C7CD0" w:rsidRPr="00DA4AED" w:rsidRDefault="008C7CD0" w:rsidP="00A3770E">
      <w:pPr>
        <w:numPr>
          <w:ilvl w:val="0"/>
          <w:numId w:val="1"/>
        </w:numPr>
        <w:rPr>
          <w:rFonts w:ascii="Arial" w:hAnsi="Arial" w:cs="Arial"/>
        </w:rPr>
      </w:pPr>
      <w:r w:rsidRPr="00DA4AED">
        <w:rPr>
          <w:rFonts w:ascii="Arial" w:hAnsi="Arial" w:cs="Arial"/>
          <w:b/>
          <w:bCs/>
        </w:rPr>
        <w:t>Poor working conditions:</w:t>
      </w:r>
      <w:r w:rsidRPr="00DA4AED">
        <w:rPr>
          <w:rFonts w:ascii="Arial" w:hAnsi="Arial" w:cs="Arial"/>
        </w:rPr>
        <w:t xml:space="preserve"> Nurses in the UK often work in demanding and stressful conditions, which can contribute to employee attrition</w:t>
      </w:r>
      <w:r w:rsidR="00DE14A8" w:rsidRPr="00DA4AED">
        <w:rPr>
          <w:rFonts w:ascii="Arial" w:hAnsi="Arial" w:cs="Arial"/>
        </w:rPr>
        <w:t xml:space="preserve"> (Mahesh, 2017)</w:t>
      </w:r>
      <w:r w:rsidRPr="00DA4AED">
        <w:rPr>
          <w:rFonts w:ascii="Arial" w:hAnsi="Arial" w:cs="Arial"/>
        </w:rPr>
        <w:t xml:space="preserve">. </w:t>
      </w:r>
      <w:r w:rsidR="005E1992" w:rsidRPr="00DA4AED">
        <w:rPr>
          <w:rFonts w:ascii="Arial" w:hAnsi="Arial" w:cs="Arial"/>
        </w:rPr>
        <w:t>A</w:t>
      </w:r>
      <w:r w:rsidRPr="00DA4AED">
        <w:rPr>
          <w:rFonts w:ascii="Arial" w:hAnsi="Arial" w:cs="Arial"/>
        </w:rPr>
        <w:t xml:space="preserve"> lack of support and resources, contributed to nurse leaver rates. Poor working conditions can lead to job dissatisfaction, burnout, and physical and mental exhaustion, ultimately contributing to employee attrition. For example, 26% of nurses reported that they did not have access to the necessary equipment and resources to do their job effectively.</w:t>
      </w:r>
    </w:p>
    <w:p w14:paraId="6AF7E7EC" w14:textId="0B89D184" w:rsidR="008C7CD0" w:rsidRPr="00DA4AED" w:rsidRDefault="008C7CD0" w:rsidP="00A3770E">
      <w:pPr>
        <w:numPr>
          <w:ilvl w:val="0"/>
          <w:numId w:val="1"/>
        </w:numPr>
        <w:rPr>
          <w:rFonts w:ascii="Arial" w:hAnsi="Arial" w:cs="Arial"/>
        </w:rPr>
      </w:pPr>
      <w:r w:rsidRPr="00DA4AED">
        <w:rPr>
          <w:rFonts w:ascii="Arial" w:hAnsi="Arial" w:cs="Arial"/>
          <w:b/>
          <w:bCs/>
        </w:rPr>
        <w:t>Poor management and leadership:</w:t>
      </w:r>
      <w:r w:rsidRPr="00DA4AED">
        <w:rPr>
          <w:rFonts w:ascii="Arial" w:hAnsi="Arial" w:cs="Arial"/>
        </w:rPr>
        <w:t xml:space="preserve"> Poor management and leadership within healthcare organizations can contribute to employee attrition. </w:t>
      </w:r>
      <w:r w:rsidR="005E1992" w:rsidRPr="00DA4AED">
        <w:rPr>
          <w:rFonts w:ascii="Arial" w:hAnsi="Arial" w:cs="Arial"/>
        </w:rPr>
        <w:t>N</w:t>
      </w:r>
      <w:r w:rsidRPr="00DA4AED">
        <w:rPr>
          <w:rFonts w:ascii="Arial" w:hAnsi="Arial" w:cs="Arial"/>
        </w:rPr>
        <w:t>urses need supportive management, positive work environments, and clear expectations to thrive in their roles</w:t>
      </w:r>
      <w:r w:rsidR="00DE14A8" w:rsidRPr="00DA4AED">
        <w:rPr>
          <w:rFonts w:ascii="Arial" w:hAnsi="Arial" w:cs="Arial"/>
        </w:rPr>
        <w:t xml:space="preserve"> (Mahesh, 2017)</w:t>
      </w:r>
      <w:r w:rsidRPr="00DA4AED">
        <w:rPr>
          <w:rFonts w:ascii="Arial" w:hAnsi="Arial" w:cs="Arial"/>
        </w:rPr>
        <w:t>. A lack of these factors can lead to job dissatisfaction and a decreased desire to remain in the profession.</w:t>
      </w:r>
    </w:p>
    <w:p w14:paraId="2131B8D2" w14:textId="77777777" w:rsidR="008A3CCB" w:rsidRDefault="008A3CCB">
      <w:pPr>
        <w:spacing w:after="200" w:line="240" w:lineRule="auto"/>
        <w:jc w:val="center"/>
        <w:rPr>
          <w:rFonts w:cs="Times New Roman"/>
          <w:b/>
          <w:bCs/>
        </w:rPr>
      </w:pPr>
      <w:r>
        <w:rPr>
          <w:rFonts w:cs="Times New Roman"/>
          <w:b/>
          <w:bCs/>
        </w:rPr>
        <w:br w:type="page"/>
      </w:r>
    </w:p>
    <w:p w14:paraId="4389293E" w14:textId="65D11579" w:rsidR="008C7CD0" w:rsidRPr="007B0148" w:rsidRDefault="008C7CD0" w:rsidP="00A3770E">
      <w:pPr>
        <w:rPr>
          <w:rFonts w:cs="Times New Roman"/>
          <w:b/>
          <w:bCs/>
        </w:rPr>
      </w:pPr>
      <w:r w:rsidRPr="00DA4AED">
        <w:rPr>
          <w:rFonts w:ascii="Arial" w:hAnsi="Arial" w:cs="Arial"/>
          <w:b/>
          <w:bCs/>
        </w:rPr>
        <w:lastRenderedPageBreak/>
        <w:t>Effects of Employee Attrition in the Nursing Industry in the UK</w:t>
      </w:r>
      <w:r w:rsidRPr="008C7CD0">
        <w:rPr>
          <w:rFonts w:cs="Times New Roman"/>
          <w:b/>
          <w:bCs/>
        </w:rPr>
        <w:t>:</w:t>
      </w:r>
    </w:p>
    <w:p w14:paraId="7FCFF172" w14:textId="378AA689" w:rsidR="00B74CA1" w:rsidRPr="00CB707E" w:rsidRDefault="00B74CA1" w:rsidP="00A3770E">
      <w:pPr>
        <w:rPr>
          <w:rFonts w:cs="Times New Roman"/>
        </w:rPr>
      </w:pPr>
      <w:r w:rsidRPr="00CB707E">
        <w:rPr>
          <w:rFonts w:cs="Times New Roman"/>
          <w:noProof/>
        </w:rPr>
        <w:drawing>
          <wp:inline distT="0" distB="0" distL="0" distR="0" wp14:anchorId="42CEB076" wp14:editId="4A5CB2F0">
            <wp:extent cx="6096000" cy="3139440"/>
            <wp:effectExtent l="0" t="1270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D23A9C3" w14:textId="4446A516" w:rsidR="00B74CA1" w:rsidRPr="008C7CD0" w:rsidRDefault="00B74CA1" w:rsidP="00B74CA1">
      <w:pPr>
        <w:jc w:val="center"/>
        <w:rPr>
          <w:rFonts w:cs="Times New Roman"/>
        </w:rPr>
      </w:pPr>
      <w:r w:rsidRPr="00DA4AED">
        <w:rPr>
          <w:rFonts w:ascii="Arial" w:hAnsi="Arial" w:cs="Arial"/>
        </w:rPr>
        <w:t>Figure 2: Effects of Employee Attrition in the Nursing Industry (Mann, 2016</w:t>
      </w:r>
      <w:r w:rsidRPr="00CB707E">
        <w:rPr>
          <w:rFonts w:cs="Times New Roman"/>
        </w:rPr>
        <w:t>).</w:t>
      </w:r>
    </w:p>
    <w:p w14:paraId="00000792" w14:textId="044F50BF" w:rsidR="008C7CD0" w:rsidRPr="00DA4AED" w:rsidRDefault="008C7CD0" w:rsidP="00A3770E">
      <w:pPr>
        <w:numPr>
          <w:ilvl w:val="0"/>
          <w:numId w:val="2"/>
        </w:numPr>
        <w:rPr>
          <w:rFonts w:ascii="Arial" w:hAnsi="Arial" w:cs="Arial"/>
        </w:rPr>
      </w:pPr>
      <w:r w:rsidRPr="00DA4AED">
        <w:rPr>
          <w:rFonts w:ascii="Arial" w:hAnsi="Arial" w:cs="Arial"/>
          <w:b/>
          <w:bCs/>
        </w:rPr>
        <w:t>Shortages in nursing staff:</w:t>
      </w:r>
      <w:r w:rsidRPr="00DA4AED">
        <w:rPr>
          <w:rFonts w:ascii="Arial" w:hAnsi="Arial" w:cs="Arial"/>
        </w:rPr>
        <w:t xml:space="preserve"> When nurses leave the profession, it can create a shortage of healthcare professionals. This shortage can lead to an increased workload for those remaining in the profession, ultimately contributing to burnout, high levels of stress, and a decline in the quality of patient care. The Nuffield Trust report found that the nursing workforce in the UK experienced an overall attrition rate of 8.4% in 2019</w:t>
      </w:r>
      <w:r w:rsidR="00DE14A8" w:rsidRPr="00DA4AED">
        <w:rPr>
          <w:rFonts w:ascii="Arial" w:hAnsi="Arial" w:cs="Arial"/>
        </w:rPr>
        <w:t xml:space="preserve"> (Mann, 2016)</w:t>
      </w:r>
      <w:r w:rsidRPr="00DA4AED">
        <w:rPr>
          <w:rFonts w:ascii="Arial" w:hAnsi="Arial" w:cs="Arial"/>
        </w:rPr>
        <w:t>.</w:t>
      </w:r>
    </w:p>
    <w:p w14:paraId="1C2F0990" w14:textId="72743B03" w:rsidR="008C7CD0" w:rsidRPr="00DA4AED" w:rsidRDefault="008C7CD0" w:rsidP="00A3770E">
      <w:pPr>
        <w:numPr>
          <w:ilvl w:val="0"/>
          <w:numId w:val="2"/>
        </w:numPr>
        <w:rPr>
          <w:rFonts w:ascii="Arial" w:hAnsi="Arial" w:cs="Arial"/>
        </w:rPr>
      </w:pPr>
      <w:r w:rsidRPr="00DA4AED">
        <w:rPr>
          <w:rFonts w:ascii="Arial" w:hAnsi="Arial" w:cs="Arial"/>
          <w:b/>
          <w:bCs/>
        </w:rPr>
        <w:t>High recruitment and training costs:</w:t>
      </w:r>
      <w:r w:rsidRPr="00DA4AED">
        <w:rPr>
          <w:rFonts w:ascii="Arial" w:hAnsi="Arial" w:cs="Arial"/>
        </w:rPr>
        <w:t xml:space="preserve"> Employee attrition can lead to high recruitment and training costs for healthcare organizations. </w:t>
      </w:r>
      <w:r w:rsidR="005E1992" w:rsidRPr="00DA4AED">
        <w:rPr>
          <w:rFonts w:ascii="Arial" w:hAnsi="Arial" w:cs="Arial"/>
        </w:rPr>
        <w:t>T</w:t>
      </w:r>
      <w:r w:rsidRPr="00DA4AED">
        <w:rPr>
          <w:rFonts w:ascii="Arial" w:hAnsi="Arial" w:cs="Arial"/>
        </w:rPr>
        <w:t>he cost of recruitment and training can be particularly challenging in the nursing industry, where specialized skills and qualifications are required. The Nuffield Trust report noted that the cost of replacing a nurse who leaves the profession can range from £22,000 to £64,000</w:t>
      </w:r>
      <w:r w:rsidR="00DE14A8" w:rsidRPr="00DA4AED">
        <w:rPr>
          <w:rFonts w:ascii="Arial" w:hAnsi="Arial" w:cs="Arial"/>
        </w:rPr>
        <w:t xml:space="preserve"> (Mann, 2016)</w:t>
      </w:r>
      <w:r w:rsidRPr="00DA4AED">
        <w:rPr>
          <w:rFonts w:ascii="Arial" w:hAnsi="Arial" w:cs="Arial"/>
        </w:rPr>
        <w:t>.</w:t>
      </w:r>
    </w:p>
    <w:p w14:paraId="538EA285" w14:textId="3AB02BEC" w:rsidR="008C7CD0" w:rsidRPr="00DA4AED" w:rsidRDefault="008C7CD0" w:rsidP="00A3770E">
      <w:pPr>
        <w:numPr>
          <w:ilvl w:val="0"/>
          <w:numId w:val="2"/>
        </w:numPr>
        <w:rPr>
          <w:rFonts w:ascii="Arial" w:hAnsi="Arial" w:cs="Arial"/>
          <w:szCs w:val="24"/>
        </w:rPr>
      </w:pPr>
      <w:r w:rsidRPr="00DA4AED">
        <w:rPr>
          <w:rFonts w:ascii="Arial" w:hAnsi="Arial" w:cs="Arial"/>
          <w:b/>
          <w:bCs/>
        </w:rPr>
        <w:t>Reduced patient satisfaction:</w:t>
      </w:r>
      <w:r w:rsidRPr="00DA4AED">
        <w:rPr>
          <w:rFonts w:ascii="Arial" w:hAnsi="Arial" w:cs="Arial"/>
        </w:rPr>
        <w:t xml:space="preserve"> When there is a shortage of nurses, patient care can suffer. This can lead to reduced patient satisfaction, negative health outcomes, and increased healthcare costs</w:t>
      </w:r>
      <w:r w:rsidR="00DE14A8" w:rsidRPr="00DA4AED">
        <w:rPr>
          <w:rFonts w:ascii="Arial" w:hAnsi="Arial" w:cs="Arial"/>
        </w:rPr>
        <w:t xml:space="preserve"> (Mann, 2016)</w:t>
      </w:r>
      <w:r w:rsidRPr="00DA4AED">
        <w:rPr>
          <w:rFonts w:ascii="Arial" w:hAnsi="Arial" w:cs="Arial"/>
        </w:rPr>
        <w:t xml:space="preserve">. </w:t>
      </w:r>
      <w:r w:rsidR="005E1992" w:rsidRPr="00DA4AED">
        <w:rPr>
          <w:rFonts w:ascii="Arial" w:hAnsi="Arial" w:cs="Arial"/>
        </w:rPr>
        <w:t>P</w:t>
      </w:r>
      <w:r w:rsidRPr="00DA4AED">
        <w:rPr>
          <w:rFonts w:ascii="Arial" w:hAnsi="Arial" w:cs="Arial"/>
        </w:rPr>
        <w:t xml:space="preserve">atient satisfaction is </w:t>
      </w:r>
      <w:r w:rsidRPr="00DA4AED">
        <w:rPr>
          <w:rFonts w:ascii="Arial" w:hAnsi="Arial" w:cs="Arial"/>
        </w:rPr>
        <w:lastRenderedPageBreak/>
        <w:t>closely linked to the quality of nursing care, which can be negatively impacted by employee attrition. The blog post also noted</w:t>
      </w:r>
      <w:r w:rsidRPr="00CB707E">
        <w:rPr>
          <w:rFonts w:cs="Times New Roman"/>
        </w:rPr>
        <w:t xml:space="preserve"> </w:t>
      </w:r>
      <w:r w:rsidRPr="00DA4AED">
        <w:rPr>
          <w:rFonts w:ascii="Arial" w:hAnsi="Arial" w:cs="Arial"/>
          <w:szCs w:val="24"/>
        </w:rPr>
        <w:t>that the NHS Friends and Family Test found that in 2019, 83% of patients rated their care as good, down from 84% in 2018.</w:t>
      </w:r>
    </w:p>
    <w:p w14:paraId="509DB83A" w14:textId="77777777" w:rsidR="00880E76" w:rsidRPr="00DA4AED" w:rsidRDefault="00DE14A8" w:rsidP="00880E76">
      <w:pPr>
        <w:rPr>
          <w:rFonts w:ascii="Arial" w:hAnsi="Arial" w:cs="Arial"/>
          <w:szCs w:val="24"/>
        </w:rPr>
      </w:pPr>
      <w:r w:rsidRPr="00DA4AED">
        <w:rPr>
          <w:rFonts w:ascii="Arial" w:hAnsi="Arial" w:cs="Arial"/>
          <w:szCs w:val="24"/>
        </w:rPr>
        <w:t>E</w:t>
      </w:r>
      <w:r w:rsidR="008C7CD0" w:rsidRPr="00DA4AED">
        <w:rPr>
          <w:rFonts w:ascii="Arial" w:hAnsi="Arial" w:cs="Arial"/>
          <w:szCs w:val="24"/>
        </w:rPr>
        <w:t>mployee attrition within the nursing industry in the UK is a complex issue with a range of causes and effects. Addressing the underlying causes of employee attrition, such as workload, career development, working conditions, and management, is essential to retaining nurses in the profession and ensuring high-quality patient care.</w:t>
      </w:r>
    </w:p>
    <w:p w14:paraId="23DAA4E2" w14:textId="49C7717D" w:rsidR="008C7CD0" w:rsidRPr="00DA4AED" w:rsidRDefault="00687B24" w:rsidP="00687B24">
      <w:pPr>
        <w:pStyle w:val="Heading1"/>
        <w:rPr>
          <w:rFonts w:ascii="Arial" w:hAnsi="Arial" w:cs="Arial"/>
          <w:sz w:val="24"/>
          <w:szCs w:val="24"/>
        </w:rPr>
      </w:pPr>
      <w:bookmarkStart w:id="2" w:name="_Toc130083871"/>
      <w:bookmarkStart w:id="3" w:name="_Hlk130081603"/>
      <w:r w:rsidRPr="00DA4AED">
        <w:rPr>
          <w:rFonts w:ascii="Arial" w:hAnsi="Arial" w:cs="Arial"/>
          <w:sz w:val="24"/>
          <w:szCs w:val="24"/>
        </w:rPr>
        <w:t>Five monetary and five non-monetary existing retention schemes used by NHS for Nursing professionals.</w:t>
      </w:r>
      <w:bookmarkEnd w:id="2"/>
    </w:p>
    <w:bookmarkEnd w:id="3"/>
    <w:p w14:paraId="1F6D718A" w14:textId="2DD0FEAB" w:rsidR="00687B24" w:rsidRPr="00DA4AED" w:rsidRDefault="00687B24" w:rsidP="00A3770E">
      <w:pPr>
        <w:rPr>
          <w:rFonts w:ascii="Arial" w:hAnsi="Arial" w:cs="Arial"/>
          <w:b/>
          <w:bCs/>
          <w:szCs w:val="24"/>
        </w:rPr>
      </w:pPr>
      <w:r w:rsidRPr="00DA4AED">
        <w:rPr>
          <w:rFonts w:ascii="Arial" w:hAnsi="Arial" w:cs="Arial"/>
          <w:b/>
          <w:bCs/>
          <w:szCs w:val="24"/>
        </w:rPr>
        <w:t xml:space="preserve">Five monetary existing retention schemes used by NHS for Nursing </w:t>
      </w:r>
      <w:proofErr w:type="gramStart"/>
      <w:r w:rsidRPr="00DA4AED">
        <w:rPr>
          <w:rFonts w:ascii="Arial" w:hAnsi="Arial" w:cs="Arial"/>
          <w:b/>
          <w:bCs/>
          <w:szCs w:val="24"/>
        </w:rPr>
        <w:t>professionals</w:t>
      </w:r>
      <w:proofErr w:type="gramEnd"/>
    </w:p>
    <w:p w14:paraId="3BC78B8C" w14:textId="144C8EB3" w:rsidR="00997BC4" w:rsidRPr="00DA4AED" w:rsidRDefault="00997BC4" w:rsidP="00A3770E">
      <w:pPr>
        <w:rPr>
          <w:rFonts w:ascii="Arial" w:hAnsi="Arial" w:cs="Arial"/>
          <w:szCs w:val="24"/>
        </w:rPr>
      </w:pPr>
      <w:bookmarkStart w:id="4" w:name="_Hlk130083315"/>
      <w:r w:rsidRPr="00DA4AED">
        <w:rPr>
          <w:rFonts w:ascii="Arial" w:hAnsi="Arial" w:cs="Arial"/>
          <w:szCs w:val="24"/>
        </w:rPr>
        <w:t>Here are five monetary existing retention schemes used by the NHS for nursing professionals, along with a critical evaluation of each:</w:t>
      </w:r>
    </w:p>
    <w:bookmarkEnd w:id="4"/>
    <w:p w14:paraId="580B3741" w14:textId="3DC31250" w:rsidR="00B74CA1" w:rsidRPr="00CB707E" w:rsidRDefault="00B74CA1" w:rsidP="00A3770E">
      <w:pPr>
        <w:rPr>
          <w:rFonts w:cs="Times New Roman"/>
        </w:rPr>
      </w:pPr>
      <w:r w:rsidRPr="00CB707E">
        <w:rPr>
          <w:rFonts w:cs="Times New Roman"/>
          <w:noProof/>
        </w:rPr>
        <w:drawing>
          <wp:inline distT="0" distB="0" distL="0" distR="0" wp14:anchorId="7FA258A8" wp14:editId="7CB4CCCA">
            <wp:extent cx="6004560" cy="317754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CD560BA" w14:textId="4770134A" w:rsidR="00B74CA1" w:rsidRPr="00DA4AED" w:rsidRDefault="00B74CA1" w:rsidP="00B74CA1">
      <w:pPr>
        <w:jc w:val="center"/>
        <w:rPr>
          <w:rFonts w:ascii="Arial" w:hAnsi="Arial" w:cs="Arial"/>
        </w:rPr>
      </w:pPr>
      <w:r w:rsidRPr="00DA4AED">
        <w:rPr>
          <w:rFonts w:ascii="Arial" w:hAnsi="Arial" w:cs="Arial"/>
        </w:rPr>
        <w:t>Figure 3: Five monetary existing retention schemes used by NHS (</w:t>
      </w:r>
      <w:proofErr w:type="spellStart"/>
      <w:r w:rsidRPr="00DA4AED">
        <w:rPr>
          <w:rFonts w:ascii="Arial" w:hAnsi="Arial" w:cs="Arial"/>
        </w:rPr>
        <w:t>Merkert</w:t>
      </w:r>
      <w:proofErr w:type="spellEnd"/>
      <w:r w:rsidRPr="00DA4AED">
        <w:rPr>
          <w:rFonts w:ascii="Arial" w:hAnsi="Arial" w:cs="Arial"/>
        </w:rPr>
        <w:t>, 2016).</w:t>
      </w:r>
    </w:p>
    <w:p w14:paraId="4E4A2078" w14:textId="77777777" w:rsidR="00114920" w:rsidRDefault="00114920" w:rsidP="00114920">
      <w:pPr>
        <w:spacing w:after="200"/>
        <w:ind w:left="360"/>
        <w:rPr>
          <w:rFonts w:ascii="Arial" w:hAnsi="Arial" w:cs="Arial"/>
          <w:b/>
          <w:bCs/>
        </w:rPr>
      </w:pPr>
    </w:p>
    <w:p w14:paraId="22955E76" w14:textId="117AD9DF" w:rsidR="0026116B" w:rsidRPr="00AF770F" w:rsidRDefault="0026116B" w:rsidP="00AF770F">
      <w:pPr>
        <w:pStyle w:val="ListParagraph"/>
        <w:numPr>
          <w:ilvl w:val="0"/>
          <w:numId w:val="3"/>
        </w:numPr>
        <w:spacing w:after="200"/>
        <w:rPr>
          <w:rFonts w:ascii="Arial" w:hAnsi="Arial" w:cs="Arial"/>
        </w:rPr>
      </w:pPr>
      <w:r w:rsidRPr="00AF770F">
        <w:rPr>
          <w:rFonts w:ascii="Arial" w:hAnsi="Arial" w:cs="Arial"/>
          <w:b/>
          <w:bCs/>
        </w:rPr>
        <w:lastRenderedPageBreak/>
        <w:t>Pay Increases:</w:t>
      </w:r>
      <w:r w:rsidRPr="00AF770F">
        <w:rPr>
          <w:rFonts w:ascii="Arial" w:hAnsi="Arial" w:cs="Arial"/>
        </w:rPr>
        <w:t xml:space="preserve"> One of the monetary retention schemes used by the NHS for nursing professionals is pay increases. Nurses in the NHS receive pay increases based on their experience and qualifications, with starting salaries for newly qualified nurses in 2021 being £24,907. Pay can increase up to £37,890 for a Band 6 nurse with more experience and qualifications</w:t>
      </w:r>
      <w:r w:rsidR="00DE14A8" w:rsidRPr="00AF770F">
        <w:rPr>
          <w:rFonts w:ascii="Arial" w:hAnsi="Arial" w:cs="Arial"/>
        </w:rPr>
        <w:t xml:space="preserve"> (</w:t>
      </w:r>
      <w:proofErr w:type="spellStart"/>
      <w:r w:rsidR="00DE14A8" w:rsidRPr="00AF770F">
        <w:rPr>
          <w:rFonts w:ascii="Arial" w:hAnsi="Arial" w:cs="Arial"/>
        </w:rPr>
        <w:t>Merkert</w:t>
      </w:r>
      <w:proofErr w:type="spellEnd"/>
      <w:r w:rsidR="00DE14A8" w:rsidRPr="00AF770F">
        <w:rPr>
          <w:rFonts w:ascii="Arial" w:hAnsi="Arial" w:cs="Arial"/>
        </w:rPr>
        <w:t>, 2016)</w:t>
      </w:r>
      <w:r w:rsidRPr="00AF770F">
        <w:rPr>
          <w:rFonts w:ascii="Arial" w:hAnsi="Arial" w:cs="Arial"/>
        </w:rPr>
        <w:t>. While pay increases can provide a tangible financial benefit to nurses, the amount of the increase may not be enough to address the underlying causes of attrition, such as workload and poor working conditions.</w:t>
      </w:r>
    </w:p>
    <w:p w14:paraId="5755A916" w14:textId="7E71A619" w:rsidR="0026116B" w:rsidRPr="00DA4AED" w:rsidRDefault="0026116B" w:rsidP="00A3770E">
      <w:pPr>
        <w:numPr>
          <w:ilvl w:val="0"/>
          <w:numId w:val="3"/>
        </w:numPr>
        <w:spacing w:after="200"/>
        <w:rPr>
          <w:rFonts w:ascii="Arial" w:hAnsi="Arial" w:cs="Arial"/>
        </w:rPr>
      </w:pPr>
      <w:r w:rsidRPr="00DA4AED">
        <w:rPr>
          <w:rFonts w:ascii="Arial" w:hAnsi="Arial" w:cs="Arial"/>
          <w:b/>
          <w:bCs/>
        </w:rPr>
        <w:t>Career Progression:</w:t>
      </w:r>
      <w:r w:rsidRPr="00DA4AED">
        <w:rPr>
          <w:rFonts w:ascii="Arial" w:hAnsi="Arial" w:cs="Arial"/>
        </w:rPr>
        <w:t xml:space="preserve"> Another monetary retention scheme used by the NHS is career progression. Nurses in the NHS have opportunities for career advancement, with promotion to higher positions, such as senior staff nurse or clinical nurse specialist, often leading to higher salaries</w:t>
      </w:r>
      <w:r w:rsidR="00DE14A8" w:rsidRPr="00DA4AED">
        <w:rPr>
          <w:rFonts w:ascii="Arial" w:hAnsi="Arial" w:cs="Arial"/>
        </w:rPr>
        <w:t xml:space="preserve"> (Palmer, 2022)</w:t>
      </w:r>
      <w:r w:rsidRPr="00DA4AED">
        <w:rPr>
          <w:rFonts w:ascii="Arial" w:hAnsi="Arial" w:cs="Arial"/>
        </w:rPr>
        <w:t>. While career progression can be an effective retention tool, the availability of these positions may be limited, and not all nurses may have the desire or qualifications to move into higher positions.</w:t>
      </w:r>
    </w:p>
    <w:p w14:paraId="0C449121" w14:textId="7EBB6A26" w:rsidR="0026116B" w:rsidRPr="00DA4AED" w:rsidRDefault="0026116B" w:rsidP="00A3770E">
      <w:pPr>
        <w:numPr>
          <w:ilvl w:val="0"/>
          <w:numId w:val="3"/>
        </w:numPr>
        <w:spacing w:after="200"/>
        <w:rPr>
          <w:rFonts w:ascii="Arial" w:hAnsi="Arial" w:cs="Arial"/>
        </w:rPr>
      </w:pPr>
      <w:r w:rsidRPr="00DA4AED">
        <w:rPr>
          <w:rFonts w:ascii="Arial" w:hAnsi="Arial" w:cs="Arial"/>
          <w:b/>
          <w:bCs/>
        </w:rPr>
        <w:t>Pension Scheme:</w:t>
      </w:r>
      <w:r w:rsidRPr="00DA4AED">
        <w:rPr>
          <w:rFonts w:ascii="Arial" w:hAnsi="Arial" w:cs="Arial"/>
        </w:rPr>
        <w:t xml:space="preserve"> The NHS provides a generous pension scheme for its employees as a retention scheme. This can be an attractive retention tool for nurses who are looking for long-term financial security</w:t>
      </w:r>
      <w:r w:rsidR="00DE14A8" w:rsidRPr="00DA4AED">
        <w:rPr>
          <w:rFonts w:ascii="Arial" w:hAnsi="Arial" w:cs="Arial"/>
        </w:rPr>
        <w:t xml:space="preserve"> (Waters, 2018)</w:t>
      </w:r>
      <w:r w:rsidRPr="00DA4AED">
        <w:rPr>
          <w:rFonts w:ascii="Arial" w:hAnsi="Arial" w:cs="Arial"/>
        </w:rPr>
        <w:t>. While the NHS pension scheme can provide long-term financial security, it may not address the short-term financial concerns of some nurses, and it may not be a deciding factor for all nurses when considering retention.</w:t>
      </w:r>
    </w:p>
    <w:p w14:paraId="6C2F939A" w14:textId="77777777" w:rsidR="00B631F1" w:rsidRPr="00B631F1" w:rsidRDefault="00B631F1" w:rsidP="00B631F1">
      <w:pPr>
        <w:spacing w:after="200"/>
        <w:ind w:left="567"/>
        <w:rPr>
          <w:rFonts w:ascii="Arial" w:hAnsi="Arial" w:cs="Arial"/>
        </w:rPr>
      </w:pPr>
    </w:p>
    <w:p w14:paraId="07FC9913" w14:textId="77777777" w:rsidR="00B631F1" w:rsidRPr="00B631F1" w:rsidRDefault="00B631F1" w:rsidP="00B631F1">
      <w:pPr>
        <w:spacing w:after="200"/>
        <w:ind w:left="567"/>
        <w:rPr>
          <w:rFonts w:ascii="Arial" w:hAnsi="Arial" w:cs="Arial"/>
        </w:rPr>
      </w:pPr>
    </w:p>
    <w:p w14:paraId="29A12317" w14:textId="77777777" w:rsidR="00B631F1" w:rsidRPr="00B631F1" w:rsidRDefault="00B631F1" w:rsidP="00B631F1">
      <w:pPr>
        <w:spacing w:after="200"/>
        <w:ind w:left="567"/>
        <w:rPr>
          <w:rFonts w:ascii="Arial" w:hAnsi="Arial" w:cs="Arial"/>
        </w:rPr>
      </w:pPr>
    </w:p>
    <w:p w14:paraId="1CE026A5" w14:textId="77777777" w:rsidR="00B631F1" w:rsidRPr="00B631F1" w:rsidRDefault="00B631F1" w:rsidP="00B631F1">
      <w:pPr>
        <w:spacing w:after="200"/>
        <w:ind w:left="567"/>
        <w:rPr>
          <w:rFonts w:ascii="Arial" w:hAnsi="Arial" w:cs="Arial"/>
        </w:rPr>
      </w:pPr>
    </w:p>
    <w:p w14:paraId="0949A9F6" w14:textId="77777777" w:rsidR="00B631F1" w:rsidRPr="00B631F1" w:rsidRDefault="00B631F1" w:rsidP="00B631F1">
      <w:pPr>
        <w:spacing w:after="200"/>
        <w:ind w:left="567"/>
        <w:rPr>
          <w:rFonts w:ascii="Arial" w:hAnsi="Arial" w:cs="Arial"/>
        </w:rPr>
      </w:pPr>
    </w:p>
    <w:p w14:paraId="3D805430" w14:textId="5E374472" w:rsidR="0026116B" w:rsidRPr="00DA4AED" w:rsidRDefault="0026116B" w:rsidP="00A3770E">
      <w:pPr>
        <w:numPr>
          <w:ilvl w:val="0"/>
          <w:numId w:val="3"/>
        </w:numPr>
        <w:spacing w:after="200"/>
        <w:rPr>
          <w:rFonts w:ascii="Arial" w:hAnsi="Arial" w:cs="Arial"/>
        </w:rPr>
      </w:pPr>
      <w:r w:rsidRPr="00DA4AED">
        <w:rPr>
          <w:rFonts w:ascii="Arial" w:hAnsi="Arial" w:cs="Arial"/>
          <w:b/>
          <w:bCs/>
        </w:rPr>
        <w:lastRenderedPageBreak/>
        <w:t>Retention Bonuses:</w:t>
      </w:r>
      <w:r w:rsidRPr="00DA4AED">
        <w:rPr>
          <w:rFonts w:ascii="Arial" w:hAnsi="Arial" w:cs="Arial"/>
        </w:rPr>
        <w:t xml:space="preserve"> Retention bonuses are another monetary retention scheme that the NHS may offer to nurses who stay with the organization for a certain length of time. These bonuses can be paid as a lump sum or as a percentage of the nurse's salary. While retention bonuses can be an effective way to retain nurses in the short term by providing an immediate financial incentive, they may not be sustainable in the long term and may not address the underlying causes of attrition.</w:t>
      </w:r>
    </w:p>
    <w:p w14:paraId="38F5D5A0" w14:textId="77777777" w:rsidR="00AF770F" w:rsidRPr="00AF770F" w:rsidRDefault="00AF770F" w:rsidP="00AF770F">
      <w:pPr>
        <w:spacing w:after="200"/>
        <w:ind w:left="426"/>
        <w:rPr>
          <w:rFonts w:ascii="Arial" w:hAnsi="Arial" w:cs="Arial"/>
        </w:rPr>
      </w:pPr>
    </w:p>
    <w:p w14:paraId="7A2FE392" w14:textId="3337B375" w:rsidR="00687B24" w:rsidRPr="00586458" w:rsidRDefault="0026116B" w:rsidP="00586458">
      <w:pPr>
        <w:pStyle w:val="ListParagraph"/>
        <w:numPr>
          <w:ilvl w:val="0"/>
          <w:numId w:val="3"/>
        </w:numPr>
        <w:spacing w:after="200"/>
        <w:rPr>
          <w:rFonts w:ascii="Arial" w:hAnsi="Arial" w:cs="Arial"/>
        </w:rPr>
      </w:pPr>
      <w:r w:rsidRPr="00586458">
        <w:rPr>
          <w:rFonts w:ascii="Arial" w:hAnsi="Arial" w:cs="Arial"/>
          <w:b/>
          <w:bCs/>
        </w:rPr>
        <w:t>Recruitment</w:t>
      </w:r>
      <w:r w:rsidR="002A6682">
        <w:rPr>
          <w:rFonts w:ascii="Arial" w:hAnsi="Arial" w:cs="Arial"/>
          <w:b/>
          <w:bCs/>
        </w:rPr>
        <w:t xml:space="preserve"> </w:t>
      </w:r>
      <w:r w:rsidRPr="00586458">
        <w:rPr>
          <w:rFonts w:ascii="Arial" w:hAnsi="Arial" w:cs="Arial"/>
          <w:b/>
          <w:bCs/>
        </w:rPr>
        <w:t>and Retention</w:t>
      </w:r>
      <w:r w:rsidR="002A6682">
        <w:rPr>
          <w:rFonts w:ascii="Arial" w:hAnsi="Arial" w:cs="Arial"/>
          <w:b/>
          <w:bCs/>
        </w:rPr>
        <w:t xml:space="preserve"> </w:t>
      </w:r>
      <w:proofErr w:type="spellStart"/>
      <w:proofErr w:type="gramStart"/>
      <w:r w:rsidRPr="00586458">
        <w:rPr>
          <w:rFonts w:ascii="Arial" w:hAnsi="Arial" w:cs="Arial"/>
          <w:b/>
          <w:bCs/>
        </w:rPr>
        <w:t>Premiums:</w:t>
      </w:r>
      <w:r w:rsidRPr="00586458">
        <w:rPr>
          <w:rFonts w:ascii="Arial" w:hAnsi="Arial" w:cs="Arial"/>
        </w:rPr>
        <w:t>Lastly</w:t>
      </w:r>
      <w:proofErr w:type="gramEnd"/>
      <w:r w:rsidRPr="00586458">
        <w:rPr>
          <w:rFonts w:ascii="Arial" w:hAnsi="Arial" w:cs="Arial"/>
        </w:rPr>
        <w:t>,recruitment</w:t>
      </w:r>
      <w:proofErr w:type="spellEnd"/>
      <w:r w:rsidRPr="00586458">
        <w:rPr>
          <w:rFonts w:ascii="Arial" w:hAnsi="Arial" w:cs="Arial"/>
        </w:rPr>
        <w:t xml:space="preserve"> and retention premiums can be another monetary retention scheme used by the NHS. These premiums are offered to nurses who work in areas with high demand for staff or who work in certain specialties, such as mental health or critical care</w:t>
      </w:r>
      <w:r w:rsidR="00DE14A8" w:rsidRPr="00586458">
        <w:rPr>
          <w:rFonts w:ascii="Arial" w:hAnsi="Arial" w:cs="Arial"/>
        </w:rPr>
        <w:t xml:space="preserve"> (Waters, 2018)</w:t>
      </w:r>
      <w:r w:rsidRPr="00586458">
        <w:rPr>
          <w:rFonts w:ascii="Arial" w:hAnsi="Arial" w:cs="Arial"/>
        </w:rPr>
        <w:t>. While recruitment and retention premiums can provide an additional financial incentive for nurses to work in high-demand areas, the availability of these premiums may be limited, and they may not address the underlying causes of attrition.</w:t>
      </w:r>
    </w:p>
    <w:p w14:paraId="4B485987" w14:textId="22862E76" w:rsidR="007D27F9" w:rsidRDefault="007D27F9">
      <w:pPr>
        <w:spacing w:after="200" w:line="240" w:lineRule="auto"/>
        <w:jc w:val="center"/>
        <w:rPr>
          <w:rFonts w:cs="Times New Roman"/>
          <w:b/>
          <w:bCs/>
        </w:rPr>
      </w:pPr>
      <w:r>
        <w:rPr>
          <w:rFonts w:cs="Times New Roman"/>
          <w:b/>
          <w:bCs/>
        </w:rPr>
        <w:br w:type="page"/>
      </w:r>
    </w:p>
    <w:p w14:paraId="52369377" w14:textId="7A473604" w:rsidR="00687B24" w:rsidRPr="00DA4AED" w:rsidRDefault="00687B24" w:rsidP="00687B24">
      <w:pPr>
        <w:rPr>
          <w:rFonts w:ascii="Arial" w:hAnsi="Arial" w:cs="Arial"/>
          <w:b/>
          <w:bCs/>
        </w:rPr>
      </w:pPr>
      <w:r w:rsidRPr="00DA4AED">
        <w:rPr>
          <w:rFonts w:ascii="Arial" w:hAnsi="Arial" w:cs="Arial"/>
          <w:b/>
          <w:bCs/>
        </w:rPr>
        <w:lastRenderedPageBreak/>
        <w:t>Five</w:t>
      </w:r>
      <w:r w:rsidR="00DA4AED">
        <w:rPr>
          <w:rFonts w:ascii="Arial" w:hAnsi="Arial" w:cs="Arial"/>
          <w:b/>
          <w:bCs/>
        </w:rPr>
        <w:t xml:space="preserve"> </w:t>
      </w:r>
      <w:r w:rsidRPr="00DA4AED">
        <w:rPr>
          <w:rFonts w:ascii="Arial" w:hAnsi="Arial" w:cs="Arial"/>
          <w:b/>
          <w:bCs/>
        </w:rPr>
        <w:t xml:space="preserve">non-monetary existing retention schemes used by NHS for Nursing </w:t>
      </w:r>
      <w:proofErr w:type="gramStart"/>
      <w:r w:rsidRPr="00DA4AED">
        <w:rPr>
          <w:rFonts w:ascii="Arial" w:hAnsi="Arial" w:cs="Arial"/>
          <w:b/>
          <w:bCs/>
        </w:rPr>
        <w:t>professionals</w:t>
      </w:r>
      <w:proofErr w:type="gramEnd"/>
    </w:p>
    <w:p w14:paraId="5B919024" w14:textId="2C5F3C61" w:rsidR="00B74CA1" w:rsidRPr="00CB707E" w:rsidRDefault="00B74CA1" w:rsidP="00687B24">
      <w:pPr>
        <w:rPr>
          <w:rFonts w:cs="Times New Roman"/>
        </w:rPr>
      </w:pPr>
      <w:r w:rsidRPr="00DA4AED">
        <w:rPr>
          <w:rFonts w:ascii="Arial" w:hAnsi="Arial" w:cs="Arial"/>
        </w:rPr>
        <w:t>Here are five non-monetary existing retention schemes used by the NHS for nursing professionals, along with a critical evaluation of each</w:t>
      </w:r>
      <w:r w:rsidRPr="00CB707E">
        <w:rPr>
          <w:rFonts w:cs="Times New Roman"/>
        </w:rPr>
        <w:t>:</w:t>
      </w:r>
    </w:p>
    <w:p w14:paraId="5C9C0F9B" w14:textId="7B51FB10" w:rsidR="00B74CA1" w:rsidRPr="00CB707E" w:rsidRDefault="00B74CA1" w:rsidP="00687B24">
      <w:pPr>
        <w:rPr>
          <w:rFonts w:cs="Times New Roman"/>
        </w:rPr>
      </w:pPr>
      <w:r w:rsidRPr="00CB707E">
        <w:rPr>
          <w:rFonts w:cs="Times New Roman"/>
          <w:noProof/>
        </w:rPr>
        <w:drawing>
          <wp:inline distT="0" distB="0" distL="0" distR="0" wp14:anchorId="7DFD08D1" wp14:editId="3CB55370">
            <wp:extent cx="5971309" cy="3214255"/>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FF78879" w14:textId="77777777" w:rsidR="003A4F40" w:rsidRPr="00DA4AED" w:rsidRDefault="00B74CA1" w:rsidP="003A4F40">
      <w:pPr>
        <w:jc w:val="center"/>
        <w:rPr>
          <w:rFonts w:ascii="Arial" w:hAnsi="Arial" w:cs="Arial"/>
        </w:rPr>
      </w:pPr>
      <w:r w:rsidRPr="00DA4AED">
        <w:rPr>
          <w:rFonts w:ascii="Arial" w:hAnsi="Arial" w:cs="Arial"/>
        </w:rPr>
        <w:t>Figure 4: Non-monetary existing retention schemes used by the NHS (Palmer, 2022).</w:t>
      </w:r>
    </w:p>
    <w:p w14:paraId="70B996CC" w14:textId="6A6845EA" w:rsidR="00997BC4" w:rsidRPr="00DA4AED" w:rsidRDefault="00997BC4" w:rsidP="003A4F40">
      <w:pPr>
        <w:pStyle w:val="ListParagraph"/>
        <w:numPr>
          <w:ilvl w:val="0"/>
          <w:numId w:val="7"/>
        </w:numPr>
        <w:rPr>
          <w:rFonts w:ascii="Arial" w:hAnsi="Arial" w:cs="Arial"/>
        </w:rPr>
      </w:pPr>
      <w:r w:rsidRPr="00DA4AED">
        <w:rPr>
          <w:rFonts w:ascii="Arial" w:hAnsi="Arial" w:cs="Arial"/>
          <w:b/>
          <w:bCs/>
        </w:rPr>
        <w:t>Professional Development:</w:t>
      </w:r>
      <w:r w:rsidRPr="00DA4AED">
        <w:rPr>
          <w:rFonts w:ascii="Arial" w:hAnsi="Arial" w:cs="Arial"/>
        </w:rPr>
        <w:t xml:space="preserve"> One of the non-monetary retention schemes used by the NHS for nursing professionals is professional development. The NHS provides opportunities for nurses to attend training and development programs to enhance their skills and knowledge</w:t>
      </w:r>
      <w:r w:rsidR="00CB707E" w:rsidRPr="00DA4AED">
        <w:rPr>
          <w:rFonts w:ascii="Arial" w:hAnsi="Arial" w:cs="Arial"/>
        </w:rPr>
        <w:t xml:space="preserve"> (</w:t>
      </w:r>
      <w:proofErr w:type="spellStart"/>
      <w:r w:rsidR="00CB707E" w:rsidRPr="00DA4AED">
        <w:rPr>
          <w:rFonts w:ascii="Arial" w:hAnsi="Arial" w:cs="Arial"/>
        </w:rPr>
        <w:t>Merkert</w:t>
      </w:r>
      <w:proofErr w:type="spellEnd"/>
      <w:r w:rsidR="00CB707E" w:rsidRPr="00DA4AED">
        <w:rPr>
          <w:rFonts w:ascii="Arial" w:hAnsi="Arial" w:cs="Arial"/>
        </w:rPr>
        <w:t>, 2016)</w:t>
      </w:r>
      <w:r w:rsidRPr="00DA4AED">
        <w:rPr>
          <w:rFonts w:ascii="Arial" w:hAnsi="Arial" w:cs="Arial"/>
        </w:rPr>
        <w:t>. This can help nurses feel more engaged in their work and can provide them with opportunities for career advancement. However, the availability of these programs may be limited, and nurses may not have the time or resources to attend them.</w:t>
      </w:r>
    </w:p>
    <w:p w14:paraId="5D8147AD" w14:textId="6D97A567" w:rsidR="00997BC4" w:rsidRPr="00DA4AED" w:rsidRDefault="00997BC4" w:rsidP="003A4F40">
      <w:pPr>
        <w:pStyle w:val="ListParagraph"/>
        <w:numPr>
          <w:ilvl w:val="0"/>
          <w:numId w:val="7"/>
        </w:numPr>
        <w:spacing w:after="200"/>
        <w:rPr>
          <w:rFonts w:ascii="Arial" w:hAnsi="Arial" w:cs="Arial"/>
        </w:rPr>
      </w:pPr>
      <w:r w:rsidRPr="00DA4AED">
        <w:rPr>
          <w:rFonts w:ascii="Arial" w:hAnsi="Arial" w:cs="Arial"/>
          <w:b/>
          <w:bCs/>
        </w:rPr>
        <w:t>Flexible Working:</w:t>
      </w:r>
      <w:r w:rsidRPr="00DA4AED">
        <w:rPr>
          <w:rFonts w:ascii="Arial" w:hAnsi="Arial" w:cs="Arial"/>
        </w:rPr>
        <w:t xml:space="preserve"> Another non-monetary retention scheme used by the NHS is flexible working. The NHS provides flexible working arrangements, such as part-time or </w:t>
      </w:r>
      <w:proofErr w:type="gramStart"/>
      <w:r w:rsidRPr="00DA4AED">
        <w:rPr>
          <w:rFonts w:ascii="Arial" w:hAnsi="Arial" w:cs="Arial"/>
        </w:rPr>
        <w:t>job sharing</w:t>
      </w:r>
      <w:proofErr w:type="gramEnd"/>
      <w:r w:rsidRPr="00DA4AED">
        <w:rPr>
          <w:rFonts w:ascii="Arial" w:hAnsi="Arial" w:cs="Arial"/>
        </w:rPr>
        <w:t xml:space="preserve"> options, to help nurses balance their work and personal life</w:t>
      </w:r>
      <w:r w:rsidR="00DE14A8" w:rsidRPr="00DA4AED">
        <w:rPr>
          <w:rFonts w:ascii="Arial" w:hAnsi="Arial" w:cs="Arial"/>
        </w:rPr>
        <w:t xml:space="preserve"> (Palmer, 2022)</w:t>
      </w:r>
      <w:r w:rsidRPr="00DA4AED">
        <w:rPr>
          <w:rFonts w:ascii="Arial" w:hAnsi="Arial" w:cs="Arial"/>
        </w:rPr>
        <w:t xml:space="preserve">. This can be particularly attractive to nurses who have caring responsibilities or who need to work around other commitments. However, the </w:t>
      </w:r>
      <w:r w:rsidRPr="00DA4AED">
        <w:rPr>
          <w:rFonts w:ascii="Arial" w:hAnsi="Arial" w:cs="Arial"/>
        </w:rPr>
        <w:lastRenderedPageBreak/>
        <w:t>availability of these</w:t>
      </w:r>
      <w:r w:rsidRPr="003A4F40">
        <w:rPr>
          <w:rFonts w:cs="Times New Roman"/>
        </w:rPr>
        <w:t xml:space="preserve"> </w:t>
      </w:r>
      <w:r w:rsidRPr="00DA4AED">
        <w:rPr>
          <w:rFonts w:ascii="Arial" w:hAnsi="Arial" w:cs="Arial"/>
        </w:rPr>
        <w:t>options may be limited, and nurses may still face high workloads and poor working conditions even with flexible working arrangements.</w:t>
      </w:r>
    </w:p>
    <w:p w14:paraId="0F3676FB" w14:textId="6A91BFA1" w:rsidR="00997BC4" w:rsidRPr="00DA4AED" w:rsidRDefault="00997BC4" w:rsidP="003A4F40">
      <w:pPr>
        <w:pStyle w:val="ListParagraph"/>
        <w:numPr>
          <w:ilvl w:val="0"/>
          <w:numId w:val="7"/>
        </w:numPr>
        <w:spacing w:after="200"/>
        <w:rPr>
          <w:rFonts w:ascii="Arial" w:hAnsi="Arial" w:cs="Arial"/>
        </w:rPr>
      </w:pPr>
      <w:r w:rsidRPr="00DA4AED">
        <w:rPr>
          <w:rFonts w:ascii="Arial" w:hAnsi="Arial" w:cs="Arial"/>
          <w:b/>
          <w:bCs/>
        </w:rPr>
        <w:t>Employee Assistance Programs:</w:t>
      </w:r>
      <w:r w:rsidRPr="00DA4AED">
        <w:rPr>
          <w:rFonts w:ascii="Arial" w:hAnsi="Arial" w:cs="Arial"/>
        </w:rPr>
        <w:t xml:space="preserve"> Employee assistance programs are another non-monetary retention scheme used by the NHS. These programs provide support to nurses who may be experiencing personal or work-related issues. This can include </w:t>
      </w:r>
      <w:proofErr w:type="spellStart"/>
      <w:r w:rsidRPr="00DA4AED">
        <w:rPr>
          <w:rFonts w:ascii="Arial" w:hAnsi="Arial" w:cs="Arial"/>
        </w:rPr>
        <w:t>counseling</w:t>
      </w:r>
      <w:proofErr w:type="spellEnd"/>
      <w:r w:rsidRPr="00DA4AED">
        <w:rPr>
          <w:rFonts w:ascii="Arial" w:hAnsi="Arial" w:cs="Arial"/>
        </w:rPr>
        <w:t>, support for mental health issues, and other resources to help nurses manage their work and personal life. However, the availability of these programs may be limited, and some nurses may not feel comfortable accessing them due to stigma or concerns about confidentiality.</w:t>
      </w:r>
    </w:p>
    <w:p w14:paraId="28EB1001" w14:textId="6F2152F5" w:rsidR="00997BC4" w:rsidRPr="00DA4AED" w:rsidRDefault="00997BC4" w:rsidP="003A4F40">
      <w:pPr>
        <w:pStyle w:val="ListParagraph"/>
        <w:numPr>
          <w:ilvl w:val="0"/>
          <w:numId w:val="7"/>
        </w:numPr>
        <w:spacing w:after="200"/>
        <w:rPr>
          <w:rFonts w:ascii="Arial" w:hAnsi="Arial" w:cs="Arial"/>
        </w:rPr>
      </w:pPr>
      <w:r w:rsidRPr="00DA4AED">
        <w:rPr>
          <w:rFonts w:ascii="Arial" w:hAnsi="Arial" w:cs="Arial"/>
          <w:b/>
          <w:bCs/>
        </w:rPr>
        <w:t>Staff Recognition Programs:</w:t>
      </w:r>
      <w:r w:rsidRPr="00DA4AED">
        <w:rPr>
          <w:rFonts w:ascii="Arial" w:hAnsi="Arial" w:cs="Arial"/>
        </w:rPr>
        <w:t xml:space="preserve"> Staff recognition programs are another non-monetary retention scheme used by the NHS. These programs provide recognition and rewards for nurses who perform well or go above and beyond in their work</w:t>
      </w:r>
      <w:r w:rsidR="00DE14A8" w:rsidRPr="00DA4AED">
        <w:rPr>
          <w:rFonts w:ascii="Arial" w:hAnsi="Arial" w:cs="Arial"/>
        </w:rPr>
        <w:t xml:space="preserve"> (NHS Digital, 2022)</w:t>
      </w:r>
      <w:r w:rsidRPr="00DA4AED">
        <w:rPr>
          <w:rFonts w:ascii="Arial" w:hAnsi="Arial" w:cs="Arial"/>
        </w:rPr>
        <w:t>. This can help nurses feel valued and appreciated, which can improve their job satisfaction and motivation. However, the effectiveness of these programs may be limited if they are not implemented fairly or if they are perceived as tokenistic.</w:t>
      </w:r>
    </w:p>
    <w:p w14:paraId="35C84C25" w14:textId="69DFD63B" w:rsidR="008C7CD0" w:rsidRPr="00DA4AED" w:rsidRDefault="00997BC4" w:rsidP="003A4F40">
      <w:pPr>
        <w:pStyle w:val="ListParagraph"/>
        <w:numPr>
          <w:ilvl w:val="0"/>
          <w:numId w:val="7"/>
        </w:numPr>
        <w:spacing w:after="200"/>
        <w:rPr>
          <w:rFonts w:ascii="Arial" w:hAnsi="Arial" w:cs="Arial"/>
        </w:rPr>
      </w:pPr>
      <w:r w:rsidRPr="00DA4AED">
        <w:rPr>
          <w:rFonts w:ascii="Arial" w:hAnsi="Arial" w:cs="Arial"/>
          <w:b/>
          <w:bCs/>
        </w:rPr>
        <w:t>Improved Working Conditions:</w:t>
      </w:r>
      <w:r w:rsidRPr="00DA4AED">
        <w:rPr>
          <w:rFonts w:ascii="Arial" w:hAnsi="Arial" w:cs="Arial"/>
        </w:rPr>
        <w:t xml:space="preserve"> Lastly, improving working conditions can be a non-monetary retention scheme used by the NHS. This can include measures such as reducing workload, improving staffing levels, and providing a safer and more supportive work environment. Improving working conditions can help nurses feel more engaged in their work and can reduce the likelihood of burnout or other work-related issues. However, improving working conditions can be challenging, as it may require significant changes in the organization and culture of the NHS.</w:t>
      </w:r>
    </w:p>
    <w:p w14:paraId="52F2B08D" w14:textId="77777777" w:rsidR="003A4F40" w:rsidRDefault="003A4F40" w:rsidP="00687B24">
      <w:pPr>
        <w:pStyle w:val="Heading1"/>
        <w:rPr>
          <w:rFonts w:cs="Times New Roman"/>
        </w:rPr>
      </w:pPr>
      <w:bookmarkStart w:id="5" w:name="_Toc130083872"/>
    </w:p>
    <w:p w14:paraId="1D514D42" w14:textId="77777777" w:rsidR="003A4F40" w:rsidRDefault="003A4F40" w:rsidP="00687B24">
      <w:pPr>
        <w:pStyle w:val="Heading1"/>
        <w:rPr>
          <w:rFonts w:cs="Times New Roman"/>
        </w:rPr>
      </w:pPr>
    </w:p>
    <w:p w14:paraId="4D9919EE" w14:textId="1B1204DD" w:rsidR="00687B24" w:rsidRPr="00DA4AED" w:rsidRDefault="00687B24" w:rsidP="00687B24">
      <w:pPr>
        <w:pStyle w:val="Heading1"/>
        <w:rPr>
          <w:rFonts w:ascii="Arial" w:hAnsi="Arial" w:cs="Arial"/>
          <w:bCs/>
        </w:rPr>
      </w:pPr>
      <w:r w:rsidRPr="00DA4AED">
        <w:rPr>
          <w:rFonts w:ascii="Arial" w:hAnsi="Arial" w:cs="Arial"/>
        </w:rPr>
        <w:t>Recommendations</w:t>
      </w:r>
      <w:bookmarkEnd w:id="5"/>
    </w:p>
    <w:p w14:paraId="0AD60ADE" w14:textId="01484C05" w:rsidR="006409D4" w:rsidRPr="00DA4AED" w:rsidRDefault="006409D4" w:rsidP="00A3770E">
      <w:pPr>
        <w:rPr>
          <w:rFonts w:ascii="Arial" w:hAnsi="Arial" w:cs="Arial"/>
        </w:rPr>
      </w:pPr>
      <w:r w:rsidRPr="00DA4AED">
        <w:rPr>
          <w:rFonts w:ascii="Arial" w:hAnsi="Arial" w:cs="Arial"/>
        </w:rPr>
        <w:t>Based on the analysis of the causes and effects of nurse attrition in the UK and the evaluation of existing retention schemes, the following are some recommendations to improve nurse retention in the short term and in the longer term:</w:t>
      </w:r>
    </w:p>
    <w:p w14:paraId="506BAA02" w14:textId="77777777" w:rsidR="006409D4" w:rsidRPr="006409D4" w:rsidRDefault="006409D4" w:rsidP="00A3770E">
      <w:pPr>
        <w:rPr>
          <w:rFonts w:cs="Times New Roman"/>
          <w:b/>
          <w:bCs/>
        </w:rPr>
      </w:pPr>
      <w:r w:rsidRPr="00DA4AED">
        <w:rPr>
          <w:rFonts w:ascii="Arial" w:hAnsi="Arial" w:cs="Arial"/>
          <w:b/>
          <w:bCs/>
        </w:rPr>
        <w:t>Short-term recommendations</w:t>
      </w:r>
      <w:r w:rsidRPr="006409D4">
        <w:rPr>
          <w:rFonts w:cs="Times New Roman"/>
          <w:b/>
          <w:bCs/>
        </w:rPr>
        <w:t>:</w:t>
      </w:r>
    </w:p>
    <w:p w14:paraId="4D65F3E1" w14:textId="26FA41A5" w:rsidR="006409D4" w:rsidRPr="00DA4AED" w:rsidRDefault="006409D4" w:rsidP="00A3770E">
      <w:pPr>
        <w:numPr>
          <w:ilvl w:val="0"/>
          <w:numId w:val="4"/>
        </w:numPr>
        <w:rPr>
          <w:rFonts w:ascii="Arial" w:hAnsi="Arial" w:cs="Arial"/>
        </w:rPr>
      </w:pPr>
      <w:r w:rsidRPr="00DA4AED">
        <w:rPr>
          <w:rFonts w:ascii="Arial" w:hAnsi="Arial" w:cs="Arial"/>
          <w:b/>
          <w:bCs/>
        </w:rPr>
        <w:t>Offer competitive salaries and benefits:</w:t>
      </w:r>
      <w:r w:rsidRPr="00DA4AED">
        <w:rPr>
          <w:rFonts w:ascii="Arial" w:hAnsi="Arial" w:cs="Arial"/>
        </w:rPr>
        <w:t xml:space="preserve"> The NHS should offer competitive salaries and benefits packages to nursing professionals in order to attract and retain them. This can include bonuses, paid time off, and healthcare benefits</w:t>
      </w:r>
      <w:r w:rsidR="00DE14A8" w:rsidRPr="00DA4AED">
        <w:rPr>
          <w:rFonts w:ascii="Arial" w:hAnsi="Arial" w:cs="Arial"/>
        </w:rPr>
        <w:t xml:space="preserve"> (Bonser, 2017)</w:t>
      </w:r>
      <w:r w:rsidRPr="00DA4AED">
        <w:rPr>
          <w:rFonts w:ascii="Arial" w:hAnsi="Arial" w:cs="Arial"/>
        </w:rPr>
        <w:t xml:space="preserve">. In addition, the NHS should consider offering retention bonuses to nurses who stay with the organization for a certain </w:t>
      </w:r>
      <w:proofErr w:type="gramStart"/>
      <w:r w:rsidRPr="00DA4AED">
        <w:rPr>
          <w:rFonts w:ascii="Arial" w:hAnsi="Arial" w:cs="Arial"/>
        </w:rPr>
        <w:t>period of time</w:t>
      </w:r>
      <w:proofErr w:type="gramEnd"/>
      <w:r w:rsidRPr="00DA4AED">
        <w:rPr>
          <w:rFonts w:ascii="Arial" w:hAnsi="Arial" w:cs="Arial"/>
        </w:rPr>
        <w:t>.</w:t>
      </w:r>
    </w:p>
    <w:p w14:paraId="5B49E0D1" w14:textId="77777777" w:rsidR="006409D4" w:rsidRPr="00DA4AED" w:rsidRDefault="006409D4" w:rsidP="00A3770E">
      <w:pPr>
        <w:numPr>
          <w:ilvl w:val="0"/>
          <w:numId w:val="4"/>
        </w:numPr>
        <w:rPr>
          <w:rFonts w:ascii="Arial" w:hAnsi="Arial" w:cs="Arial"/>
        </w:rPr>
      </w:pPr>
      <w:r w:rsidRPr="00DA4AED">
        <w:rPr>
          <w:rFonts w:ascii="Arial" w:hAnsi="Arial" w:cs="Arial"/>
          <w:b/>
          <w:bCs/>
        </w:rPr>
        <w:t>Provide additional support for nursing professionals:</w:t>
      </w:r>
      <w:r w:rsidRPr="00DA4AED">
        <w:rPr>
          <w:rFonts w:ascii="Arial" w:hAnsi="Arial" w:cs="Arial"/>
        </w:rPr>
        <w:t xml:space="preserve"> The NHS should provide additional support for nursing professionals, such as </w:t>
      </w:r>
      <w:proofErr w:type="spellStart"/>
      <w:r w:rsidRPr="00DA4AED">
        <w:rPr>
          <w:rFonts w:ascii="Arial" w:hAnsi="Arial" w:cs="Arial"/>
        </w:rPr>
        <w:t>counseling</w:t>
      </w:r>
      <w:proofErr w:type="spellEnd"/>
      <w:r w:rsidRPr="00DA4AED">
        <w:rPr>
          <w:rFonts w:ascii="Arial" w:hAnsi="Arial" w:cs="Arial"/>
        </w:rPr>
        <w:t xml:space="preserve"> services, flexible working arrangements, and access to professional development opportunities. This can help nurses manage the stress and demands of their work and can improve their job satisfaction.</w:t>
      </w:r>
    </w:p>
    <w:p w14:paraId="3C42A936" w14:textId="77777777" w:rsidR="006409D4" w:rsidRPr="00DA4AED" w:rsidRDefault="006409D4" w:rsidP="00A3770E">
      <w:pPr>
        <w:numPr>
          <w:ilvl w:val="0"/>
          <w:numId w:val="4"/>
        </w:numPr>
        <w:rPr>
          <w:rFonts w:ascii="Arial" w:hAnsi="Arial" w:cs="Arial"/>
        </w:rPr>
      </w:pPr>
      <w:r w:rsidRPr="00DA4AED">
        <w:rPr>
          <w:rFonts w:ascii="Arial" w:hAnsi="Arial" w:cs="Arial"/>
          <w:b/>
          <w:bCs/>
        </w:rPr>
        <w:t>Address workload issues:</w:t>
      </w:r>
      <w:r w:rsidRPr="00DA4AED">
        <w:rPr>
          <w:rFonts w:ascii="Arial" w:hAnsi="Arial" w:cs="Arial"/>
        </w:rPr>
        <w:t xml:space="preserve"> The NHS should address workload issues that can lead to burnout and stress among nursing professionals. This can include hiring additional staff, improving staffing ratios, and streamlining administrative tasks.</w:t>
      </w:r>
    </w:p>
    <w:p w14:paraId="7E7C4AA3" w14:textId="77777777" w:rsidR="00586458" w:rsidRDefault="00586458" w:rsidP="00A3770E">
      <w:pPr>
        <w:rPr>
          <w:rFonts w:ascii="Arial" w:hAnsi="Arial" w:cs="Arial"/>
          <w:b/>
          <w:bCs/>
        </w:rPr>
      </w:pPr>
    </w:p>
    <w:p w14:paraId="4C977F00" w14:textId="77777777" w:rsidR="00586458" w:rsidRDefault="00586458" w:rsidP="00A3770E">
      <w:pPr>
        <w:rPr>
          <w:rFonts w:ascii="Arial" w:hAnsi="Arial" w:cs="Arial"/>
          <w:b/>
          <w:bCs/>
        </w:rPr>
      </w:pPr>
    </w:p>
    <w:p w14:paraId="169520C9" w14:textId="77777777" w:rsidR="00586458" w:rsidRDefault="00586458" w:rsidP="00A3770E">
      <w:pPr>
        <w:rPr>
          <w:rFonts w:ascii="Arial" w:hAnsi="Arial" w:cs="Arial"/>
          <w:b/>
          <w:bCs/>
        </w:rPr>
      </w:pPr>
    </w:p>
    <w:p w14:paraId="0787CFB6" w14:textId="77777777" w:rsidR="00586458" w:rsidRDefault="00586458" w:rsidP="00A3770E">
      <w:pPr>
        <w:rPr>
          <w:rFonts w:ascii="Arial" w:hAnsi="Arial" w:cs="Arial"/>
          <w:b/>
          <w:bCs/>
        </w:rPr>
      </w:pPr>
    </w:p>
    <w:p w14:paraId="055B9D2C" w14:textId="77777777" w:rsidR="00586458" w:rsidRDefault="00586458" w:rsidP="00A3770E">
      <w:pPr>
        <w:rPr>
          <w:rFonts w:ascii="Arial" w:hAnsi="Arial" w:cs="Arial"/>
          <w:b/>
          <w:bCs/>
        </w:rPr>
      </w:pPr>
    </w:p>
    <w:p w14:paraId="64625D0C" w14:textId="003827CD" w:rsidR="006409D4" w:rsidRPr="006409D4" w:rsidRDefault="006409D4" w:rsidP="00A3770E">
      <w:pPr>
        <w:rPr>
          <w:rFonts w:cs="Times New Roman"/>
          <w:b/>
          <w:bCs/>
        </w:rPr>
      </w:pPr>
      <w:r w:rsidRPr="00DA4AED">
        <w:rPr>
          <w:rFonts w:ascii="Arial" w:hAnsi="Arial" w:cs="Arial"/>
          <w:b/>
          <w:bCs/>
        </w:rPr>
        <w:lastRenderedPageBreak/>
        <w:t>Long-term recommendations</w:t>
      </w:r>
      <w:r w:rsidRPr="006409D4">
        <w:rPr>
          <w:rFonts w:cs="Times New Roman"/>
          <w:b/>
          <w:bCs/>
        </w:rPr>
        <w:t>:</w:t>
      </w:r>
    </w:p>
    <w:p w14:paraId="2C988CCC" w14:textId="27E4A513" w:rsidR="006409D4" w:rsidRPr="00DA4AED" w:rsidRDefault="006409D4" w:rsidP="00A3770E">
      <w:pPr>
        <w:numPr>
          <w:ilvl w:val="0"/>
          <w:numId w:val="5"/>
        </w:numPr>
        <w:rPr>
          <w:rFonts w:ascii="Arial" w:hAnsi="Arial" w:cs="Arial"/>
        </w:rPr>
      </w:pPr>
      <w:r w:rsidRPr="00DA4AED">
        <w:rPr>
          <w:rFonts w:ascii="Arial" w:hAnsi="Arial" w:cs="Arial"/>
          <w:b/>
          <w:bCs/>
        </w:rPr>
        <w:t>Increase funding for nursing education and training:</w:t>
      </w:r>
      <w:r w:rsidRPr="00DA4AED">
        <w:rPr>
          <w:rFonts w:ascii="Arial" w:hAnsi="Arial" w:cs="Arial"/>
        </w:rPr>
        <w:t xml:space="preserve"> The NHS should increase funding for nursing education and training programs in order to improve the quality of nursing professionals in the UK</w:t>
      </w:r>
      <w:r w:rsidR="00DE14A8" w:rsidRPr="00DA4AED">
        <w:rPr>
          <w:rFonts w:ascii="Arial" w:hAnsi="Arial" w:cs="Arial"/>
        </w:rPr>
        <w:t xml:space="preserve"> (NHS Digital, 2022)</w:t>
      </w:r>
      <w:r w:rsidRPr="00DA4AED">
        <w:rPr>
          <w:rFonts w:ascii="Arial" w:hAnsi="Arial" w:cs="Arial"/>
        </w:rPr>
        <w:t>. This can include providing scholarships and grants for nursing students, as well as funding for continuing education programs for nursing professionals.</w:t>
      </w:r>
    </w:p>
    <w:p w14:paraId="735E361D" w14:textId="659E7F0E" w:rsidR="006409D4" w:rsidRPr="00DA4AED" w:rsidRDefault="006409D4" w:rsidP="00A3770E">
      <w:pPr>
        <w:numPr>
          <w:ilvl w:val="0"/>
          <w:numId w:val="5"/>
        </w:numPr>
        <w:rPr>
          <w:rFonts w:ascii="Arial" w:hAnsi="Arial" w:cs="Arial"/>
        </w:rPr>
      </w:pPr>
      <w:r w:rsidRPr="00DA4AED">
        <w:rPr>
          <w:rFonts w:ascii="Arial" w:hAnsi="Arial" w:cs="Arial"/>
          <w:b/>
          <w:bCs/>
        </w:rPr>
        <w:t>Improve working conditions:</w:t>
      </w:r>
      <w:r w:rsidRPr="00DA4AED">
        <w:rPr>
          <w:rFonts w:ascii="Arial" w:hAnsi="Arial" w:cs="Arial"/>
        </w:rPr>
        <w:t xml:space="preserve"> The NHS should make a concerted effort to improve working conditions for nursing professionals, such as by reducing workload, improving staffing levels, and providing a safer and more supportive work environment</w:t>
      </w:r>
      <w:r w:rsidR="00DE14A8" w:rsidRPr="00DA4AED">
        <w:rPr>
          <w:rFonts w:ascii="Arial" w:hAnsi="Arial" w:cs="Arial"/>
        </w:rPr>
        <w:t xml:space="preserve"> (Mahesh, 2017)</w:t>
      </w:r>
      <w:r w:rsidRPr="00DA4AED">
        <w:rPr>
          <w:rFonts w:ascii="Arial" w:hAnsi="Arial" w:cs="Arial"/>
        </w:rPr>
        <w:t>. This can help to prevent burnout and other work-related issues that can lead to nurse attrition.</w:t>
      </w:r>
    </w:p>
    <w:p w14:paraId="344F71D2" w14:textId="77777777" w:rsidR="003A4F40" w:rsidRPr="00DA4AED" w:rsidRDefault="006409D4" w:rsidP="003A4F40">
      <w:pPr>
        <w:numPr>
          <w:ilvl w:val="0"/>
          <w:numId w:val="5"/>
        </w:numPr>
        <w:rPr>
          <w:rFonts w:ascii="Arial" w:hAnsi="Arial" w:cs="Arial"/>
        </w:rPr>
      </w:pPr>
      <w:r w:rsidRPr="00DA4AED">
        <w:rPr>
          <w:rFonts w:ascii="Arial" w:hAnsi="Arial" w:cs="Arial"/>
          <w:b/>
          <w:bCs/>
        </w:rPr>
        <w:t>Increase nurse leadership opportunities:</w:t>
      </w:r>
      <w:r w:rsidRPr="00DA4AED">
        <w:rPr>
          <w:rFonts w:ascii="Arial" w:hAnsi="Arial" w:cs="Arial"/>
        </w:rPr>
        <w:t xml:space="preserve"> The NHS should create more leadership opportunities for nursing professionals in order to improve their job satisfaction and engagement. This can include providing opportunities for nurses to take on managerial roles, participate in decision-making processes, and provide input into policy development.</w:t>
      </w:r>
    </w:p>
    <w:p w14:paraId="6DCFFFB0" w14:textId="2835D595" w:rsidR="006409D4" w:rsidRPr="00DA4AED" w:rsidRDefault="006409D4" w:rsidP="003A4F40">
      <w:pPr>
        <w:ind w:left="360"/>
        <w:rPr>
          <w:rFonts w:ascii="Arial" w:hAnsi="Arial" w:cs="Arial"/>
        </w:rPr>
      </w:pPr>
      <w:r w:rsidRPr="00DA4AED">
        <w:rPr>
          <w:rFonts w:ascii="Arial" w:hAnsi="Arial" w:cs="Arial"/>
        </w:rPr>
        <w:t>Overall, improving nurse retention in the UK will require a multi-faceted approach that addresses both monetary and non-monetary factors, as well as short-term and long-term solutions. By implementing these recommendations, the NHS can improve nurse retention and reduce the attrition rate among nursing professionals, ultimately leading to improved patient care and outcomes.</w:t>
      </w:r>
    </w:p>
    <w:p w14:paraId="42B5D50F" w14:textId="6CEF30F4" w:rsidR="002666AE" w:rsidRDefault="002666AE">
      <w:pPr>
        <w:spacing w:after="200" w:line="240" w:lineRule="auto"/>
        <w:jc w:val="center"/>
        <w:rPr>
          <w:rFonts w:cs="Times New Roman"/>
        </w:rPr>
      </w:pPr>
      <w:r>
        <w:rPr>
          <w:rFonts w:cs="Times New Roman"/>
        </w:rPr>
        <w:br w:type="page"/>
      </w:r>
    </w:p>
    <w:p w14:paraId="45B25F53" w14:textId="11DDE6DC" w:rsidR="00872120" w:rsidRPr="00DA4AED" w:rsidRDefault="006409D4" w:rsidP="00687B24">
      <w:pPr>
        <w:pStyle w:val="Heading1"/>
        <w:rPr>
          <w:rFonts w:ascii="Arial" w:hAnsi="Arial" w:cs="Arial"/>
        </w:rPr>
      </w:pPr>
      <w:bookmarkStart w:id="6" w:name="_Toc130083873"/>
      <w:r w:rsidRPr="00DA4AED">
        <w:rPr>
          <w:rFonts w:ascii="Arial" w:hAnsi="Arial" w:cs="Arial"/>
        </w:rPr>
        <w:lastRenderedPageBreak/>
        <w:t>Conclusion</w:t>
      </w:r>
      <w:bookmarkEnd w:id="6"/>
    </w:p>
    <w:p w14:paraId="4850DBF7" w14:textId="77777777" w:rsidR="00586458" w:rsidRDefault="00586458" w:rsidP="00A3770E">
      <w:pPr>
        <w:rPr>
          <w:rFonts w:ascii="Arial" w:hAnsi="Arial" w:cs="Arial"/>
        </w:rPr>
      </w:pPr>
    </w:p>
    <w:p w14:paraId="08EE45B1" w14:textId="26A94F38" w:rsidR="006409D4" w:rsidRPr="00DA4AED" w:rsidRDefault="006409D4" w:rsidP="00A3770E">
      <w:pPr>
        <w:rPr>
          <w:rFonts w:ascii="Arial" w:hAnsi="Arial" w:cs="Arial"/>
        </w:rPr>
      </w:pPr>
      <w:r w:rsidRPr="00DA4AED">
        <w:rPr>
          <w:rFonts w:ascii="Arial" w:hAnsi="Arial" w:cs="Arial"/>
        </w:rPr>
        <w:t>The high attrition rate among nursing professionals in the UK is a complex issue that has significant impacts on patient care and outcomes. The causes of nurse attrition are multi-faceted, including factors such as workload, job satisfaction, and career opportunities. To address this issue, the NHS has implemented various retention schemes, both monetary and non-monetary, aimed at improving nurse retention. While these schemes have had some success, there is still much work to be done to improve nurse retention in the short-term and long-term. By implementing a comprehensive approach that addresses the various factors that contribute to nurse attrition, such as improving working conditions, increasing leadership opportunities, and providing competitive salaries and benefits, the NHS can improve nurse retention, ultimately leading to better patient outcomes and a more sustainable nursing workforce.</w:t>
      </w:r>
    </w:p>
    <w:p w14:paraId="10C5E940" w14:textId="01EE030D" w:rsidR="006510BF" w:rsidRDefault="006510BF" w:rsidP="005B64D1">
      <w:pPr>
        <w:spacing w:after="200" w:line="240" w:lineRule="auto"/>
        <w:rPr>
          <w:rFonts w:cs="Times New Roman"/>
        </w:rPr>
      </w:pPr>
      <w:r>
        <w:rPr>
          <w:rFonts w:cs="Times New Roman"/>
        </w:rPr>
        <w:br w:type="page"/>
      </w:r>
    </w:p>
    <w:p w14:paraId="3EB6B988" w14:textId="62A097EF" w:rsidR="00687B24" w:rsidRPr="00DA4AED" w:rsidRDefault="00687B24" w:rsidP="00286BAB">
      <w:pPr>
        <w:pStyle w:val="Heading1"/>
        <w:rPr>
          <w:rFonts w:ascii="Arial" w:hAnsi="Arial" w:cs="Arial"/>
        </w:rPr>
      </w:pPr>
      <w:bookmarkStart w:id="7" w:name="_Toc130083874"/>
      <w:r w:rsidRPr="00DA4AED">
        <w:rPr>
          <w:rFonts w:ascii="Arial" w:hAnsi="Arial" w:cs="Arial"/>
        </w:rPr>
        <w:lastRenderedPageBreak/>
        <w:t>References</w:t>
      </w:r>
      <w:bookmarkEnd w:id="7"/>
    </w:p>
    <w:p w14:paraId="47483AC0"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Bonser, J.S. (2017). Procurement Planning to Maintain Both Short-Term Adaptiveness and Long-Term Perspective. </w:t>
      </w:r>
      <w:r w:rsidRPr="00DA4AED">
        <w:rPr>
          <w:rFonts w:ascii="Arial" w:hAnsi="Arial" w:cs="Arial"/>
          <w:i/>
          <w:iCs/>
          <w:color w:val="000000"/>
        </w:rPr>
        <w:t>Management Science</w:t>
      </w:r>
      <w:r w:rsidRPr="00DA4AED">
        <w:rPr>
          <w:rFonts w:ascii="Arial" w:hAnsi="Arial" w:cs="Arial"/>
          <w:color w:val="000000"/>
        </w:rPr>
        <w:t>, 47(6), pp.769–786.</w:t>
      </w:r>
    </w:p>
    <w:p w14:paraId="3902BF27"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Dangerfield, S. (2015). NHS professionals plays a vital role in workforce management. </w:t>
      </w:r>
      <w:r w:rsidRPr="00DA4AED">
        <w:rPr>
          <w:rFonts w:ascii="Arial" w:hAnsi="Arial" w:cs="Arial"/>
          <w:i/>
          <w:iCs/>
          <w:color w:val="000000"/>
        </w:rPr>
        <w:t>Nursing Standard</w:t>
      </w:r>
      <w:r w:rsidRPr="00DA4AED">
        <w:rPr>
          <w:rFonts w:ascii="Arial" w:hAnsi="Arial" w:cs="Arial"/>
          <w:color w:val="000000"/>
        </w:rPr>
        <w:t>, 29(41), pp.33–33.</w:t>
      </w:r>
    </w:p>
    <w:p w14:paraId="396C081F"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Holmes, J. (2022). </w:t>
      </w:r>
      <w:r w:rsidRPr="00DA4AED">
        <w:rPr>
          <w:rFonts w:ascii="Arial" w:hAnsi="Arial" w:cs="Arial"/>
          <w:i/>
          <w:iCs/>
          <w:color w:val="000000"/>
        </w:rPr>
        <w:t>The NHS nursing workforce – have the floodgates opened?</w:t>
      </w:r>
      <w:r w:rsidRPr="00DA4AED">
        <w:rPr>
          <w:rFonts w:ascii="Arial" w:hAnsi="Arial" w:cs="Arial"/>
          <w:color w:val="000000"/>
        </w:rPr>
        <w:t xml:space="preserve"> [online] The King’s Fund. Available at: https://www.kingsfund.org.uk/blog/2022/10/nhs-nursing-workforce.</w:t>
      </w:r>
    </w:p>
    <w:p w14:paraId="008055A6"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Hunsaker, P.L. (2015). </w:t>
      </w:r>
      <w:r w:rsidRPr="00DA4AED">
        <w:rPr>
          <w:rFonts w:ascii="Arial" w:hAnsi="Arial" w:cs="Arial"/>
          <w:i/>
          <w:iCs/>
          <w:color w:val="000000"/>
        </w:rPr>
        <w:t>Managing people</w:t>
      </w:r>
      <w:r w:rsidRPr="00DA4AED">
        <w:rPr>
          <w:rFonts w:ascii="Arial" w:hAnsi="Arial" w:cs="Arial"/>
          <w:color w:val="000000"/>
        </w:rPr>
        <w:t>. London Dk.</w:t>
      </w:r>
    </w:p>
    <w:p w14:paraId="56626040"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Mahesh, K.S. (2017). Employee Attrition and Retention Strategies in Amara Raja Batteries Limited: An Empirical Investigation. </w:t>
      </w:r>
      <w:r w:rsidRPr="00DA4AED">
        <w:rPr>
          <w:rFonts w:ascii="Arial" w:hAnsi="Arial" w:cs="Arial"/>
          <w:i/>
          <w:iCs/>
          <w:color w:val="000000"/>
        </w:rPr>
        <w:t>International Journal of Scientific Research and Management</w:t>
      </w:r>
      <w:r w:rsidRPr="00DA4AED">
        <w:rPr>
          <w:rFonts w:ascii="Arial" w:hAnsi="Arial" w:cs="Arial"/>
          <w:color w:val="000000"/>
        </w:rPr>
        <w:t>.</w:t>
      </w:r>
    </w:p>
    <w:p w14:paraId="171351C4" w14:textId="77777777" w:rsidR="00FE1165" w:rsidRPr="00DA4AED" w:rsidRDefault="00FE1165" w:rsidP="00FE1165">
      <w:pPr>
        <w:pStyle w:val="NormalWeb"/>
        <w:spacing w:after="180" w:line="360" w:lineRule="auto"/>
        <w:ind w:left="450" w:hanging="450"/>
        <w:rPr>
          <w:rFonts w:ascii="Arial" w:hAnsi="Arial" w:cs="Arial"/>
          <w:color w:val="000000"/>
        </w:rPr>
      </w:pPr>
      <w:proofErr w:type="spellStart"/>
      <w:r w:rsidRPr="00DA4AED">
        <w:rPr>
          <w:rFonts w:ascii="Arial" w:hAnsi="Arial" w:cs="Arial"/>
          <w:color w:val="000000"/>
        </w:rPr>
        <w:t>Maleva</w:t>
      </w:r>
      <w:proofErr w:type="spellEnd"/>
      <w:r w:rsidRPr="00DA4AED">
        <w:rPr>
          <w:rFonts w:ascii="Arial" w:hAnsi="Arial" w:cs="Arial"/>
          <w:color w:val="000000"/>
        </w:rPr>
        <w:t xml:space="preserve">, T. (2012). Recommendations for Long-Term and Short-Term Social Policy Measures. </w:t>
      </w:r>
      <w:r w:rsidRPr="00DA4AED">
        <w:rPr>
          <w:rFonts w:ascii="Arial" w:hAnsi="Arial" w:cs="Arial"/>
          <w:i/>
          <w:iCs/>
          <w:color w:val="000000"/>
        </w:rPr>
        <w:t>Problems of Economic Transition</w:t>
      </w:r>
      <w:r w:rsidRPr="00DA4AED">
        <w:rPr>
          <w:rFonts w:ascii="Arial" w:hAnsi="Arial" w:cs="Arial"/>
          <w:color w:val="000000"/>
        </w:rPr>
        <w:t>, 54(10), pp.75–91.</w:t>
      </w:r>
    </w:p>
    <w:p w14:paraId="5B349B53"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Mann, Y.N. (2016). Employee Attrition in Educational Institutions in India Causes and Remedies. </w:t>
      </w:r>
      <w:r w:rsidRPr="00DA4AED">
        <w:rPr>
          <w:rFonts w:ascii="Arial" w:hAnsi="Arial" w:cs="Arial"/>
          <w:i/>
          <w:iCs/>
          <w:color w:val="000000"/>
        </w:rPr>
        <w:t>SSRN Electronic Journal</w:t>
      </w:r>
      <w:r w:rsidRPr="00DA4AED">
        <w:rPr>
          <w:rFonts w:ascii="Arial" w:hAnsi="Arial" w:cs="Arial"/>
          <w:color w:val="000000"/>
        </w:rPr>
        <w:t>.</w:t>
      </w:r>
    </w:p>
    <w:p w14:paraId="0C37B82A" w14:textId="77777777" w:rsidR="00FE1165" w:rsidRPr="00DA4AED" w:rsidRDefault="00FE1165" w:rsidP="00FE1165">
      <w:pPr>
        <w:pStyle w:val="NormalWeb"/>
        <w:spacing w:after="180" w:line="360" w:lineRule="auto"/>
        <w:ind w:left="450" w:hanging="450"/>
        <w:rPr>
          <w:rFonts w:ascii="Arial" w:hAnsi="Arial" w:cs="Arial"/>
          <w:color w:val="000000"/>
        </w:rPr>
      </w:pPr>
      <w:proofErr w:type="spellStart"/>
      <w:r w:rsidRPr="00DA4AED">
        <w:rPr>
          <w:rFonts w:ascii="Arial" w:hAnsi="Arial" w:cs="Arial"/>
          <w:color w:val="000000"/>
        </w:rPr>
        <w:t>Merkert</w:t>
      </w:r>
      <w:proofErr w:type="spellEnd"/>
      <w:r w:rsidRPr="00DA4AED">
        <w:rPr>
          <w:rFonts w:ascii="Arial" w:hAnsi="Arial" w:cs="Arial"/>
          <w:color w:val="000000"/>
        </w:rPr>
        <w:t xml:space="preserve">, R. (2016). Research in transportation business and management. </w:t>
      </w:r>
      <w:r w:rsidRPr="00DA4AED">
        <w:rPr>
          <w:rFonts w:ascii="Arial" w:hAnsi="Arial" w:cs="Arial"/>
          <w:i/>
          <w:iCs/>
          <w:color w:val="000000"/>
        </w:rPr>
        <w:t>Research in Transportation Business &amp; Management</w:t>
      </w:r>
      <w:r w:rsidRPr="00DA4AED">
        <w:rPr>
          <w:rFonts w:ascii="Arial" w:hAnsi="Arial" w:cs="Arial"/>
          <w:color w:val="000000"/>
        </w:rPr>
        <w:t>, 4(1), pp.1–2.</w:t>
      </w:r>
    </w:p>
    <w:p w14:paraId="50A0E425"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NHS Digital (2022). </w:t>
      </w:r>
      <w:r w:rsidRPr="00DA4AED">
        <w:rPr>
          <w:rFonts w:ascii="Arial" w:hAnsi="Arial" w:cs="Arial"/>
          <w:i/>
          <w:iCs/>
          <w:color w:val="000000"/>
        </w:rPr>
        <w:t>NHS Vacancy Statistics England April 2015 – June 2022 Experimental Statistics</w:t>
      </w:r>
      <w:r w:rsidRPr="00DA4AED">
        <w:rPr>
          <w:rFonts w:ascii="Arial" w:hAnsi="Arial" w:cs="Arial"/>
          <w:color w:val="000000"/>
        </w:rPr>
        <w:t>. [online] NHS Digital. Available at: https://digital.nhs.uk/data-and-information/publications/statistical/nhs-vacancies-survey/april-2015---june-2022-experimental-statistics.</w:t>
      </w:r>
    </w:p>
    <w:p w14:paraId="475D44D2"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lastRenderedPageBreak/>
        <w:t xml:space="preserve">Palmer, B. (2022). </w:t>
      </w:r>
      <w:r w:rsidRPr="00DA4AED">
        <w:rPr>
          <w:rFonts w:ascii="Arial" w:hAnsi="Arial" w:cs="Arial"/>
          <w:i/>
          <w:iCs/>
          <w:color w:val="000000"/>
        </w:rPr>
        <w:t>Peak leaving? A spotlight on nurse leaver rates in the UK</w:t>
      </w:r>
      <w:r w:rsidRPr="00DA4AED">
        <w:rPr>
          <w:rFonts w:ascii="Arial" w:hAnsi="Arial" w:cs="Arial"/>
          <w:color w:val="000000"/>
        </w:rPr>
        <w:t>. [online] The Nuffield Trust. Available at: https://www.nuffieldtrust.org.uk/resource/peak-leaving-a-spotlight-on-nurse-leaver-rates-in-the-uk.</w:t>
      </w:r>
    </w:p>
    <w:p w14:paraId="6025FCE9"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Walia, K. (2015). Attrition: Exploring Dimensions of Employee Attrition in the IT Industry. </w:t>
      </w:r>
      <w:r w:rsidRPr="00DA4AED">
        <w:rPr>
          <w:rFonts w:ascii="Arial" w:hAnsi="Arial" w:cs="Arial"/>
          <w:i/>
          <w:iCs/>
          <w:color w:val="000000"/>
        </w:rPr>
        <w:t>Effulgence-A Management Journal</w:t>
      </w:r>
      <w:r w:rsidRPr="00DA4AED">
        <w:rPr>
          <w:rFonts w:ascii="Arial" w:hAnsi="Arial" w:cs="Arial"/>
          <w:color w:val="000000"/>
        </w:rPr>
        <w:t>, 13(1), p.64.</w:t>
      </w:r>
    </w:p>
    <w:p w14:paraId="2C646192" w14:textId="77777777" w:rsidR="00FE1165" w:rsidRPr="00DA4AED" w:rsidRDefault="00FE1165" w:rsidP="00FE1165">
      <w:pPr>
        <w:pStyle w:val="NormalWeb"/>
        <w:spacing w:after="180" w:line="360" w:lineRule="auto"/>
        <w:ind w:left="450" w:hanging="450"/>
        <w:rPr>
          <w:rFonts w:ascii="Arial" w:hAnsi="Arial" w:cs="Arial"/>
          <w:color w:val="000000"/>
        </w:rPr>
      </w:pPr>
      <w:r w:rsidRPr="00DA4AED">
        <w:rPr>
          <w:rFonts w:ascii="Arial" w:hAnsi="Arial" w:cs="Arial"/>
          <w:color w:val="000000"/>
        </w:rPr>
        <w:t xml:space="preserve">Waters, A. (2018). Half the NHS nursing workforce are part-timers, figures reveal. </w:t>
      </w:r>
      <w:r w:rsidRPr="00DA4AED">
        <w:rPr>
          <w:rFonts w:ascii="Arial" w:hAnsi="Arial" w:cs="Arial"/>
          <w:i/>
          <w:iCs/>
          <w:color w:val="000000"/>
        </w:rPr>
        <w:t>Nursing Standard</w:t>
      </w:r>
      <w:r w:rsidRPr="00DA4AED">
        <w:rPr>
          <w:rFonts w:ascii="Arial" w:hAnsi="Arial" w:cs="Arial"/>
          <w:color w:val="000000"/>
        </w:rPr>
        <w:t>, 22(52), pp.7–7.</w:t>
      </w:r>
    </w:p>
    <w:p w14:paraId="3E401FD0" w14:textId="5F557ED7" w:rsidR="00FE1165" w:rsidRPr="00CB707E" w:rsidRDefault="00FE1165" w:rsidP="00FE1165">
      <w:pPr>
        <w:pStyle w:val="NormalWeb"/>
        <w:spacing w:before="0" w:beforeAutospacing="0" w:after="180" w:afterAutospacing="0" w:line="360" w:lineRule="auto"/>
        <w:rPr>
          <w:color w:val="000000"/>
        </w:rPr>
      </w:pPr>
    </w:p>
    <w:p w14:paraId="45F19C71" w14:textId="77777777" w:rsidR="00687B24" w:rsidRPr="00CB707E" w:rsidRDefault="00687B24" w:rsidP="00A3770E">
      <w:pPr>
        <w:rPr>
          <w:rFonts w:cs="Times New Roman"/>
        </w:rPr>
      </w:pPr>
    </w:p>
    <w:sectPr w:rsidR="00687B24" w:rsidRPr="00CB707E" w:rsidSect="00784D86">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75D13" w14:textId="77777777" w:rsidR="001A6E39" w:rsidRDefault="001A6E39" w:rsidP="00B70EC4">
      <w:pPr>
        <w:spacing w:after="0" w:line="240" w:lineRule="auto"/>
      </w:pPr>
      <w:r>
        <w:separator/>
      </w:r>
    </w:p>
  </w:endnote>
  <w:endnote w:type="continuationSeparator" w:id="0">
    <w:p w14:paraId="291454E9" w14:textId="77777777" w:rsidR="001A6E39" w:rsidRDefault="001A6E39" w:rsidP="00B70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A4EE2" w14:textId="77777777" w:rsidR="00B70EC4" w:rsidRDefault="00B70E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135807"/>
      <w:docPartObj>
        <w:docPartGallery w:val="Page Numbers (Bottom of Page)"/>
        <w:docPartUnique/>
      </w:docPartObj>
    </w:sdtPr>
    <w:sdtEndPr>
      <w:rPr>
        <w:noProof/>
      </w:rPr>
    </w:sdtEndPr>
    <w:sdtContent>
      <w:p w14:paraId="53237606" w14:textId="582DD97D" w:rsidR="00B70EC4" w:rsidRDefault="00B70E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FB59F" w14:textId="77777777" w:rsidR="00B70EC4" w:rsidRDefault="00B70E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70BFB" w14:textId="77777777" w:rsidR="00B70EC4" w:rsidRDefault="00B70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46FB2" w14:textId="77777777" w:rsidR="001A6E39" w:rsidRDefault="001A6E39" w:rsidP="00B70EC4">
      <w:pPr>
        <w:spacing w:after="0" w:line="240" w:lineRule="auto"/>
      </w:pPr>
      <w:r>
        <w:separator/>
      </w:r>
    </w:p>
  </w:footnote>
  <w:footnote w:type="continuationSeparator" w:id="0">
    <w:p w14:paraId="749193D8" w14:textId="77777777" w:rsidR="001A6E39" w:rsidRDefault="001A6E39" w:rsidP="00B70E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DD4AC" w14:textId="77777777" w:rsidR="00B70EC4" w:rsidRDefault="00B70E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E3C6B" w14:textId="77777777" w:rsidR="00B70EC4" w:rsidRDefault="00B70E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F9E5A" w14:textId="77777777" w:rsidR="00B70EC4" w:rsidRDefault="00B70E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0932"/>
    <w:multiLevelType w:val="hybridMultilevel"/>
    <w:tmpl w:val="CF4E8390"/>
    <w:lvl w:ilvl="0" w:tplc="9EAE0A8C">
      <w:start w:val="1"/>
      <w:numFmt w:val="decimal"/>
      <w:lvlText w:val="%1."/>
      <w:lvlJc w:val="left"/>
      <w:pPr>
        <w:ind w:left="1080" w:hanging="360"/>
      </w:pPr>
      <w:rPr>
        <w:rFonts w:hint="default"/>
        <w:b w:val="0"/>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576274"/>
    <w:multiLevelType w:val="hybridMultilevel"/>
    <w:tmpl w:val="68F2A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2772E"/>
    <w:multiLevelType w:val="multilevel"/>
    <w:tmpl w:val="F99C8272"/>
    <w:lvl w:ilvl="0">
      <w:start w:val="1"/>
      <w:numFmt w:val="decimal"/>
      <w:lvlText w:val="%1."/>
      <w:lvlJc w:val="left"/>
      <w:pPr>
        <w:tabs>
          <w:tab w:val="num" w:pos="786"/>
        </w:tabs>
        <w:ind w:left="786"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632591"/>
    <w:multiLevelType w:val="multilevel"/>
    <w:tmpl w:val="A7FC1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430387"/>
    <w:multiLevelType w:val="multilevel"/>
    <w:tmpl w:val="E37E123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592B0175"/>
    <w:multiLevelType w:val="multilevel"/>
    <w:tmpl w:val="8C3C69A6"/>
    <w:lvl w:ilvl="0">
      <w:start w:val="1"/>
      <w:numFmt w:val="decimal"/>
      <w:lvlText w:val="%1."/>
      <w:lvlJc w:val="left"/>
      <w:pPr>
        <w:tabs>
          <w:tab w:val="num" w:pos="927"/>
        </w:tabs>
        <w:ind w:left="927" w:hanging="360"/>
      </w:pPr>
    </w:lvl>
    <w:lvl w:ilvl="1">
      <w:start w:val="5"/>
      <w:numFmt w:val="decimal"/>
      <w:lvlText w:val="%2"/>
      <w:lvlJc w:val="left"/>
      <w:pPr>
        <w:ind w:left="1440" w:hanging="360"/>
      </w:pPr>
      <w:rPr>
        <w:rFonts w:hint="default"/>
        <w:b w:val="0"/>
        <w:bCs/>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4D6B4E"/>
    <w:multiLevelType w:val="multilevel"/>
    <w:tmpl w:val="B9C20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3384960">
    <w:abstractNumId w:val="4"/>
  </w:num>
  <w:num w:numId="2" w16cid:durableId="27798134">
    <w:abstractNumId w:val="2"/>
  </w:num>
  <w:num w:numId="3" w16cid:durableId="824858532">
    <w:abstractNumId w:val="5"/>
  </w:num>
  <w:num w:numId="4" w16cid:durableId="1536499547">
    <w:abstractNumId w:val="3"/>
  </w:num>
  <w:num w:numId="5" w16cid:durableId="269510249">
    <w:abstractNumId w:val="6"/>
  </w:num>
  <w:num w:numId="6" w16cid:durableId="325135340">
    <w:abstractNumId w:val="1"/>
  </w:num>
  <w:num w:numId="7" w16cid:durableId="1283725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CD0"/>
    <w:rsid w:val="000270CB"/>
    <w:rsid w:val="00030BA8"/>
    <w:rsid w:val="000448FB"/>
    <w:rsid w:val="00094874"/>
    <w:rsid w:val="000C2DEF"/>
    <w:rsid w:val="00114920"/>
    <w:rsid w:val="001A00C2"/>
    <w:rsid w:val="001A32EB"/>
    <w:rsid w:val="001A6E39"/>
    <w:rsid w:val="001B420E"/>
    <w:rsid w:val="001D34EC"/>
    <w:rsid w:val="001E10D3"/>
    <w:rsid w:val="0026116B"/>
    <w:rsid w:val="002666AE"/>
    <w:rsid w:val="00277550"/>
    <w:rsid w:val="00286BAB"/>
    <w:rsid w:val="002A5C73"/>
    <w:rsid w:val="002A6682"/>
    <w:rsid w:val="002B3968"/>
    <w:rsid w:val="002C2AFD"/>
    <w:rsid w:val="002C6C58"/>
    <w:rsid w:val="00396918"/>
    <w:rsid w:val="003A4F40"/>
    <w:rsid w:val="00433BDD"/>
    <w:rsid w:val="0046266A"/>
    <w:rsid w:val="004672F6"/>
    <w:rsid w:val="00473826"/>
    <w:rsid w:val="004D3222"/>
    <w:rsid w:val="00505DB0"/>
    <w:rsid w:val="00522C2A"/>
    <w:rsid w:val="00585953"/>
    <w:rsid w:val="00586458"/>
    <w:rsid w:val="005B64D1"/>
    <w:rsid w:val="005E1992"/>
    <w:rsid w:val="006409D4"/>
    <w:rsid w:val="006510BF"/>
    <w:rsid w:val="00687B24"/>
    <w:rsid w:val="00767E74"/>
    <w:rsid w:val="00784D86"/>
    <w:rsid w:val="007A3E1C"/>
    <w:rsid w:val="007B0148"/>
    <w:rsid w:val="007D27F9"/>
    <w:rsid w:val="007D4B0F"/>
    <w:rsid w:val="008134D5"/>
    <w:rsid w:val="00822536"/>
    <w:rsid w:val="00833E7B"/>
    <w:rsid w:val="00872120"/>
    <w:rsid w:val="00880E76"/>
    <w:rsid w:val="00886DB7"/>
    <w:rsid w:val="008A3CCB"/>
    <w:rsid w:val="008C7CD0"/>
    <w:rsid w:val="00997BC4"/>
    <w:rsid w:val="009C0693"/>
    <w:rsid w:val="009E4C60"/>
    <w:rsid w:val="00A27E3D"/>
    <w:rsid w:val="00A3770E"/>
    <w:rsid w:val="00A619EB"/>
    <w:rsid w:val="00AF770F"/>
    <w:rsid w:val="00B3027E"/>
    <w:rsid w:val="00B43D38"/>
    <w:rsid w:val="00B51942"/>
    <w:rsid w:val="00B631F1"/>
    <w:rsid w:val="00B70EC4"/>
    <w:rsid w:val="00B74CA1"/>
    <w:rsid w:val="00BD4473"/>
    <w:rsid w:val="00C26B08"/>
    <w:rsid w:val="00C96089"/>
    <w:rsid w:val="00CB707E"/>
    <w:rsid w:val="00D10607"/>
    <w:rsid w:val="00D561AC"/>
    <w:rsid w:val="00DA4AED"/>
    <w:rsid w:val="00DE14A8"/>
    <w:rsid w:val="00E73547"/>
    <w:rsid w:val="00E83A76"/>
    <w:rsid w:val="00E96D6E"/>
    <w:rsid w:val="00FE116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C2A14"/>
  <w15:chartTrackingRefBased/>
  <w15:docId w15:val="{3D0B1EB8-477D-4C69-8728-245066C37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0CB"/>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266A"/>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619EB"/>
    <w:pPr>
      <w:keepNext/>
      <w:keepLines/>
      <w:spacing w:before="120" w:after="12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6266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6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1A32E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A32EB"/>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A619E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46266A"/>
    <w:rPr>
      <w:rFonts w:ascii="Times New Roman" w:eastAsiaTheme="majorEastAsia" w:hAnsi="Times New Roman" w:cstheme="majorBidi"/>
      <w:b/>
      <w:sz w:val="24"/>
      <w:szCs w:val="24"/>
    </w:rPr>
  </w:style>
  <w:style w:type="paragraph" w:styleId="Caption">
    <w:name w:val="caption"/>
    <w:basedOn w:val="Normal"/>
    <w:next w:val="Normal"/>
    <w:autoRedefine/>
    <w:uiPriority w:val="35"/>
    <w:unhideWhenUsed/>
    <w:qFormat/>
    <w:rsid w:val="00822536"/>
    <w:pPr>
      <w:spacing w:after="200"/>
    </w:pPr>
    <w:rPr>
      <w:i/>
      <w:iCs/>
      <w:color w:val="767171" w:themeColor="background2" w:themeShade="80"/>
      <w:sz w:val="22"/>
      <w:szCs w:val="18"/>
    </w:rPr>
  </w:style>
  <w:style w:type="paragraph" w:styleId="NormalWeb">
    <w:name w:val="Normal (Web)"/>
    <w:basedOn w:val="Normal"/>
    <w:uiPriority w:val="99"/>
    <w:semiHidden/>
    <w:unhideWhenUsed/>
    <w:rsid w:val="00FE1165"/>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B70EC4"/>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70EC4"/>
    <w:pPr>
      <w:spacing w:after="100"/>
    </w:pPr>
  </w:style>
  <w:style w:type="character" w:styleId="Hyperlink">
    <w:name w:val="Hyperlink"/>
    <w:basedOn w:val="DefaultParagraphFont"/>
    <w:uiPriority w:val="99"/>
    <w:unhideWhenUsed/>
    <w:rsid w:val="00B70EC4"/>
    <w:rPr>
      <w:color w:val="0563C1" w:themeColor="hyperlink"/>
      <w:u w:val="single"/>
    </w:rPr>
  </w:style>
  <w:style w:type="paragraph" w:styleId="Header">
    <w:name w:val="header"/>
    <w:basedOn w:val="Normal"/>
    <w:link w:val="HeaderChar"/>
    <w:uiPriority w:val="99"/>
    <w:unhideWhenUsed/>
    <w:rsid w:val="00B70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EC4"/>
    <w:rPr>
      <w:rFonts w:ascii="Times New Roman" w:hAnsi="Times New Roman"/>
      <w:sz w:val="24"/>
    </w:rPr>
  </w:style>
  <w:style w:type="paragraph" w:styleId="Footer">
    <w:name w:val="footer"/>
    <w:basedOn w:val="Normal"/>
    <w:link w:val="FooterChar"/>
    <w:uiPriority w:val="99"/>
    <w:unhideWhenUsed/>
    <w:rsid w:val="00B70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EC4"/>
    <w:rPr>
      <w:rFonts w:ascii="Times New Roman" w:hAnsi="Times New Roman"/>
      <w:sz w:val="24"/>
    </w:rPr>
  </w:style>
  <w:style w:type="paragraph" w:styleId="ListParagraph">
    <w:name w:val="List Paragraph"/>
    <w:basedOn w:val="Normal"/>
    <w:uiPriority w:val="34"/>
    <w:qFormat/>
    <w:rsid w:val="003A4F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373566">
      <w:bodyDiv w:val="1"/>
      <w:marLeft w:val="0"/>
      <w:marRight w:val="0"/>
      <w:marTop w:val="0"/>
      <w:marBottom w:val="0"/>
      <w:divBdr>
        <w:top w:val="none" w:sz="0" w:space="0" w:color="auto"/>
        <w:left w:val="none" w:sz="0" w:space="0" w:color="auto"/>
        <w:bottom w:val="none" w:sz="0" w:space="0" w:color="auto"/>
        <w:right w:val="none" w:sz="0" w:space="0" w:color="auto"/>
      </w:divBdr>
    </w:div>
    <w:div w:id="971860515">
      <w:bodyDiv w:val="1"/>
      <w:marLeft w:val="0"/>
      <w:marRight w:val="0"/>
      <w:marTop w:val="0"/>
      <w:marBottom w:val="0"/>
      <w:divBdr>
        <w:top w:val="none" w:sz="0" w:space="0" w:color="auto"/>
        <w:left w:val="none" w:sz="0" w:space="0" w:color="auto"/>
        <w:bottom w:val="none" w:sz="0" w:space="0" w:color="auto"/>
        <w:right w:val="none" w:sz="0" w:space="0" w:color="auto"/>
      </w:divBdr>
    </w:div>
    <w:div w:id="1638488951">
      <w:bodyDiv w:val="1"/>
      <w:marLeft w:val="0"/>
      <w:marRight w:val="0"/>
      <w:marTop w:val="0"/>
      <w:marBottom w:val="0"/>
      <w:divBdr>
        <w:top w:val="none" w:sz="0" w:space="0" w:color="auto"/>
        <w:left w:val="none" w:sz="0" w:space="0" w:color="auto"/>
        <w:bottom w:val="none" w:sz="0" w:space="0" w:color="auto"/>
        <w:right w:val="none" w:sz="0" w:space="0" w:color="auto"/>
      </w:divBdr>
    </w:div>
    <w:div w:id="1690258706">
      <w:bodyDiv w:val="1"/>
      <w:marLeft w:val="0"/>
      <w:marRight w:val="0"/>
      <w:marTop w:val="0"/>
      <w:marBottom w:val="0"/>
      <w:divBdr>
        <w:top w:val="none" w:sz="0" w:space="0" w:color="auto"/>
        <w:left w:val="none" w:sz="0" w:space="0" w:color="auto"/>
        <w:bottom w:val="none" w:sz="0" w:space="0" w:color="auto"/>
        <w:right w:val="none" w:sz="0" w:space="0" w:color="auto"/>
      </w:divBdr>
      <w:divsChild>
        <w:div w:id="2041971581">
          <w:marLeft w:val="0"/>
          <w:marRight w:val="0"/>
          <w:marTop w:val="0"/>
          <w:marBottom w:val="0"/>
          <w:divBdr>
            <w:top w:val="none" w:sz="0" w:space="0" w:color="auto"/>
            <w:left w:val="none" w:sz="0" w:space="0" w:color="auto"/>
            <w:bottom w:val="none" w:sz="0" w:space="0" w:color="auto"/>
            <w:right w:val="none" w:sz="0" w:space="0" w:color="auto"/>
          </w:divBdr>
        </w:div>
      </w:divsChild>
    </w:div>
    <w:div w:id="190233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448320-92C9-4CD2-B6E7-FB383734BC7E}" type="doc">
      <dgm:prSet loTypeId="urn:microsoft.com/office/officeart/2011/layout/CircleProcess" loCatId="process" qsTypeId="urn:microsoft.com/office/officeart/2005/8/quickstyle/simple5" qsCatId="simple" csTypeId="urn:microsoft.com/office/officeart/2005/8/colors/colorful1" csCatId="colorful" phldr="1"/>
      <dgm:spPr/>
      <dgm:t>
        <a:bodyPr/>
        <a:lstStyle/>
        <a:p>
          <a:endParaRPr lang="en-GB"/>
        </a:p>
      </dgm:t>
    </dgm:pt>
    <dgm:pt modelId="{1BA8547E-A576-4767-89E7-A2AAFE22A430}">
      <dgm:prSet phldrT="[Text]"/>
      <dgm:spPr/>
      <dgm:t>
        <a:bodyPr/>
        <a:lstStyle/>
        <a:p>
          <a:r>
            <a:rPr lang="en-GB"/>
            <a:t>Workload</a:t>
          </a:r>
        </a:p>
      </dgm:t>
    </dgm:pt>
    <dgm:pt modelId="{C05C0597-9817-430B-88C0-5A440F1734C7}" type="parTrans" cxnId="{A89FE95B-789F-4DC9-8DC5-8B57F66FD8C0}">
      <dgm:prSet/>
      <dgm:spPr/>
      <dgm:t>
        <a:bodyPr/>
        <a:lstStyle/>
        <a:p>
          <a:endParaRPr lang="en-GB"/>
        </a:p>
      </dgm:t>
    </dgm:pt>
    <dgm:pt modelId="{EE481557-56BD-422F-8374-8B1F562287C6}" type="sibTrans" cxnId="{A89FE95B-789F-4DC9-8DC5-8B57F66FD8C0}">
      <dgm:prSet/>
      <dgm:spPr/>
      <dgm:t>
        <a:bodyPr/>
        <a:lstStyle/>
        <a:p>
          <a:endParaRPr lang="en-GB"/>
        </a:p>
      </dgm:t>
    </dgm:pt>
    <dgm:pt modelId="{95C8A4AD-6BFF-4735-AC7B-3FBD7981A7BC}">
      <dgm:prSet phldrT="[Text]"/>
      <dgm:spPr/>
      <dgm:t>
        <a:bodyPr/>
        <a:lstStyle/>
        <a:p>
          <a:r>
            <a:rPr lang="en-GB"/>
            <a:t>Poor working conditions</a:t>
          </a:r>
        </a:p>
      </dgm:t>
    </dgm:pt>
    <dgm:pt modelId="{FCA527F8-9D05-44E6-89C8-777506BFAA96}" type="parTrans" cxnId="{ABFAB825-F915-41C6-8F2F-1254FE01FF19}">
      <dgm:prSet/>
      <dgm:spPr/>
      <dgm:t>
        <a:bodyPr/>
        <a:lstStyle/>
        <a:p>
          <a:endParaRPr lang="en-GB"/>
        </a:p>
      </dgm:t>
    </dgm:pt>
    <dgm:pt modelId="{C5E4462C-ABBD-42EA-BCDD-9AD1087C200F}" type="sibTrans" cxnId="{ABFAB825-F915-41C6-8F2F-1254FE01FF19}">
      <dgm:prSet/>
      <dgm:spPr/>
      <dgm:t>
        <a:bodyPr/>
        <a:lstStyle/>
        <a:p>
          <a:endParaRPr lang="en-GB"/>
        </a:p>
      </dgm:t>
    </dgm:pt>
    <dgm:pt modelId="{56EAC82A-BF18-4067-BAD2-D847557BFA2C}">
      <dgm:prSet phldrT="[Text]"/>
      <dgm:spPr/>
      <dgm:t>
        <a:bodyPr/>
        <a:lstStyle/>
        <a:p>
          <a:r>
            <a:rPr lang="en-GB"/>
            <a:t>Poor management and leadership</a:t>
          </a:r>
        </a:p>
      </dgm:t>
    </dgm:pt>
    <dgm:pt modelId="{66728E14-30B9-48A5-B1E1-4BE69057C087}" type="parTrans" cxnId="{A34144DE-5BBF-4CAB-ADB2-98B545B59558}">
      <dgm:prSet/>
      <dgm:spPr/>
      <dgm:t>
        <a:bodyPr/>
        <a:lstStyle/>
        <a:p>
          <a:endParaRPr lang="en-GB"/>
        </a:p>
      </dgm:t>
    </dgm:pt>
    <dgm:pt modelId="{099823CC-82B9-4D62-892A-BB454893F1D6}" type="sibTrans" cxnId="{A34144DE-5BBF-4CAB-ADB2-98B545B59558}">
      <dgm:prSet/>
      <dgm:spPr/>
      <dgm:t>
        <a:bodyPr/>
        <a:lstStyle/>
        <a:p>
          <a:endParaRPr lang="en-GB"/>
        </a:p>
      </dgm:t>
    </dgm:pt>
    <dgm:pt modelId="{0D43AFB5-EC95-41DD-95D1-704C4E1A0CF4}">
      <dgm:prSet/>
      <dgm:spPr/>
      <dgm:t>
        <a:bodyPr/>
        <a:lstStyle/>
        <a:p>
          <a:r>
            <a:rPr lang="en-GB"/>
            <a:t>Lack of career development</a:t>
          </a:r>
        </a:p>
      </dgm:t>
    </dgm:pt>
    <dgm:pt modelId="{617B1E11-7756-419F-80C6-BE14C4F7EF97}" type="parTrans" cxnId="{5D66AE4A-A327-4F9F-8FB0-74A391EFFF02}">
      <dgm:prSet/>
      <dgm:spPr/>
      <dgm:t>
        <a:bodyPr/>
        <a:lstStyle/>
        <a:p>
          <a:endParaRPr lang="en-GB"/>
        </a:p>
      </dgm:t>
    </dgm:pt>
    <dgm:pt modelId="{81721C48-093D-4545-AAF6-6FCF28315A25}" type="sibTrans" cxnId="{5D66AE4A-A327-4F9F-8FB0-74A391EFFF02}">
      <dgm:prSet/>
      <dgm:spPr/>
      <dgm:t>
        <a:bodyPr/>
        <a:lstStyle/>
        <a:p>
          <a:endParaRPr lang="en-GB"/>
        </a:p>
      </dgm:t>
    </dgm:pt>
    <dgm:pt modelId="{9329184E-6365-465A-A3F1-B3DFA80F5C83}" type="pres">
      <dgm:prSet presAssocID="{E1448320-92C9-4CD2-B6E7-FB383734BC7E}" presName="Name0" presStyleCnt="0">
        <dgm:presLayoutVars>
          <dgm:chMax val="11"/>
          <dgm:chPref val="11"/>
          <dgm:dir/>
          <dgm:resizeHandles/>
        </dgm:presLayoutVars>
      </dgm:prSet>
      <dgm:spPr/>
    </dgm:pt>
    <dgm:pt modelId="{3AD0F87B-1225-4AB6-8309-D16CB00FF535}" type="pres">
      <dgm:prSet presAssocID="{56EAC82A-BF18-4067-BAD2-D847557BFA2C}" presName="Accent4" presStyleCnt="0"/>
      <dgm:spPr/>
    </dgm:pt>
    <dgm:pt modelId="{7498B7B0-2687-4794-98F3-EC60075F7B3F}" type="pres">
      <dgm:prSet presAssocID="{56EAC82A-BF18-4067-BAD2-D847557BFA2C}" presName="Accent" presStyleLbl="node1" presStyleIdx="0" presStyleCnt="4"/>
      <dgm:spPr/>
    </dgm:pt>
    <dgm:pt modelId="{E7A80F31-87E4-45B6-974A-4D89202BB26C}" type="pres">
      <dgm:prSet presAssocID="{56EAC82A-BF18-4067-BAD2-D847557BFA2C}" presName="ParentBackground4" presStyleCnt="0"/>
      <dgm:spPr/>
    </dgm:pt>
    <dgm:pt modelId="{52199B92-BFA8-4AE0-A769-C1E97C2C8B08}" type="pres">
      <dgm:prSet presAssocID="{56EAC82A-BF18-4067-BAD2-D847557BFA2C}" presName="ParentBackground" presStyleLbl="fgAcc1" presStyleIdx="0" presStyleCnt="4"/>
      <dgm:spPr/>
    </dgm:pt>
    <dgm:pt modelId="{1B2FC43D-B1BD-4762-B145-47B94823E44B}" type="pres">
      <dgm:prSet presAssocID="{56EAC82A-BF18-4067-BAD2-D847557BFA2C}" presName="Parent4" presStyleLbl="revTx" presStyleIdx="0" presStyleCnt="0">
        <dgm:presLayoutVars>
          <dgm:chMax val="1"/>
          <dgm:chPref val="1"/>
          <dgm:bulletEnabled val="1"/>
        </dgm:presLayoutVars>
      </dgm:prSet>
      <dgm:spPr/>
    </dgm:pt>
    <dgm:pt modelId="{6EF7F7FB-883B-4BEF-8A92-3869EDA1293A}" type="pres">
      <dgm:prSet presAssocID="{95C8A4AD-6BFF-4735-AC7B-3FBD7981A7BC}" presName="Accent3" presStyleCnt="0"/>
      <dgm:spPr/>
    </dgm:pt>
    <dgm:pt modelId="{383942C5-4477-4BF9-B183-51EF561A6078}" type="pres">
      <dgm:prSet presAssocID="{95C8A4AD-6BFF-4735-AC7B-3FBD7981A7BC}" presName="Accent" presStyleLbl="node1" presStyleIdx="1" presStyleCnt="4"/>
      <dgm:spPr/>
    </dgm:pt>
    <dgm:pt modelId="{EB221041-C51A-4F81-8BB4-3A5A70D8138F}" type="pres">
      <dgm:prSet presAssocID="{95C8A4AD-6BFF-4735-AC7B-3FBD7981A7BC}" presName="ParentBackground3" presStyleCnt="0"/>
      <dgm:spPr/>
    </dgm:pt>
    <dgm:pt modelId="{BA0BD158-90B5-4558-9880-BD4E13851E1B}" type="pres">
      <dgm:prSet presAssocID="{95C8A4AD-6BFF-4735-AC7B-3FBD7981A7BC}" presName="ParentBackground" presStyleLbl="fgAcc1" presStyleIdx="1" presStyleCnt="4"/>
      <dgm:spPr/>
    </dgm:pt>
    <dgm:pt modelId="{A40C8265-E718-4083-B2BF-DEC90346F8BB}" type="pres">
      <dgm:prSet presAssocID="{95C8A4AD-6BFF-4735-AC7B-3FBD7981A7BC}" presName="Parent3" presStyleLbl="revTx" presStyleIdx="0" presStyleCnt="0">
        <dgm:presLayoutVars>
          <dgm:chMax val="1"/>
          <dgm:chPref val="1"/>
          <dgm:bulletEnabled val="1"/>
        </dgm:presLayoutVars>
      </dgm:prSet>
      <dgm:spPr/>
    </dgm:pt>
    <dgm:pt modelId="{36630C93-4440-41B8-A4C0-E07A7E79E938}" type="pres">
      <dgm:prSet presAssocID="{0D43AFB5-EC95-41DD-95D1-704C4E1A0CF4}" presName="Accent2" presStyleCnt="0"/>
      <dgm:spPr/>
    </dgm:pt>
    <dgm:pt modelId="{0AE3EC1B-5B6D-4CCD-9DF3-1209D7094E43}" type="pres">
      <dgm:prSet presAssocID="{0D43AFB5-EC95-41DD-95D1-704C4E1A0CF4}" presName="Accent" presStyleLbl="node1" presStyleIdx="2" presStyleCnt="4"/>
      <dgm:spPr/>
    </dgm:pt>
    <dgm:pt modelId="{D9CF6E93-8F03-4908-A375-0AFC7D94AC39}" type="pres">
      <dgm:prSet presAssocID="{0D43AFB5-EC95-41DD-95D1-704C4E1A0CF4}" presName="ParentBackground2" presStyleCnt="0"/>
      <dgm:spPr/>
    </dgm:pt>
    <dgm:pt modelId="{922991BE-BC01-42F3-AD5B-CEE21D4A68D9}" type="pres">
      <dgm:prSet presAssocID="{0D43AFB5-EC95-41DD-95D1-704C4E1A0CF4}" presName="ParentBackground" presStyleLbl="fgAcc1" presStyleIdx="2" presStyleCnt="4"/>
      <dgm:spPr/>
    </dgm:pt>
    <dgm:pt modelId="{56E1E658-9A28-4055-A0FA-B676701BB835}" type="pres">
      <dgm:prSet presAssocID="{0D43AFB5-EC95-41DD-95D1-704C4E1A0CF4}" presName="Parent2" presStyleLbl="revTx" presStyleIdx="0" presStyleCnt="0">
        <dgm:presLayoutVars>
          <dgm:chMax val="1"/>
          <dgm:chPref val="1"/>
          <dgm:bulletEnabled val="1"/>
        </dgm:presLayoutVars>
      </dgm:prSet>
      <dgm:spPr/>
    </dgm:pt>
    <dgm:pt modelId="{97BDC329-58A8-4805-8940-BB6EF2651BA8}" type="pres">
      <dgm:prSet presAssocID="{1BA8547E-A576-4767-89E7-A2AAFE22A430}" presName="Accent1" presStyleCnt="0"/>
      <dgm:spPr/>
    </dgm:pt>
    <dgm:pt modelId="{C9FE9680-ECFB-4915-8D41-F404BD49C296}" type="pres">
      <dgm:prSet presAssocID="{1BA8547E-A576-4767-89E7-A2AAFE22A430}" presName="Accent" presStyleLbl="node1" presStyleIdx="3" presStyleCnt="4"/>
      <dgm:spPr/>
    </dgm:pt>
    <dgm:pt modelId="{9A757BFD-07B1-482A-AE42-21756D1305E2}" type="pres">
      <dgm:prSet presAssocID="{1BA8547E-A576-4767-89E7-A2AAFE22A430}" presName="ParentBackground1" presStyleCnt="0"/>
      <dgm:spPr/>
    </dgm:pt>
    <dgm:pt modelId="{5D2907AE-F938-4AC5-ABC9-045019E49FDE}" type="pres">
      <dgm:prSet presAssocID="{1BA8547E-A576-4767-89E7-A2AAFE22A430}" presName="ParentBackground" presStyleLbl="fgAcc1" presStyleIdx="3" presStyleCnt="4"/>
      <dgm:spPr/>
    </dgm:pt>
    <dgm:pt modelId="{2984DF9D-93F4-4602-8DAE-E94ABD75AE6D}" type="pres">
      <dgm:prSet presAssocID="{1BA8547E-A576-4767-89E7-A2AAFE22A430}" presName="Parent1" presStyleLbl="revTx" presStyleIdx="0" presStyleCnt="0">
        <dgm:presLayoutVars>
          <dgm:chMax val="1"/>
          <dgm:chPref val="1"/>
          <dgm:bulletEnabled val="1"/>
        </dgm:presLayoutVars>
      </dgm:prSet>
      <dgm:spPr/>
    </dgm:pt>
  </dgm:ptLst>
  <dgm:cxnLst>
    <dgm:cxn modelId="{B0360A05-F4B4-4CAF-B5DA-F3B39DF6F0A0}" type="presOf" srcId="{95C8A4AD-6BFF-4735-AC7B-3FBD7981A7BC}" destId="{A40C8265-E718-4083-B2BF-DEC90346F8BB}" srcOrd="1" destOrd="0" presId="urn:microsoft.com/office/officeart/2011/layout/CircleProcess"/>
    <dgm:cxn modelId="{ABFAB825-F915-41C6-8F2F-1254FE01FF19}" srcId="{E1448320-92C9-4CD2-B6E7-FB383734BC7E}" destId="{95C8A4AD-6BFF-4735-AC7B-3FBD7981A7BC}" srcOrd="2" destOrd="0" parTransId="{FCA527F8-9D05-44E6-89C8-777506BFAA96}" sibTransId="{C5E4462C-ABBD-42EA-BCDD-9AD1087C200F}"/>
    <dgm:cxn modelId="{5D66AE4A-A327-4F9F-8FB0-74A391EFFF02}" srcId="{E1448320-92C9-4CD2-B6E7-FB383734BC7E}" destId="{0D43AFB5-EC95-41DD-95D1-704C4E1A0CF4}" srcOrd="1" destOrd="0" parTransId="{617B1E11-7756-419F-80C6-BE14C4F7EF97}" sibTransId="{81721C48-093D-4545-AAF6-6FCF28315A25}"/>
    <dgm:cxn modelId="{10866053-CCDA-49EA-B6C9-FDF0724A86FF}" type="presOf" srcId="{0D43AFB5-EC95-41DD-95D1-704C4E1A0CF4}" destId="{922991BE-BC01-42F3-AD5B-CEE21D4A68D9}" srcOrd="0" destOrd="0" presId="urn:microsoft.com/office/officeart/2011/layout/CircleProcess"/>
    <dgm:cxn modelId="{A89FE95B-789F-4DC9-8DC5-8B57F66FD8C0}" srcId="{E1448320-92C9-4CD2-B6E7-FB383734BC7E}" destId="{1BA8547E-A576-4767-89E7-A2AAFE22A430}" srcOrd="0" destOrd="0" parTransId="{C05C0597-9817-430B-88C0-5A440F1734C7}" sibTransId="{EE481557-56BD-422F-8374-8B1F562287C6}"/>
    <dgm:cxn modelId="{660D3473-CFEA-44BA-94A7-1033853ADB22}" type="presOf" srcId="{E1448320-92C9-4CD2-B6E7-FB383734BC7E}" destId="{9329184E-6365-465A-A3F1-B3DFA80F5C83}" srcOrd="0" destOrd="0" presId="urn:microsoft.com/office/officeart/2011/layout/CircleProcess"/>
    <dgm:cxn modelId="{2696D381-EAE5-4AD2-8A7C-55543E4FA50B}" type="presOf" srcId="{56EAC82A-BF18-4067-BAD2-D847557BFA2C}" destId="{1B2FC43D-B1BD-4762-B145-47B94823E44B}" srcOrd="1" destOrd="0" presId="urn:microsoft.com/office/officeart/2011/layout/CircleProcess"/>
    <dgm:cxn modelId="{6C5BCD89-4B2D-437D-BBC4-7905E502A963}" type="presOf" srcId="{95C8A4AD-6BFF-4735-AC7B-3FBD7981A7BC}" destId="{BA0BD158-90B5-4558-9880-BD4E13851E1B}" srcOrd="0" destOrd="0" presId="urn:microsoft.com/office/officeart/2011/layout/CircleProcess"/>
    <dgm:cxn modelId="{24D565A2-C042-4129-BA18-3CA966C5BFA4}" type="presOf" srcId="{56EAC82A-BF18-4067-BAD2-D847557BFA2C}" destId="{52199B92-BFA8-4AE0-A769-C1E97C2C8B08}" srcOrd="0" destOrd="0" presId="urn:microsoft.com/office/officeart/2011/layout/CircleProcess"/>
    <dgm:cxn modelId="{A34144DE-5BBF-4CAB-ADB2-98B545B59558}" srcId="{E1448320-92C9-4CD2-B6E7-FB383734BC7E}" destId="{56EAC82A-BF18-4067-BAD2-D847557BFA2C}" srcOrd="3" destOrd="0" parTransId="{66728E14-30B9-48A5-B1E1-4BE69057C087}" sibTransId="{099823CC-82B9-4D62-892A-BB454893F1D6}"/>
    <dgm:cxn modelId="{486958E2-67F0-42CE-B94B-86412B92A07A}" type="presOf" srcId="{0D43AFB5-EC95-41DD-95D1-704C4E1A0CF4}" destId="{56E1E658-9A28-4055-A0FA-B676701BB835}" srcOrd="1" destOrd="0" presId="urn:microsoft.com/office/officeart/2011/layout/CircleProcess"/>
    <dgm:cxn modelId="{CFE83CF1-9008-49F5-B733-1C5EC9154867}" type="presOf" srcId="{1BA8547E-A576-4767-89E7-A2AAFE22A430}" destId="{5D2907AE-F938-4AC5-ABC9-045019E49FDE}" srcOrd="0" destOrd="0" presId="urn:microsoft.com/office/officeart/2011/layout/CircleProcess"/>
    <dgm:cxn modelId="{3B146FF1-FD54-4209-8C00-B3458397E7A8}" type="presOf" srcId="{1BA8547E-A576-4767-89E7-A2AAFE22A430}" destId="{2984DF9D-93F4-4602-8DAE-E94ABD75AE6D}" srcOrd="1" destOrd="0" presId="urn:microsoft.com/office/officeart/2011/layout/CircleProcess"/>
    <dgm:cxn modelId="{74A90288-BFC2-4658-9A9B-C37CBAD68DE4}" type="presParOf" srcId="{9329184E-6365-465A-A3F1-B3DFA80F5C83}" destId="{3AD0F87B-1225-4AB6-8309-D16CB00FF535}" srcOrd="0" destOrd="0" presId="urn:microsoft.com/office/officeart/2011/layout/CircleProcess"/>
    <dgm:cxn modelId="{89A55328-561E-4D99-B2DF-B3734FF24ECC}" type="presParOf" srcId="{3AD0F87B-1225-4AB6-8309-D16CB00FF535}" destId="{7498B7B0-2687-4794-98F3-EC60075F7B3F}" srcOrd="0" destOrd="0" presId="urn:microsoft.com/office/officeart/2011/layout/CircleProcess"/>
    <dgm:cxn modelId="{E008FA5D-F6B5-42BF-A49B-37B210DF0CA7}" type="presParOf" srcId="{9329184E-6365-465A-A3F1-B3DFA80F5C83}" destId="{E7A80F31-87E4-45B6-974A-4D89202BB26C}" srcOrd="1" destOrd="0" presId="urn:microsoft.com/office/officeart/2011/layout/CircleProcess"/>
    <dgm:cxn modelId="{A6E50B9E-C322-4CB0-9E0A-22C3933FB675}" type="presParOf" srcId="{E7A80F31-87E4-45B6-974A-4D89202BB26C}" destId="{52199B92-BFA8-4AE0-A769-C1E97C2C8B08}" srcOrd="0" destOrd="0" presId="urn:microsoft.com/office/officeart/2011/layout/CircleProcess"/>
    <dgm:cxn modelId="{C937FF36-1442-4B0F-8017-BCEEB1A871FD}" type="presParOf" srcId="{9329184E-6365-465A-A3F1-B3DFA80F5C83}" destId="{1B2FC43D-B1BD-4762-B145-47B94823E44B}" srcOrd="2" destOrd="0" presId="urn:microsoft.com/office/officeart/2011/layout/CircleProcess"/>
    <dgm:cxn modelId="{EE14A3F7-3A95-4D80-B2CE-853B557C25C6}" type="presParOf" srcId="{9329184E-6365-465A-A3F1-B3DFA80F5C83}" destId="{6EF7F7FB-883B-4BEF-8A92-3869EDA1293A}" srcOrd="3" destOrd="0" presId="urn:microsoft.com/office/officeart/2011/layout/CircleProcess"/>
    <dgm:cxn modelId="{B913B791-C862-4D0E-B089-F1AB9DC19B3E}" type="presParOf" srcId="{6EF7F7FB-883B-4BEF-8A92-3869EDA1293A}" destId="{383942C5-4477-4BF9-B183-51EF561A6078}" srcOrd="0" destOrd="0" presId="urn:microsoft.com/office/officeart/2011/layout/CircleProcess"/>
    <dgm:cxn modelId="{78E94470-E7D0-4A5D-B483-F15183E3856E}" type="presParOf" srcId="{9329184E-6365-465A-A3F1-B3DFA80F5C83}" destId="{EB221041-C51A-4F81-8BB4-3A5A70D8138F}" srcOrd="4" destOrd="0" presId="urn:microsoft.com/office/officeart/2011/layout/CircleProcess"/>
    <dgm:cxn modelId="{E353B124-BECC-47F5-AB10-DCC0909EB9CD}" type="presParOf" srcId="{EB221041-C51A-4F81-8BB4-3A5A70D8138F}" destId="{BA0BD158-90B5-4558-9880-BD4E13851E1B}" srcOrd="0" destOrd="0" presId="urn:microsoft.com/office/officeart/2011/layout/CircleProcess"/>
    <dgm:cxn modelId="{042D5F7C-78EA-4470-ACB8-C7AC28EACBF2}" type="presParOf" srcId="{9329184E-6365-465A-A3F1-B3DFA80F5C83}" destId="{A40C8265-E718-4083-B2BF-DEC90346F8BB}" srcOrd="5" destOrd="0" presId="urn:microsoft.com/office/officeart/2011/layout/CircleProcess"/>
    <dgm:cxn modelId="{8EB6EC5A-42D7-4791-9249-9FD961551737}" type="presParOf" srcId="{9329184E-6365-465A-A3F1-B3DFA80F5C83}" destId="{36630C93-4440-41B8-A4C0-E07A7E79E938}" srcOrd="6" destOrd="0" presId="urn:microsoft.com/office/officeart/2011/layout/CircleProcess"/>
    <dgm:cxn modelId="{171F512D-3C5C-4C5A-90CF-CC1C4FFEC5CB}" type="presParOf" srcId="{36630C93-4440-41B8-A4C0-E07A7E79E938}" destId="{0AE3EC1B-5B6D-4CCD-9DF3-1209D7094E43}" srcOrd="0" destOrd="0" presId="urn:microsoft.com/office/officeart/2011/layout/CircleProcess"/>
    <dgm:cxn modelId="{5DEFA55E-BEF9-4A26-8F4F-E0C7B34E9B57}" type="presParOf" srcId="{9329184E-6365-465A-A3F1-B3DFA80F5C83}" destId="{D9CF6E93-8F03-4908-A375-0AFC7D94AC39}" srcOrd="7" destOrd="0" presId="urn:microsoft.com/office/officeart/2011/layout/CircleProcess"/>
    <dgm:cxn modelId="{5F45F9B6-F83A-46CF-B35E-2802B3567133}" type="presParOf" srcId="{D9CF6E93-8F03-4908-A375-0AFC7D94AC39}" destId="{922991BE-BC01-42F3-AD5B-CEE21D4A68D9}" srcOrd="0" destOrd="0" presId="urn:microsoft.com/office/officeart/2011/layout/CircleProcess"/>
    <dgm:cxn modelId="{5F4599D0-C80D-475B-851A-5189C311815E}" type="presParOf" srcId="{9329184E-6365-465A-A3F1-B3DFA80F5C83}" destId="{56E1E658-9A28-4055-A0FA-B676701BB835}" srcOrd="8" destOrd="0" presId="urn:microsoft.com/office/officeart/2011/layout/CircleProcess"/>
    <dgm:cxn modelId="{5281B12D-2E62-42EA-BAD1-0A2FEB80FE57}" type="presParOf" srcId="{9329184E-6365-465A-A3F1-B3DFA80F5C83}" destId="{97BDC329-58A8-4805-8940-BB6EF2651BA8}" srcOrd="9" destOrd="0" presId="urn:microsoft.com/office/officeart/2011/layout/CircleProcess"/>
    <dgm:cxn modelId="{0F6B80FA-BE45-43E3-AEB3-BDE4503B7B0C}" type="presParOf" srcId="{97BDC329-58A8-4805-8940-BB6EF2651BA8}" destId="{C9FE9680-ECFB-4915-8D41-F404BD49C296}" srcOrd="0" destOrd="0" presId="urn:microsoft.com/office/officeart/2011/layout/CircleProcess"/>
    <dgm:cxn modelId="{F2C25B52-F5F2-40BE-B8A0-20CA6C7D2C98}" type="presParOf" srcId="{9329184E-6365-465A-A3F1-B3DFA80F5C83}" destId="{9A757BFD-07B1-482A-AE42-21756D1305E2}" srcOrd="10" destOrd="0" presId="urn:microsoft.com/office/officeart/2011/layout/CircleProcess"/>
    <dgm:cxn modelId="{2043B509-6E42-43BC-BDF9-4446082816DF}" type="presParOf" srcId="{9A757BFD-07B1-482A-AE42-21756D1305E2}" destId="{5D2907AE-F938-4AC5-ABC9-045019E49FDE}" srcOrd="0" destOrd="0" presId="urn:microsoft.com/office/officeart/2011/layout/CircleProcess"/>
    <dgm:cxn modelId="{6F310645-E489-4035-999A-B22B4D5E7E0D}" type="presParOf" srcId="{9329184E-6365-465A-A3F1-B3DFA80F5C83}" destId="{2984DF9D-93F4-4602-8DAE-E94ABD75AE6D}" srcOrd="11" destOrd="0" presId="urn:microsoft.com/office/officeart/2011/layout/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ECF312B-A245-49E1-A478-3F7FD8429EE5}" type="doc">
      <dgm:prSet loTypeId="urn:microsoft.com/office/officeart/2005/8/layout/radial4" loCatId="relationship" qsTypeId="urn:microsoft.com/office/officeart/2005/8/quickstyle/simple4" qsCatId="simple" csTypeId="urn:microsoft.com/office/officeart/2005/8/colors/colorful1" csCatId="colorful" phldr="1"/>
      <dgm:spPr/>
      <dgm:t>
        <a:bodyPr/>
        <a:lstStyle/>
        <a:p>
          <a:endParaRPr lang="en-GB"/>
        </a:p>
      </dgm:t>
    </dgm:pt>
    <dgm:pt modelId="{B33F322E-72FA-412C-B86D-8ED57AFDC9E3}">
      <dgm:prSet phldrT="[Text]"/>
      <dgm:spPr/>
      <dgm:t>
        <a:bodyPr/>
        <a:lstStyle/>
        <a:p>
          <a:r>
            <a:rPr lang="en-GB">
              <a:latin typeface="Times New Roman" panose="02020603050405020304" pitchFamily="18" charset="0"/>
              <a:cs typeface="Times New Roman" panose="02020603050405020304" pitchFamily="18" charset="0"/>
            </a:rPr>
            <a:t>Effects of Employee Attrition </a:t>
          </a:r>
        </a:p>
      </dgm:t>
    </dgm:pt>
    <dgm:pt modelId="{9664028B-D551-4120-99D7-17A33E4E2B03}" type="parTrans" cxnId="{0F029591-1F6E-43C3-95C7-6A429B1A3B6C}">
      <dgm:prSet/>
      <dgm:spPr/>
      <dgm:t>
        <a:bodyPr/>
        <a:lstStyle/>
        <a:p>
          <a:endParaRPr lang="en-GB"/>
        </a:p>
      </dgm:t>
    </dgm:pt>
    <dgm:pt modelId="{F33906FC-038A-480C-AE82-EC751DEF7D91}" type="sibTrans" cxnId="{0F029591-1F6E-43C3-95C7-6A429B1A3B6C}">
      <dgm:prSet/>
      <dgm:spPr/>
      <dgm:t>
        <a:bodyPr/>
        <a:lstStyle/>
        <a:p>
          <a:endParaRPr lang="en-GB"/>
        </a:p>
      </dgm:t>
    </dgm:pt>
    <dgm:pt modelId="{5788F05D-74A4-4499-A7D1-30CE1DE98C66}">
      <dgm:prSet phldrT="[Text]"/>
      <dgm:spPr/>
      <dgm:t>
        <a:bodyPr/>
        <a:lstStyle/>
        <a:p>
          <a:r>
            <a:rPr lang="en-GB">
              <a:latin typeface="Times New Roman" panose="02020603050405020304" pitchFamily="18" charset="0"/>
              <a:cs typeface="Times New Roman" panose="02020603050405020304" pitchFamily="18" charset="0"/>
            </a:rPr>
            <a:t>Shortages in nursing staff</a:t>
          </a:r>
        </a:p>
      </dgm:t>
    </dgm:pt>
    <dgm:pt modelId="{B70145F4-D239-4750-9049-439539D8E3B5}" type="parTrans" cxnId="{98582951-29D5-4DA5-9955-34B32784F7B1}">
      <dgm:prSet/>
      <dgm:spPr/>
      <dgm:t>
        <a:bodyPr/>
        <a:lstStyle/>
        <a:p>
          <a:endParaRPr lang="en-GB">
            <a:latin typeface="Times New Roman" panose="02020603050405020304" pitchFamily="18" charset="0"/>
            <a:cs typeface="Times New Roman" panose="02020603050405020304" pitchFamily="18" charset="0"/>
          </a:endParaRPr>
        </a:p>
      </dgm:t>
    </dgm:pt>
    <dgm:pt modelId="{FE0F6859-6922-4494-93A2-31B718E5E4B7}" type="sibTrans" cxnId="{98582951-29D5-4DA5-9955-34B32784F7B1}">
      <dgm:prSet/>
      <dgm:spPr/>
      <dgm:t>
        <a:bodyPr/>
        <a:lstStyle/>
        <a:p>
          <a:endParaRPr lang="en-GB"/>
        </a:p>
      </dgm:t>
    </dgm:pt>
    <dgm:pt modelId="{8AF6A51F-FC52-463E-9E1C-B268FBA32CEB}">
      <dgm:prSet phldrT="[Text]"/>
      <dgm:spPr/>
      <dgm:t>
        <a:bodyPr/>
        <a:lstStyle/>
        <a:p>
          <a:r>
            <a:rPr lang="en-GB">
              <a:latin typeface="Times New Roman" panose="02020603050405020304" pitchFamily="18" charset="0"/>
              <a:cs typeface="Times New Roman" panose="02020603050405020304" pitchFamily="18" charset="0"/>
            </a:rPr>
            <a:t>High recruitment and training costs</a:t>
          </a:r>
        </a:p>
      </dgm:t>
    </dgm:pt>
    <dgm:pt modelId="{AED2BB76-BA43-419C-875D-7ED7459C120D}" type="parTrans" cxnId="{44F49D29-C1FF-4AE2-A8DD-E5E01F017A55}">
      <dgm:prSet/>
      <dgm:spPr/>
      <dgm:t>
        <a:bodyPr/>
        <a:lstStyle/>
        <a:p>
          <a:endParaRPr lang="en-GB">
            <a:latin typeface="Times New Roman" panose="02020603050405020304" pitchFamily="18" charset="0"/>
            <a:cs typeface="Times New Roman" panose="02020603050405020304" pitchFamily="18" charset="0"/>
          </a:endParaRPr>
        </a:p>
      </dgm:t>
    </dgm:pt>
    <dgm:pt modelId="{0FDF0251-B9A7-492E-BC67-E43369E9EEC6}" type="sibTrans" cxnId="{44F49D29-C1FF-4AE2-A8DD-E5E01F017A55}">
      <dgm:prSet/>
      <dgm:spPr/>
      <dgm:t>
        <a:bodyPr/>
        <a:lstStyle/>
        <a:p>
          <a:endParaRPr lang="en-GB"/>
        </a:p>
      </dgm:t>
    </dgm:pt>
    <dgm:pt modelId="{5091C1C4-5D44-46F8-A15C-60A51BEDB953}">
      <dgm:prSet phldrT="[Text]"/>
      <dgm:spPr/>
      <dgm:t>
        <a:bodyPr/>
        <a:lstStyle/>
        <a:p>
          <a:r>
            <a:rPr lang="en-GB">
              <a:latin typeface="Times New Roman" panose="02020603050405020304" pitchFamily="18" charset="0"/>
              <a:cs typeface="Times New Roman" panose="02020603050405020304" pitchFamily="18" charset="0"/>
            </a:rPr>
            <a:t>Reduced patient satisfaction</a:t>
          </a:r>
        </a:p>
      </dgm:t>
    </dgm:pt>
    <dgm:pt modelId="{997FE5AA-3B26-44F5-A235-36C20AD878C7}" type="parTrans" cxnId="{D6FDD431-2A5A-45D2-814D-32BFEEF8DDEE}">
      <dgm:prSet/>
      <dgm:spPr/>
      <dgm:t>
        <a:bodyPr/>
        <a:lstStyle/>
        <a:p>
          <a:endParaRPr lang="en-GB">
            <a:latin typeface="Times New Roman" panose="02020603050405020304" pitchFamily="18" charset="0"/>
            <a:cs typeface="Times New Roman" panose="02020603050405020304" pitchFamily="18" charset="0"/>
          </a:endParaRPr>
        </a:p>
      </dgm:t>
    </dgm:pt>
    <dgm:pt modelId="{573445F3-DD59-4A78-844B-006880B41544}" type="sibTrans" cxnId="{D6FDD431-2A5A-45D2-814D-32BFEEF8DDEE}">
      <dgm:prSet/>
      <dgm:spPr/>
      <dgm:t>
        <a:bodyPr/>
        <a:lstStyle/>
        <a:p>
          <a:endParaRPr lang="en-GB"/>
        </a:p>
      </dgm:t>
    </dgm:pt>
    <dgm:pt modelId="{AE962A31-3514-4C7F-A5AF-3330B783F478}" type="pres">
      <dgm:prSet presAssocID="{2ECF312B-A245-49E1-A478-3F7FD8429EE5}" presName="cycle" presStyleCnt="0">
        <dgm:presLayoutVars>
          <dgm:chMax val="1"/>
          <dgm:dir/>
          <dgm:animLvl val="ctr"/>
          <dgm:resizeHandles val="exact"/>
        </dgm:presLayoutVars>
      </dgm:prSet>
      <dgm:spPr/>
    </dgm:pt>
    <dgm:pt modelId="{39D00CCA-C737-4D9F-8B7A-A8D9ACDA008B}" type="pres">
      <dgm:prSet presAssocID="{B33F322E-72FA-412C-B86D-8ED57AFDC9E3}" presName="centerShape" presStyleLbl="node0" presStyleIdx="0" presStyleCnt="1"/>
      <dgm:spPr/>
    </dgm:pt>
    <dgm:pt modelId="{327B9018-66CC-489B-AC39-EC5C6ABE2A65}" type="pres">
      <dgm:prSet presAssocID="{B70145F4-D239-4750-9049-439539D8E3B5}" presName="parTrans" presStyleLbl="bgSibTrans2D1" presStyleIdx="0" presStyleCnt="3"/>
      <dgm:spPr/>
    </dgm:pt>
    <dgm:pt modelId="{9E056E49-A05F-4BFF-B68A-E66302C98FAA}" type="pres">
      <dgm:prSet presAssocID="{5788F05D-74A4-4499-A7D1-30CE1DE98C66}" presName="node" presStyleLbl="node1" presStyleIdx="0" presStyleCnt="3">
        <dgm:presLayoutVars>
          <dgm:bulletEnabled val="1"/>
        </dgm:presLayoutVars>
      </dgm:prSet>
      <dgm:spPr/>
    </dgm:pt>
    <dgm:pt modelId="{C3185D79-26F3-4BC8-894D-92B7C4C5A6BA}" type="pres">
      <dgm:prSet presAssocID="{AED2BB76-BA43-419C-875D-7ED7459C120D}" presName="parTrans" presStyleLbl="bgSibTrans2D1" presStyleIdx="1" presStyleCnt="3"/>
      <dgm:spPr/>
    </dgm:pt>
    <dgm:pt modelId="{F246978F-C7CF-4925-87F5-FEC5FDDE8D70}" type="pres">
      <dgm:prSet presAssocID="{8AF6A51F-FC52-463E-9E1C-B268FBA32CEB}" presName="node" presStyleLbl="node1" presStyleIdx="1" presStyleCnt="3">
        <dgm:presLayoutVars>
          <dgm:bulletEnabled val="1"/>
        </dgm:presLayoutVars>
      </dgm:prSet>
      <dgm:spPr/>
    </dgm:pt>
    <dgm:pt modelId="{B30C71CD-5B80-41D5-B1A3-4D41B4A2019A}" type="pres">
      <dgm:prSet presAssocID="{997FE5AA-3B26-44F5-A235-36C20AD878C7}" presName="parTrans" presStyleLbl="bgSibTrans2D1" presStyleIdx="2" presStyleCnt="3"/>
      <dgm:spPr/>
    </dgm:pt>
    <dgm:pt modelId="{D2E08943-81E4-4ABA-9AA6-2FECBF271A88}" type="pres">
      <dgm:prSet presAssocID="{5091C1C4-5D44-46F8-A15C-60A51BEDB953}" presName="node" presStyleLbl="node1" presStyleIdx="2" presStyleCnt="3">
        <dgm:presLayoutVars>
          <dgm:bulletEnabled val="1"/>
        </dgm:presLayoutVars>
      </dgm:prSet>
      <dgm:spPr/>
    </dgm:pt>
  </dgm:ptLst>
  <dgm:cxnLst>
    <dgm:cxn modelId="{676DA218-20E3-4799-AE5A-1ED5C46F2311}" type="presOf" srcId="{2ECF312B-A245-49E1-A478-3F7FD8429EE5}" destId="{AE962A31-3514-4C7F-A5AF-3330B783F478}" srcOrd="0" destOrd="0" presId="urn:microsoft.com/office/officeart/2005/8/layout/radial4"/>
    <dgm:cxn modelId="{44F49D29-C1FF-4AE2-A8DD-E5E01F017A55}" srcId="{B33F322E-72FA-412C-B86D-8ED57AFDC9E3}" destId="{8AF6A51F-FC52-463E-9E1C-B268FBA32CEB}" srcOrd="1" destOrd="0" parTransId="{AED2BB76-BA43-419C-875D-7ED7459C120D}" sibTransId="{0FDF0251-B9A7-492E-BC67-E43369E9EEC6}"/>
    <dgm:cxn modelId="{E1CEED2C-2B4C-48EC-89AA-0AEAFF7AECD5}" type="presOf" srcId="{5788F05D-74A4-4499-A7D1-30CE1DE98C66}" destId="{9E056E49-A05F-4BFF-B68A-E66302C98FAA}" srcOrd="0" destOrd="0" presId="urn:microsoft.com/office/officeart/2005/8/layout/radial4"/>
    <dgm:cxn modelId="{D6FDD431-2A5A-45D2-814D-32BFEEF8DDEE}" srcId="{B33F322E-72FA-412C-B86D-8ED57AFDC9E3}" destId="{5091C1C4-5D44-46F8-A15C-60A51BEDB953}" srcOrd="2" destOrd="0" parTransId="{997FE5AA-3B26-44F5-A235-36C20AD878C7}" sibTransId="{573445F3-DD59-4A78-844B-006880B41544}"/>
    <dgm:cxn modelId="{1042E038-CD11-421F-B0E2-879BD6C6BCBE}" type="presOf" srcId="{5091C1C4-5D44-46F8-A15C-60A51BEDB953}" destId="{D2E08943-81E4-4ABA-9AA6-2FECBF271A88}" srcOrd="0" destOrd="0" presId="urn:microsoft.com/office/officeart/2005/8/layout/radial4"/>
    <dgm:cxn modelId="{98582951-29D5-4DA5-9955-34B32784F7B1}" srcId="{B33F322E-72FA-412C-B86D-8ED57AFDC9E3}" destId="{5788F05D-74A4-4499-A7D1-30CE1DE98C66}" srcOrd="0" destOrd="0" parTransId="{B70145F4-D239-4750-9049-439539D8E3B5}" sibTransId="{FE0F6859-6922-4494-93A2-31B718E5E4B7}"/>
    <dgm:cxn modelId="{55200970-1644-4BA4-9A8E-7265FF81F6D2}" type="presOf" srcId="{8AF6A51F-FC52-463E-9E1C-B268FBA32CEB}" destId="{F246978F-C7CF-4925-87F5-FEC5FDDE8D70}" srcOrd="0" destOrd="0" presId="urn:microsoft.com/office/officeart/2005/8/layout/radial4"/>
    <dgm:cxn modelId="{2AEC2F75-630A-4549-87AC-B5350C9ED479}" type="presOf" srcId="{B33F322E-72FA-412C-B86D-8ED57AFDC9E3}" destId="{39D00CCA-C737-4D9F-8B7A-A8D9ACDA008B}" srcOrd="0" destOrd="0" presId="urn:microsoft.com/office/officeart/2005/8/layout/radial4"/>
    <dgm:cxn modelId="{0F029591-1F6E-43C3-95C7-6A429B1A3B6C}" srcId="{2ECF312B-A245-49E1-A478-3F7FD8429EE5}" destId="{B33F322E-72FA-412C-B86D-8ED57AFDC9E3}" srcOrd="0" destOrd="0" parTransId="{9664028B-D551-4120-99D7-17A33E4E2B03}" sibTransId="{F33906FC-038A-480C-AE82-EC751DEF7D91}"/>
    <dgm:cxn modelId="{2FD873BD-CD66-4A22-87CB-20301EE436B7}" type="presOf" srcId="{B70145F4-D239-4750-9049-439539D8E3B5}" destId="{327B9018-66CC-489B-AC39-EC5C6ABE2A65}" srcOrd="0" destOrd="0" presId="urn:microsoft.com/office/officeart/2005/8/layout/radial4"/>
    <dgm:cxn modelId="{9AB96AEB-5625-490B-B15F-DD7C154818C8}" type="presOf" srcId="{997FE5AA-3B26-44F5-A235-36C20AD878C7}" destId="{B30C71CD-5B80-41D5-B1A3-4D41B4A2019A}" srcOrd="0" destOrd="0" presId="urn:microsoft.com/office/officeart/2005/8/layout/radial4"/>
    <dgm:cxn modelId="{4C5F85F5-F2C7-41C7-A200-3EE0B8BD57C3}" type="presOf" srcId="{AED2BB76-BA43-419C-875D-7ED7459C120D}" destId="{C3185D79-26F3-4BC8-894D-92B7C4C5A6BA}" srcOrd="0" destOrd="0" presId="urn:microsoft.com/office/officeart/2005/8/layout/radial4"/>
    <dgm:cxn modelId="{C8F8E264-A300-44FA-AC41-469E7DE906CF}" type="presParOf" srcId="{AE962A31-3514-4C7F-A5AF-3330B783F478}" destId="{39D00CCA-C737-4D9F-8B7A-A8D9ACDA008B}" srcOrd="0" destOrd="0" presId="urn:microsoft.com/office/officeart/2005/8/layout/radial4"/>
    <dgm:cxn modelId="{AA73C78F-996C-4E72-BEB9-C4BEE2973A67}" type="presParOf" srcId="{AE962A31-3514-4C7F-A5AF-3330B783F478}" destId="{327B9018-66CC-489B-AC39-EC5C6ABE2A65}" srcOrd="1" destOrd="0" presId="urn:microsoft.com/office/officeart/2005/8/layout/radial4"/>
    <dgm:cxn modelId="{008C5291-1549-4EE1-A314-76C678822E5B}" type="presParOf" srcId="{AE962A31-3514-4C7F-A5AF-3330B783F478}" destId="{9E056E49-A05F-4BFF-B68A-E66302C98FAA}" srcOrd="2" destOrd="0" presId="urn:microsoft.com/office/officeart/2005/8/layout/radial4"/>
    <dgm:cxn modelId="{6010E4B9-11CD-4EB4-AB43-71F21CB1AF71}" type="presParOf" srcId="{AE962A31-3514-4C7F-A5AF-3330B783F478}" destId="{C3185D79-26F3-4BC8-894D-92B7C4C5A6BA}" srcOrd="3" destOrd="0" presId="urn:microsoft.com/office/officeart/2005/8/layout/radial4"/>
    <dgm:cxn modelId="{D97390D8-B5B5-447D-BF92-A27693CFAD75}" type="presParOf" srcId="{AE962A31-3514-4C7F-A5AF-3330B783F478}" destId="{F246978F-C7CF-4925-87F5-FEC5FDDE8D70}" srcOrd="4" destOrd="0" presId="urn:microsoft.com/office/officeart/2005/8/layout/radial4"/>
    <dgm:cxn modelId="{F1F0CCCE-303B-497D-AF04-AC266876DECC}" type="presParOf" srcId="{AE962A31-3514-4C7F-A5AF-3330B783F478}" destId="{B30C71CD-5B80-41D5-B1A3-4D41B4A2019A}" srcOrd="5" destOrd="0" presId="urn:microsoft.com/office/officeart/2005/8/layout/radial4"/>
    <dgm:cxn modelId="{E4ABBD09-2823-496F-8F9F-55BF6B1A424A}" type="presParOf" srcId="{AE962A31-3514-4C7F-A5AF-3330B783F478}" destId="{D2E08943-81E4-4ABA-9AA6-2FECBF271A88}" srcOrd="6" destOrd="0" presId="urn:microsoft.com/office/officeart/2005/8/layout/radial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6BC75F7-F3F1-4598-A9E8-EBD4111043D6}" type="doc">
      <dgm:prSet loTypeId="urn:microsoft.com/office/officeart/2005/8/layout/cycle6" loCatId="cycle" qsTypeId="urn:microsoft.com/office/officeart/2005/8/quickstyle/simple4" qsCatId="simple" csTypeId="urn:microsoft.com/office/officeart/2005/8/colors/colorful1" csCatId="colorful" phldr="1"/>
      <dgm:spPr/>
      <dgm:t>
        <a:bodyPr/>
        <a:lstStyle/>
        <a:p>
          <a:endParaRPr lang="en-GB"/>
        </a:p>
      </dgm:t>
    </dgm:pt>
    <dgm:pt modelId="{31CF5684-51D5-411D-B911-8738A5F8290E}">
      <dgm:prSet phldrT="[Text]"/>
      <dgm:spPr/>
      <dgm:t>
        <a:bodyPr/>
        <a:lstStyle/>
        <a:p>
          <a:r>
            <a:rPr lang="en-GB" b="0">
              <a:latin typeface="Times New Roman" panose="02020603050405020304" pitchFamily="18" charset="0"/>
              <a:cs typeface="Times New Roman" panose="02020603050405020304" pitchFamily="18" charset="0"/>
            </a:rPr>
            <a:t>Pay Increases</a:t>
          </a:r>
        </a:p>
      </dgm:t>
    </dgm:pt>
    <dgm:pt modelId="{0493F922-E5ED-41F2-B95E-B6C98C7C0CB9}" type="parTrans" cxnId="{549BD498-48F0-4333-A9B2-5EEA7B79B880}">
      <dgm:prSet/>
      <dgm:spPr/>
      <dgm:t>
        <a:bodyPr/>
        <a:lstStyle/>
        <a:p>
          <a:endParaRPr lang="en-GB" b="0"/>
        </a:p>
      </dgm:t>
    </dgm:pt>
    <dgm:pt modelId="{00D097C5-3990-446C-BCA2-E4E4B7D99028}" type="sibTrans" cxnId="{549BD498-48F0-4333-A9B2-5EEA7B79B880}">
      <dgm:prSet/>
      <dgm:spPr/>
      <dgm:t>
        <a:bodyPr/>
        <a:lstStyle/>
        <a:p>
          <a:endParaRPr lang="en-GB" b="0">
            <a:latin typeface="Times New Roman" panose="02020603050405020304" pitchFamily="18" charset="0"/>
            <a:cs typeface="Times New Roman" panose="02020603050405020304" pitchFamily="18" charset="0"/>
          </a:endParaRPr>
        </a:p>
      </dgm:t>
    </dgm:pt>
    <dgm:pt modelId="{801E9573-0796-4EF3-B6DA-A4762C7E1A98}">
      <dgm:prSet phldrT="[Text]"/>
      <dgm:spPr/>
      <dgm:t>
        <a:bodyPr/>
        <a:lstStyle/>
        <a:p>
          <a:r>
            <a:rPr lang="en-GB" b="0">
              <a:latin typeface="Times New Roman" panose="02020603050405020304" pitchFamily="18" charset="0"/>
              <a:cs typeface="Times New Roman" panose="02020603050405020304" pitchFamily="18" charset="0"/>
            </a:rPr>
            <a:t>Career Progression</a:t>
          </a:r>
        </a:p>
      </dgm:t>
    </dgm:pt>
    <dgm:pt modelId="{A37B3204-B516-410C-8AE3-E3F56446D729}" type="parTrans" cxnId="{0935FC6D-BF5D-4063-B1C7-AE64FB2DBB68}">
      <dgm:prSet/>
      <dgm:spPr/>
      <dgm:t>
        <a:bodyPr/>
        <a:lstStyle/>
        <a:p>
          <a:endParaRPr lang="en-GB" b="0"/>
        </a:p>
      </dgm:t>
    </dgm:pt>
    <dgm:pt modelId="{D6471437-7ED0-40BF-96ED-F2312B151E42}" type="sibTrans" cxnId="{0935FC6D-BF5D-4063-B1C7-AE64FB2DBB68}">
      <dgm:prSet/>
      <dgm:spPr/>
      <dgm:t>
        <a:bodyPr/>
        <a:lstStyle/>
        <a:p>
          <a:endParaRPr lang="en-GB" b="0">
            <a:latin typeface="Times New Roman" panose="02020603050405020304" pitchFamily="18" charset="0"/>
            <a:cs typeface="Times New Roman" panose="02020603050405020304" pitchFamily="18" charset="0"/>
          </a:endParaRPr>
        </a:p>
      </dgm:t>
    </dgm:pt>
    <dgm:pt modelId="{7EE48975-C7F0-4091-9A13-046677405B99}">
      <dgm:prSet phldrT="[Text]"/>
      <dgm:spPr/>
      <dgm:t>
        <a:bodyPr/>
        <a:lstStyle/>
        <a:p>
          <a:r>
            <a:rPr lang="en-GB" b="0">
              <a:latin typeface="Times New Roman" panose="02020603050405020304" pitchFamily="18" charset="0"/>
              <a:cs typeface="Times New Roman" panose="02020603050405020304" pitchFamily="18" charset="0"/>
            </a:rPr>
            <a:t>Pension Scheme</a:t>
          </a:r>
        </a:p>
      </dgm:t>
    </dgm:pt>
    <dgm:pt modelId="{FC6DED78-35B1-41BC-97A9-61DE67279BF5}" type="parTrans" cxnId="{02164DB8-1954-4559-B36E-369786D3A1FD}">
      <dgm:prSet/>
      <dgm:spPr/>
      <dgm:t>
        <a:bodyPr/>
        <a:lstStyle/>
        <a:p>
          <a:endParaRPr lang="en-GB" b="0"/>
        </a:p>
      </dgm:t>
    </dgm:pt>
    <dgm:pt modelId="{EF518E7F-A6C2-4F74-9FE4-BB2FF98C50CB}" type="sibTrans" cxnId="{02164DB8-1954-4559-B36E-369786D3A1FD}">
      <dgm:prSet/>
      <dgm:spPr/>
      <dgm:t>
        <a:bodyPr/>
        <a:lstStyle/>
        <a:p>
          <a:endParaRPr lang="en-GB" b="0">
            <a:latin typeface="Times New Roman" panose="02020603050405020304" pitchFamily="18" charset="0"/>
            <a:cs typeface="Times New Roman" panose="02020603050405020304" pitchFamily="18" charset="0"/>
          </a:endParaRPr>
        </a:p>
      </dgm:t>
    </dgm:pt>
    <dgm:pt modelId="{4DCAFADA-85A5-4F9D-9EBE-5950D6E7605E}">
      <dgm:prSet phldrT="[Text]"/>
      <dgm:spPr/>
      <dgm:t>
        <a:bodyPr/>
        <a:lstStyle/>
        <a:p>
          <a:r>
            <a:rPr lang="en-GB" b="0">
              <a:latin typeface="Times New Roman" panose="02020603050405020304" pitchFamily="18" charset="0"/>
              <a:cs typeface="Times New Roman" panose="02020603050405020304" pitchFamily="18" charset="0"/>
            </a:rPr>
            <a:t>Retention Bonuses</a:t>
          </a:r>
        </a:p>
      </dgm:t>
    </dgm:pt>
    <dgm:pt modelId="{9DE9BB74-C165-4618-BAEE-3D397AAF33C3}" type="parTrans" cxnId="{3C527810-C3B9-48B7-B1D8-0EF582895898}">
      <dgm:prSet/>
      <dgm:spPr/>
      <dgm:t>
        <a:bodyPr/>
        <a:lstStyle/>
        <a:p>
          <a:endParaRPr lang="en-GB" b="0"/>
        </a:p>
      </dgm:t>
    </dgm:pt>
    <dgm:pt modelId="{07367687-4B25-4C90-A00D-1B6BEE7ED432}" type="sibTrans" cxnId="{3C527810-C3B9-48B7-B1D8-0EF582895898}">
      <dgm:prSet/>
      <dgm:spPr/>
      <dgm:t>
        <a:bodyPr/>
        <a:lstStyle/>
        <a:p>
          <a:endParaRPr lang="en-GB" b="0">
            <a:latin typeface="Times New Roman" panose="02020603050405020304" pitchFamily="18" charset="0"/>
            <a:cs typeface="Times New Roman" panose="02020603050405020304" pitchFamily="18" charset="0"/>
          </a:endParaRPr>
        </a:p>
      </dgm:t>
    </dgm:pt>
    <dgm:pt modelId="{ECDBCCF9-1324-44AC-A94F-9E5EB8C7060D}">
      <dgm:prSet phldrT="[Text]"/>
      <dgm:spPr/>
      <dgm:t>
        <a:bodyPr/>
        <a:lstStyle/>
        <a:p>
          <a:r>
            <a:rPr lang="en-GB" b="0">
              <a:latin typeface="Times New Roman" panose="02020603050405020304" pitchFamily="18" charset="0"/>
              <a:cs typeface="Times New Roman" panose="02020603050405020304" pitchFamily="18" charset="0"/>
            </a:rPr>
            <a:t>Recruitment and Retention Premiums</a:t>
          </a:r>
        </a:p>
      </dgm:t>
    </dgm:pt>
    <dgm:pt modelId="{B6BF1727-A3F3-4398-ABA6-02CA39679D45}" type="parTrans" cxnId="{175D17B1-F24F-4A62-BBB6-58FC2EE99FC7}">
      <dgm:prSet/>
      <dgm:spPr/>
      <dgm:t>
        <a:bodyPr/>
        <a:lstStyle/>
        <a:p>
          <a:endParaRPr lang="en-GB" b="0"/>
        </a:p>
      </dgm:t>
    </dgm:pt>
    <dgm:pt modelId="{440FDD71-A522-4B35-91C2-C0DB0CE53578}" type="sibTrans" cxnId="{175D17B1-F24F-4A62-BBB6-58FC2EE99FC7}">
      <dgm:prSet/>
      <dgm:spPr/>
      <dgm:t>
        <a:bodyPr/>
        <a:lstStyle/>
        <a:p>
          <a:endParaRPr lang="en-GB" b="0">
            <a:latin typeface="Times New Roman" panose="02020603050405020304" pitchFamily="18" charset="0"/>
            <a:cs typeface="Times New Roman" panose="02020603050405020304" pitchFamily="18" charset="0"/>
          </a:endParaRPr>
        </a:p>
      </dgm:t>
    </dgm:pt>
    <dgm:pt modelId="{C96D6327-5AEC-419E-A46A-E954893B7944}" type="pres">
      <dgm:prSet presAssocID="{A6BC75F7-F3F1-4598-A9E8-EBD4111043D6}" presName="cycle" presStyleCnt="0">
        <dgm:presLayoutVars>
          <dgm:dir/>
          <dgm:resizeHandles val="exact"/>
        </dgm:presLayoutVars>
      </dgm:prSet>
      <dgm:spPr/>
    </dgm:pt>
    <dgm:pt modelId="{520A1D2F-040F-4BDE-88ED-2064BD723FB7}" type="pres">
      <dgm:prSet presAssocID="{31CF5684-51D5-411D-B911-8738A5F8290E}" presName="node" presStyleLbl="node1" presStyleIdx="0" presStyleCnt="5">
        <dgm:presLayoutVars>
          <dgm:bulletEnabled val="1"/>
        </dgm:presLayoutVars>
      </dgm:prSet>
      <dgm:spPr/>
    </dgm:pt>
    <dgm:pt modelId="{9D8F28FF-7E5E-4F96-8D32-604DAAE84798}" type="pres">
      <dgm:prSet presAssocID="{31CF5684-51D5-411D-B911-8738A5F8290E}" presName="spNode" presStyleCnt="0"/>
      <dgm:spPr/>
    </dgm:pt>
    <dgm:pt modelId="{0FABD4F7-E34F-4FBC-9805-AD36F5518F4E}" type="pres">
      <dgm:prSet presAssocID="{00D097C5-3990-446C-BCA2-E4E4B7D99028}" presName="sibTrans" presStyleLbl="sibTrans1D1" presStyleIdx="0" presStyleCnt="5"/>
      <dgm:spPr/>
    </dgm:pt>
    <dgm:pt modelId="{42538331-23CB-4D8B-BB89-F0F133730758}" type="pres">
      <dgm:prSet presAssocID="{801E9573-0796-4EF3-B6DA-A4762C7E1A98}" presName="node" presStyleLbl="node1" presStyleIdx="1" presStyleCnt="5">
        <dgm:presLayoutVars>
          <dgm:bulletEnabled val="1"/>
        </dgm:presLayoutVars>
      </dgm:prSet>
      <dgm:spPr/>
    </dgm:pt>
    <dgm:pt modelId="{37788B20-FACB-489B-8D92-DA0D70D744C5}" type="pres">
      <dgm:prSet presAssocID="{801E9573-0796-4EF3-B6DA-A4762C7E1A98}" presName="spNode" presStyleCnt="0"/>
      <dgm:spPr/>
    </dgm:pt>
    <dgm:pt modelId="{839CACFB-11A9-46D5-AC6F-41D13E89401F}" type="pres">
      <dgm:prSet presAssocID="{D6471437-7ED0-40BF-96ED-F2312B151E42}" presName="sibTrans" presStyleLbl="sibTrans1D1" presStyleIdx="1" presStyleCnt="5"/>
      <dgm:spPr/>
    </dgm:pt>
    <dgm:pt modelId="{F571ECA2-DC14-412D-AEC0-D63449B917E4}" type="pres">
      <dgm:prSet presAssocID="{7EE48975-C7F0-4091-9A13-046677405B99}" presName="node" presStyleLbl="node1" presStyleIdx="2" presStyleCnt="5">
        <dgm:presLayoutVars>
          <dgm:bulletEnabled val="1"/>
        </dgm:presLayoutVars>
      </dgm:prSet>
      <dgm:spPr/>
    </dgm:pt>
    <dgm:pt modelId="{A4D99722-14D5-4D43-8AFD-0472F7B5A945}" type="pres">
      <dgm:prSet presAssocID="{7EE48975-C7F0-4091-9A13-046677405B99}" presName="spNode" presStyleCnt="0"/>
      <dgm:spPr/>
    </dgm:pt>
    <dgm:pt modelId="{E1FD8C89-FF4F-4B48-8CF3-21325BAF8BAA}" type="pres">
      <dgm:prSet presAssocID="{EF518E7F-A6C2-4F74-9FE4-BB2FF98C50CB}" presName="sibTrans" presStyleLbl="sibTrans1D1" presStyleIdx="2" presStyleCnt="5"/>
      <dgm:spPr/>
    </dgm:pt>
    <dgm:pt modelId="{124A2607-2D7B-4C1F-AF4D-C3C666B43DB0}" type="pres">
      <dgm:prSet presAssocID="{4DCAFADA-85A5-4F9D-9EBE-5950D6E7605E}" presName="node" presStyleLbl="node1" presStyleIdx="3" presStyleCnt="5">
        <dgm:presLayoutVars>
          <dgm:bulletEnabled val="1"/>
        </dgm:presLayoutVars>
      </dgm:prSet>
      <dgm:spPr/>
    </dgm:pt>
    <dgm:pt modelId="{CE755C22-4105-4623-A58E-BE20911C5C18}" type="pres">
      <dgm:prSet presAssocID="{4DCAFADA-85A5-4F9D-9EBE-5950D6E7605E}" presName="spNode" presStyleCnt="0"/>
      <dgm:spPr/>
    </dgm:pt>
    <dgm:pt modelId="{0CA9E2BC-770D-4B84-857B-1428234766A2}" type="pres">
      <dgm:prSet presAssocID="{07367687-4B25-4C90-A00D-1B6BEE7ED432}" presName="sibTrans" presStyleLbl="sibTrans1D1" presStyleIdx="3" presStyleCnt="5"/>
      <dgm:spPr/>
    </dgm:pt>
    <dgm:pt modelId="{07642FF3-F405-4C43-85BE-D7D30ED0E93A}" type="pres">
      <dgm:prSet presAssocID="{ECDBCCF9-1324-44AC-A94F-9E5EB8C7060D}" presName="node" presStyleLbl="node1" presStyleIdx="4" presStyleCnt="5">
        <dgm:presLayoutVars>
          <dgm:bulletEnabled val="1"/>
        </dgm:presLayoutVars>
      </dgm:prSet>
      <dgm:spPr/>
    </dgm:pt>
    <dgm:pt modelId="{34DF8915-06BF-4959-9FEA-D5433D8BA8A1}" type="pres">
      <dgm:prSet presAssocID="{ECDBCCF9-1324-44AC-A94F-9E5EB8C7060D}" presName="spNode" presStyleCnt="0"/>
      <dgm:spPr/>
    </dgm:pt>
    <dgm:pt modelId="{2CC7FB7F-FE9C-45C3-AAC7-C85449E4C99D}" type="pres">
      <dgm:prSet presAssocID="{440FDD71-A522-4B35-91C2-C0DB0CE53578}" presName="sibTrans" presStyleLbl="sibTrans1D1" presStyleIdx="4" presStyleCnt="5"/>
      <dgm:spPr/>
    </dgm:pt>
  </dgm:ptLst>
  <dgm:cxnLst>
    <dgm:cxn modelId="{46777E0A-4AE4-417B-A2BE-7F4EA587FABB}" type="presOf" srcId="{D6471437-7ED0-40BF-96ED-F2312B151E42}" destId="{839CACFB-11A9-46D5-AC6F-41D13E89401F}" srcOrd="0" destOrd="0" presId="urn:microsoft.com/office/officeart/2005/8/layout/cycle6"/>
    <dgm:cxn modelId="{3C527810-C3B9-48B7-B1D8-0EF582895898}" srcId="{A6BC75F7-F3F1-4598-A9E8-EBD4111043D6}" destId="{4DCAFADA-85A5-4F9D-9EBE-5950D6E7605E}" srcOrd="3" destOrd="0" parTransId="{9DE9BB74-C165-4618-BAEE-3D397AAF33C3}" sibTransId="{07367687-4B25-4C90-A00D-1B6BEE7ED432}"/>
    <dgm:cxn modelId="{B468F218-89E9-450C-BEFD-5B6A1DAF7458}" type="presOf" srcId="{07367687-4B25-4C90-A00D-1B6BEE7ED432}" destId="{0CA9E2BC-770D-4B84-857B-1428234766A2}" srcOrd="0" destOrd="0" presId="urn:microsoft.com/office/officeart/2005/8/layout/cycle6"/>
    <dgm:cxn modelId="{805CD322-777B-4FC1-9560-37F074E5CD22}" type="presOf" srcId="{4DCAFADA-85A5-4F9D-9EBE-5950D6E7605E}" destId="{124A2607-2D7B-4C1F-AF4D-C3C666B43DB0}" srcOrd="0" destOrd="0" presId="urn:microsoft.com/office/officeart/2005/8/layout/cycle6"/>
    <dgm:cxn modelId="{B8D5A730-A27F-4040-B220-7A7B535D1E51}" type="presOf" srcId="{00D097C5-3990-446C-BCA2-E4E4B7D99028}" destId="{0FABD4F7-E34F-4FBC-9805-AD36F5518F4E}" srcOrd="0" destOrd="0" presId="urn:microsoft.com/office/officeart/2005/8/layout/cycle6"/>
    <dgm:cxn modelId="{3604C350-8DEE-4F0F-A9E0-8A145BE78022}" type="presOf" srcId="{EF518E7F-A6C2-4F74-9FE4-BB2FF98C50CB}" destId="{E1FD8C89-FF4F-4B48-8CF3-21325BAF8BAA}" srcOrd="0" destOrd="0" presId="urn:microsoft.com/office/officeart/2005/8/layout/cycle6"/>
    <dgm:cxn modelId="{1527C254-345C-48BB-95EF-3EDD0782D889}" type="presOf" srcId="{31CF5684-51D5-411D-B911-8738A5F8290E}" destId="{520A1D2F-040F-4BDE-88ED-2064BD723FB7}" srcOrd="0" destOrd="0" presId="urn:microsoft.com/office/officeart/2005/8/layout/cycle6"/>
    <dgm:cxn modelId="{A2EF446A-4FDA-496C-BD42-FA6C5F6BF29C}" type="presOf" srcId="{A6BC75F7-F3F1-4598-A9E8-EBD4111043D6}" destId="{C96D6327-5AEC-419E-A46A-E954893B7944}" srcOrd="0" destOrd="0" presId="urn:microsoft.com/office/officeart/2005/8/layout/cycle6"/>
    <dgm:cxn modelId="{CEB59E6D-3100-4898-8FB5-EBEFA83D66AB}" type="presOf" srcId="{7EE48975-C7F0-4091-9A13-046677405B99}" destId="{F571ECA2-DC14-412D-AEC0-D63449B917E4}" srcOrd="0" destOrd="0" presId="urn:microsoft.com/office/officeart/2005/8/layout/cycle6"/>
    <dgm:cxn modelId="{0935FC6D-BF5D-4063-B1C7-AE64FB2DBB68}" srcId="{A6BC75F7-F3F1-4598-A9E8-EBD4111043D6}" destId="{801E9573-0796-4EF3-B6DA-A4762C7E1A98}" srcOrd="1" destOrd="0" parTransId="{A37B3204-B516-410C-8AE3-E3F56446D729}" sibTransId="{D6471437-7ED0-40BF-96ED-F2312B151E42}"/>
    <dgm:cxn modelId="{41301182-1498-4EAE-A00A-B11652A5374F}" type="presOf" srcId="{801E9573-0796-4EF3-B6DA-A4762C7E1A98}" destId="{42538331-23CB-4D8B-BB89-F0F133730758}" srcOrd="0" destOrd="0" presId="urn:microsoft.com/office/officeart/2005/8/layout/cycle6"/>
    <dgm:cxn modelId="{549BD498-48F0-4333-A9B2-5EEA7B79B880}" srcId="{A6BC75F7-F3F1-4598-A9E8-EBD4111043D6}" destId="{31CF5684-51D5-411D-B911-8738A5F8290E}" srcOrd="0" destOrd="0" parTransId="{0493F922-E5ED-41F2-B95E-B6C98C7C0CB9}" sibTransId="{00D097C5-3990-446C-BCA2-E4E4B7D99028}"/>
    <dgm:cxn modelId="{CB7A12A2-8E90-402B-B57F-98D0CAA0A0CE}" type="presOf" srcId="{ECDBCCF9-1324-44AC-A94F-9E5EB8C7060D}" destId="{07642FF3-F405-4C43-85BE-D7D30ED0E93A}" srcOrd="0" destOrd="0" presId="urn:microsoft.com/office/officeart/2005/8/layout/cycle6"/>
    <dgm:cxn modelId="{175D17B1-F24F-4A62-BBB6-58FC2EE99FC7}" srcId="{A6BC75F7-F3F1-4598-A9E8-EBD4111043D6}" destId="{ECDBCCF9-1324-44AC-A94F-9E5EB8C7060D}" srcOrd="4" destOrd="0" parTransId="{B6BF1727-A3F3-4398-ABA6-02CA39679D45}" sibTransId="{440FDD71-A522-4B35-91C2-C0DB0CE53578}"/>
    <dgm:cxn modelId="{02164DB8-1954-4559-B36E-369786D3A1FD}" srcId="{A6BC75F7-F3F1-4598-A9E8-EBD4111043D6}" destId="{7EE48975-C7F0-4091-9A13-046677405B99}" srcOrd="2" destOrd="0" parTransId="{FC6DED78-35B1-41BC-97A9-61DE67279BF5}" sibTransId="{EF518E7F-A6C2-4F74-9FE4-BB2FF98C50CB}"/>
    <dgm:cxn modelId="{C73935BF-9A96-433A-94D4-F1AFBF24DA00}" type="presOf" srcId="{440FDD71-A522-4B35-91C2-C0DB0CE53578}" destId="{2CC7FB7F-FE9C-45C3-AAC7-C85449E4C99D}" srcOrd="0" destOrd="0" presId="urn:microsoft.com/office/officeart/2005/8/layout/cycle6"/>
    <dgm:cxn modelId="{A7547A00-E2FF-45FC-B6D9-1A7D9752B1F0}" type="presParOf" srcId="{C96D6327-5AEC-419E-A46A-E954893B7944}" destId="{520A1D2F-040F-4BDE-88ED-2064BD723FB7}" srcOrd="0" destOrd="0" presId="urn:microsoft.com/office/officeart/2005/8/layout/cycle6"/>
    <dgm:cxn modelId="{0E99BACA-3DEC-40B1-9759-551DBBF6CEC0}" type="presParOf" srcId="{C96D6327-5AEC-419E-A46A-E954893B7944}" destId="{9D8F28FF-7E5E-4F96-8D32-604DAAE84798}" srcOrd="1" destOrd="0" presId="urn:microsoft.com/office/officeart/2005/8/layout/cycle6"/>
    <dgm:cxn modelId="{DB6D7EE3-ABAC-4A68-AF49-2F8AF8682AB4}" type="presParOf" srcId="{C96D6327-5AEC-419E-A46A-E954893B7944}" destId="{0FABD4F7-E34F-4FBC-9805-AD36F5518F4E}" srcOrd="2" destOrd="0" presId="urn:microsoft.com/office/officeart/2005/8/layout/cycle6"/>
    <dgm:cxn modelId="{267CED0E-E5C0-43B6-880A-A4B7552BEA7D}" type="presParOf" srcId="{C96D6327-5AEC-419E-A46A-E954893B7944}" destId="{42538331-23CB-4D8B-BB89-F0F133730758}" srcOrd="3" destOrd="0" presId="urn:microsoft.com/office/officeart/2005/8/layout/cycle6"/>
    <dgm:cxn modelId="{D06B0C80-278F-41B7-AD4C-1F81CF3F3DBE}" type="presParOf" srcId="{C96D6327-5AEC-419E-A46A-E954893B7944}" destId="{37788B20-FACB-489B-8D92-DA0D70D744C5}" srcOrd="4" destOrd="0" presId="urn:microsoft.com/office/officeart/2005/8/layout/cycle6"/>
    <dgm:cxn modelId="{41A5807F-077A-4CF9-8912-5F2DB9A53DA7}" type="presParOf" srcId="{C96D6327-5AEC-419E-A46A-E954893B7944}" destId="{839CACFB-11A9-46D5-AC6F-41D13E89401F}" srcOrd="5" destOrd="0" presId="urn:microsoft.com/office/officeart/2005/8/layout/cycle6"/>
    <dgm:cxn modelId="{F0CCCC88-E5E5-45FA-AD86-6B8E3B37CE4B}" type="presParOf" srcId="{C96D6327-5AEC-419E-A46A-E954893B7944}" destId="{F571ECA2-DC14-412D-AEC0-D63449B917E4}" srcOrd="6" destOrd="0" presId="urn:microsoft.com/office/officeart/2005/8/layout/cycle6"/>
    <dgm:cxn modelId="{F06EB5AA-D805-4D42-966B-C1ED7ADF9C50}" type="presParOf" srcId="{C96D6327-5AEC-419E-A46A-E954893B7944}" destId="{A4D99722-14D5-4D43-8AFD-0472F7B5A945}" srcOrd="7" destOrd="0" presId="urn:microsoft.com/office/officeart/2005/8/layout/cycle6"/>
    <dgm:cxn modelId="{41B194C2-B2BA-43B9-8262-AB0391C775BC}" type="presParOf" srcId="{C96D6327-5AEC-419E-A46A-E954893B7944}" destId="{E1FD8C89-FF4F-4B48-8CF3-21325BAF8BAA}" srcOrd="8" destOrd="0" presId="urn:microsoft.com/office/officeart/2005/8/layout/cycle6"/>
    <dgm:cxn modelId="{8497807E-73C8-4A61-A0C7-C16D51DE3DCE}" type="presParOf" srcId="{C96D6327-5AEC-419E-A46A-E954893B7944}" destId="{124A2607-2D7B-4C1F-AF4D-C3C666B43DB0}" srcOrd="9" destOrd="0" presId="urn:microsoft.com/office/officeart/2005/8/layout/cycle6"/>
    <dgm:cxn modelId="{D45A4287-D788-49B4-8276-6E073B86AEBE}" type="presParOf" srcId="{C96D6327-5AEC-419E-A46A-E954893B7944}" destId="{CE755C22-4105-4623-A58E-BE20911C5C18}" srcOrd="10" destOrd="0" presId="urn:microsoft.com/office/officeart/2005/8/layout/cycle6"/>
    <dgm:cxn modelId="{B012798C-851A-4F42-B1EC-F6885807A185}" type="presParOf" srcId="{C96D6327-5AEC-419E-A46A-E954893B7944}" destId="{0CA9E2BC-770D-4B84-857B-1428234766A2}" srcOrd="11" destOrd="0" presId="urn:microsoft.com/office/officeart/2005/8/layout/cycle6"/>
    <dgm:cxn modelId="{19CC43AF-F0DD-4DAA-B78E-FBE6C59D4BD3}" type="presParOf" srcId="{C96D6327-5AEC-419E-A46A-E954893B7944}" destId="{07642FF3-F405-4C43-85BE-D7D30ED0E93A}" srcOrd="12" destOrd="0" presId="urn:microsoft.com/office/officeart/2005/8/layout/cycle6"/>
    <dgm:cxn modelId="{A6B4C683-A52A-4499-9FA6-2AC069D9A0A1}" type="presParOf" srcId="{C96D6327-5AEC-419E-A46A-E954893B7944}" destId="{34DF8915-06BF-4959-9FEA-D5433D8BA8A1}" srcOrd="13" destOrd="0" presId="urn:microsoft.com/office/officeart/2005/8/layout/cycle6"/>
    <dgm:cxn modelId="{717E3535-A232-4DBA-A15C-54FD3138A8C8}" type="presParOf" srcId="{C96D6327-5AEC-419E-A46A-E954893B7944}" destId="{2CC7FB7F-FE9C-45C3-AAC7-C85449E4C99D}" srcOrd="14" destOrd="0" presId="urn:microsoft.com/office/officeart/2005/8/layout/cycle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1E4DBBA-A79D-40AE-BD31-A9DD5E81AB1F}" type="doc">
      <dgm:prSet loTypeId="urn:microsoft.com/office/officeart/2005/8/layout/radial3" loCatId="cycle" qsTypeId="urn:microsoft.com/office/officeart/2005/8/quickstyle/simple4" qsCatId="simple" csTypeId="urn:microsoft.com/office/officeart/2005/8/colors/colorful1" csCatId="colorful" phldr="1"/>
      <dgm:spPr/>
      <dgm:t>
        <a:bodyPr/>
        <a:lstStyle/>
        <a:p>
          <a:endParaRPr lang="en-GB"/>
        </a:p>
      </dgm:t>
    </dgm:pt>
    <dgm:pt modelId="{D4E10C94-DBDD-4CF7-A4CA-14309DA5ED1F}">
      <dgm:prSet phldrT="[Text]"/>
      <dgm:spPr/>
      <dgm:t>
        <a:bodyPr/>
        <a:lstStyle/>
        <a:p>
          <a:r>
            <a:rPr lang="en-GB" b="1">
              <a:latin typeface="Times New Roman" panose="02020603050405020304" pitchFamily="18" charset="0"/>
              <a:cs typeface="Times New Roman" panose="02020603050405020304" pitchFamily="18" charset="0"/>
            </a:rPr>
            <a:t>Non-monetary existing retention schemes</a:t>
          </a:r>
          <a:endParaRPr lang="en-GB">
            <a:latin typeface="Times New Roman" panose="02020603050405020304" pitchFamily="18" charset="0"/>
            <a:cs typeface="Times New Roman" panose="02020603050405020304" pitchFamily="18" charset="0"/>
          </a:endParaRPr>
        </a:p>
      </dgm:t>
    </dgm:pt>
    <dgm:pt modelId="{055FCE86-475C-4A8D-BA5E-76ACD82D309C}" type="parTrans" cxnId="{96E8E7F0-542A-46FA-BD9C-0CD764196F31}">
      <dgm:prSet/>
      <dgm:spPr/>
      <dgm:t>
        <a:bodyPr/>
        <a:lstStyle/>
        <a:p>
          <a:endParaRPr lang="en-GB"/>
        </a:p>
      </dgm:t>
    </dgm:pt>
    <dgm:pt modelId="{0FAF45BD-BE14-4634-AA48-74EE7C3301A3}" type="sibTrans" cxnId="{96E8E7F0-542A-46FA-BD9C-0CD764196F31}">
      <dgm:prSet/>
      <dgm:spPr/>
      <dgm:t>
        <a:bodyPr/>
        <a:lstStyle/>
        <a:p>
          <a:endParaRPr lang="en-GB"/>
        </a:p>
      </dgm:t>
    </dgm:pt>
    <dgm:pt modelId="{62B8D943-E081-43BE-9090-95F5106D56EF}">
      <dgm:prSet phldrT="[Text]"/>
      <dgm:spPr/>
      <dgm:t>
        <a:bodyPr/>
        <a:lstStyle/>
        <a:p>
          <a:r>
            <a:rPr lang="en-GB">
              <a:latin typeface="Times New Roman" panose="02020603050405020304" pitchFamily="18" charset="0"/>
              <a:cs typeface="Times New Roman" panose="02020603050405020304" pitchFamily="18" charset="0"/>
            </a:rPr>
            <a:t>Professional Development</a:t>
          </a:r>
        </a:p>
      </dgm:t>
    </dgm:pt>
    <dgm:pt modelId="{DB4C4770-22C9-4D2C-9405-A8FA71E68F64}" type="parTrans" cxnId="{D190B2D8-1265-447C-962C-EB5A85C1C76F}">
      <dgm:prSet/>
      <dgm:spPr/>
      <dgm:t>
        <a:bodyPr/>
        <a:lstStyle/>
        <a:p>
          <a:endParaRPr lang="en-GB"/>
        </a:p>
      </dgm:t>
    </dgm:pt>
    <dgm:pt modelId="{76C73516-7341-43FA-8662-69D29E4C5501}" type="sibTrans" cxnId="{D190B2D8-1265-447C-962C-EB5A85C1C76F}">
      <dgm:prSet/>
      <dgm:spPr/>
      <dgm:t>
        <a:bodyPr/>
        <a:lstStyle/>
        <a:p>
          <a:endParaRPr lang="en-GB"/>
        </a:p>
      </dgm:t>
    </dgm:pt>
    <dgm:pt modelId="{BD498FB3-909A-4687-A505-D4859A356BD6}">
      <dgm:prSet phldrT="[Text]"/>
      <dgm:spPr/>
      <dgm:t>
        <a:bodyPr/>
        <a:lstStyle/>
        <a:p>
          <a:r>
            <a:rPr lang="en-GB">
              <a:latin typeface="Times New Roman" panose="02020603050405020304" pitchFamily="18" charset="0"/>
              <a:cs typeface="Times New Roman" panose="02020603050405020304" pitchFamily="18" charset="0"/>
            </a:rPr>
            <a:t>Flexible Working</a:t>
          </a:r>
        </a:p>
      </dgm:t>
    </dgm:pt>
    <dgm:pt modelId="{13C0CA50-95F9-4D47-ABFD-7812B1CAA280}" type="parTrans" cxnId="{9636B8D1-1BB4-4F0F-BFFC-17ACA79AB286}">
      <dgm:prSet/>
      <dgm:spPr/>
      <dgm:t>
        <a:bodyPr/>
        <a:lstStyle/>
        <a:p>
          <a:endParaRPr lang="en-GB"/>
        </a:p>
      </dgm:t>
    </dgm:pt>
    <dgm:pt modelId="{81DD983B-18D3-4C7D-AF33-BADDDAD11942}" type="sibTrans" cxnId="{9636B8D1-1BB4-4F0F-BFFC-17ACA79AB286}">
      <dgm:prSet/>
      <dgm:spPr/>
      <dgm:t>
        <a:bodyPr/>
        <a:lstStyle/>
        <a:p>
          <a:endParaRPr lang="en-GB"/>
        </a:p>
      </dgm:t>
    </dgm:pt>
    <dgm:pt modelId="{334762CE-7E85-48CC-BA61-A9D3C227D53A}">
      <dgm:prSet phldrT="[Text]"/>
      <dgm:spPr/>
      <dgm:t>
        <a:bodyPr/>
        <a:lstStyle/>
        <a:p>
          <a:r>
            <a:rPr lang="en-GB">
              <a:latin typeface="Times New Roman" panose="02020603050405020304" pitchFamily="18" charset="0"/>
              <a:cs typeface="Times New Roman" panose="02020603050405020304" pitchFamily="18" charset="0"/>
            </a:rPr>
            <a:t>Employee Assistance Programs</a:t>
          </a:r>
        </a:p>
      </dgm:t>
    </dgm:pt>
    <dgm:pt modelId="{03B5A3DA-6F28-4BAD-84B5-28DC664103C3}" type="parTrans" cxnId="{6DCCBA83-56C2-47B6-A05A-FD9F770F7DE0}">
      <dgm:prSet/>
      <dgm:spPr/>
      <dgm:t>
        <a:bodyPr/>
        <a:lstStyle/>
        <a:p>
          <a:endParaRPr lang="en-GB"/>
        </a:p>
      </dgm:t>
    </dgm:pt>
    <dgm:pt modelId="{44B71E40-B14B-47F8-9EFF-2A2995EFF786}" type="sibTrans" cxnId="{6DCCBA83-56C2-47B6-A05A-FD9F770F7DE0}">
      <dgm:prSet/>
      <dgm:spPr/>
      <dgm:t>
        <a:bodyPr/>
        <a:lstStyle/>
        <a:p>
          <a:endParaRPr lang="en-GB"/>
        </a:p>
      </dgm:t>
    </dgm:pt>
    <dgm:pt modelId="{28025178-4E1A-4F3E-A06E-50A695C97A52}">
      <dgm:prSet phldrT="[Text]"/>
      <dgm:spPr/>
      <dgm:t>
        <a:bodyPr/>
        <a:lstStyle/>
        <a:p>
          <a:r>
            <a:rPr lang="en-GB">
              <a:latin typeface="Times New Roman" panose="02020603050405020304" pitchFamily="18" charset="0"/>
              <a:cs typeface="Times New Roman" panose="02020603050405020304" pitchFamily="18" charset="0"/>
            </a:rPr>
            <a:t>Staff Recognition Programs</a:t>
          </a:r>
        </a:p>
      </dgm:t>
    </dgm:pt>
    <dgm:pt modelId="{B80A7000-5CCE-470A-AAF0-23B06BA816EE}" type="parTrans" cxnId="{2F507A66-7A1A-461A-A6C1-94C043ED03CD}">
      <dgm:prSet/>
      <dgm:spPr/>
      <dgm:t>
        <a:bodyPr/>
        <a:lstStyle/>
        <a:p>
          <a:endParaRPr lang="en-GB"/>
        </a:p>
      </dgm:t>
    </dgm:pt>
    <dgm:pt modelId="{C96DB185-C8E5-4656-A51D-5D1ED920647F}" type="sibTrans" cxnId="{2F507A66-7A1A-461A-A6C1-94C043ED03CD}">
      <dgm:prSet/>
      <dgm:spPr/>
      <dgm:t>
        <a:bodyPr/>
        <a:lstStyle/>
        <a:p>
          <a:endParaRPr lang="en-GB"/>
        </a:p>
      </dgm:t>
    </dgm:pt>
    <dgm:pt modelId="{3F87E7D7-63CF-4B92-B1CB-F777561C742F}">
      <dgm:prSet/>
      <dgm:spPr/>
      <dgm:t>
        <a:bodyPr/>
        <a:lstStyle/>
        <a:p>
          <a:r>
            <a:rPr lang="en-GB">
              <a:latin typeface="Times New Roman" panose="02020603050405020304" pitchFamily="18" charset="0"/>
              <a:cs typeface="Times New Roman" panose="02020603050405020304" pitchFamily="18" charset="0"/>
            </a:rPr>
            <a:t>Improved Working Conditions</a:t>
          </a:r>
        </a:p>
      </dgm:t>
    </dgm:pt>
    <dgm:pt modelId="{0C166716-40B3-4EB4-BF35-CA192E3EBC0F}" type="parTrans" cxnId="{5303B273-5ADF-4798-9884-F5AA0D1E0FDD}">
      <dgm:prSet/>
      <dgm:spPr/>
      <dgm:t>
        <a:bodyPr/>
        <a:lstStyle/>
        <a:p>
          <a:endParaRPr lang="en-GB"/>
        </a:p>
      </dgm:t>
    </dgm:pt>
    <dgm:pt modelId="{DCDD81A1-37F7-483A-A31F-22EB45115E5E}" type="sibTrans" cxnId="{5303B273-5ADF-4798-9884-F5AA0D1E0FDD}">
      <dgm:prSet/>
      <dgm:spPr/>
      <dgm:t>
        <a:bodyPr/>
        <a:lstStyle/>
        <a:p>
          <a:endParaRPr lang="en-GB"/>
        </a:p>
      </dgm:t>
    </dgm:pt>
    <dgm:pt modelId="{5A2E46A7-9CF7-491F-921F-10F5DDBFB758}" type="pres">
      <dgm:prSet presAssocID="{21E4DBBA-A79D-40AE-BD31-A9DD5E81AB1F}" presName="composite" presStyleCnt="0">
        <dgm:presLayoutVars>
          <dgm:chMax val="1"/>
          <dgm:dir/>
          <dgm:resizeHandles val="exact"/>
        </dgm:presLayoutVars>
      </dgm:prSet>
      <dgm:spPr/>
    </dgm:pt>
    <dgm:pt modelId="{F84D86B4-CC6E-439E-8711-1D965B2D5643}" type="pres">
      <dgm:prSet presAssocID="{21E4DBBA-A79D-40AE-BD31-A9DD5E81AB1F}" presName="radial" presStyleCnt="0">
        <dgm:presLayoutVars>
          <dgm:animLvl val="ctr"/>
        </dgm:presLayoutVars>
      </dgm:prSet>
      <dgm:spPr/>
    </dgm:pt>
    <dgm:pt modelId="{4633ED60-C20F-449D-9AE5-8F2AA9A438E1}" type="pres">
      <dgm:prSet presAssocID="{D4E10C94-DBDD-4CF7-A4CA-14309DA5ED1F}" presName="centerShape" presStyleLbl="vennNode1" presStyleIdx="0" presStyleCnt="6"/>
      <dgm:spPr/>
    </dgm:pt>
    <dgm:pt modelId="{AF332BF6-BF5B-4F07-9683-7E96888C923A}" type="pres">
      <dgm:prSet presAssocID="{62B8D943-E081-43BE-9090-95F5106D56EF}" presName="node" presStyleLbl="vennNode1" presStyleIdx="1" presStyleCnt="6">
        <dgm:presLayoutVars>
          <dgm:bulletEnabled val="1"/>
        </dgm:presLayoutVars>
      </dgm:prSet>
      <dgm:spPr/>
    </dgm:pt>
    <dgm:pt modelId="{46DB9990-9DE2-4EBE-B952-11E7FCD56A82}" type="pres">
      <dgm:prSet presAssocID="{BD498FB3-909A-4687-A505-D4859A356BD6}" presName="node" presStyleLbl="vennNode1" presStyleIdx="2" presStyleCnt="6">
        <dgm:presLayoutVars>
          <dgm:bulletEnabled val="1"/>
        </dgm:presLayoutVars>
      </dgm:prSet>
      <dgm:spPr/>
    </dgm:pt>
    <dgm:pt modelId="{75E590FF-B8C3-4FB3-A105-32FA30DE4E1D}" type="pres">
      <dgm:prSet presAssocID="{334762CE-7E85-48CC-BA61-A9D3C227D53A}" presName="node" presStyleLbl="vennNode1" presStyleIdx="3" presStyleCnt="6">
        <dgm:presLayoutVars>
          <dgm:bulletEnabled val="1"/>
        </dgm:presLayoutVars>
      </dgm:prSet>
      <dgm:spPr/>
    </dgm:pt>
    <dgm:pt modelId="{0C5F2A69-6165-4B53-9000-E20245EF73ED}" type="pres">
      <dgm:prSet presAssocID="{28025178-4E1A-4F3E-A06E-50A695C97A52}" presName="node" presStyleLbl="vennNode1" presStyleIdx="4" presStyleCnt="6">
        <dgm:presLayoutVars>
          <dgm:bulletEnabled val="1"/>
        </dgm:presLayoutVars>
      </dgm:prSet>
      <dgm:spPr/>
    </dgm:pt>
    <dgm:pt modelId="{AF540C0D-2F97-4E14-ADB9-550F55A55C6B}" type="pres">
      <dgm:prSet presAssocID="{3F87E7D7-63CF-4B92-B1CB-F777561C742F}" presName="node" presStyleLbl="vennNode1" presStyleIdx="5" presStyleCnt="6">
        <dgm:presLayoutVars>
          <dgm:bulletEnabled val="1"/>
        </dgm:presLayoutVars>
      </dgm:prSet>
      <dgm:spPr/>
    </dgm:pt>
  </dgm:ptLst>
  <dgm:cxnLst>
    <dgm:cxn modelId="{DE48FC0B-9539-4F65-801B-7FBC3CE0F713}" type="presOf" srcId="{D4E10C94-DBDD-4CF7-A4CA-14309DA5ED1F}" destId="{4633ED60-C20F-449D-9AE5-8F2AA9A438E1}" srcOrd="0" destOrd="0" presId="urn:microsoft.com/office/officeart/2005/8/layout/radial3"/>
    <dgm:cxn modelId="{001F292A-3819-4907-B282-E7869719DDD7}" type="presOf" srcId="{62B8D943-E081-43BE-9090-95F5106D56EF}" destId="{AF332BF6-BF5B-4F07-9683-7E96888C923A}" srcOrd="0" destOrd="0" presId="urn:microsoft.com/office/officeart/2005/8/layout/radial3"/>
    <dgm:cxn modelId="{6ED8A049-E985-4D66-9E23-9CA2CC9463D6}" type="presOf" srcId="{21E4DBBA-A79D-40AE-BD31-A9DD5E81AB1F}" destId="{5A2E46A7-9CF7-491F-921F-10F5DDBFB758}" srcOrd="0" destOrd="0" presId="urn:microsoft.com/office/officeart/2005/8/layout/radial3"/>
    <dgm:cxn modelId="{FB6B0A5D-4F10-4EE4-B542-E13AE03089EE}" type="presOf" srcId="{3F87E7D7-63CF-4B92-B1CB-F777561C742F}" destId="{AF540C0D-2F97-4E14-ADB9-550F55A55C6B}" srcOrd="0" destOrd="0" presId="urn:microsoft.com/office/officeart/2005/8/layout/radial3"/>
    <dgm:cxn modelId="{2F507A66-7A1A-461A-A6C1-94C043ED03CD}" srcId="{D4E10C94-DBDD-4CF7-A4CA-14309DA5ED1F}" destId="{28025178-4E1A-4F3E-A06E-50A695C97A52}" srcOrd="3" destOrd="0" parTransId="{B80A7000-5CCE-470A-AAF0-23B06BA816EE}" sibTransId="{C96DB185-C8E5-4656-A51D-5D1ED920647F}"/>
    <dgm:cxn modelId="{5303B273-5ADF-4798-9884-F5AA0D1E0FDD}" srcId="{D4E10C94-DBDD-4CF7-A4CA-14309DA5ED1F}" destId="{3F87E7D7-63CF-4B92-B1CB-F777561C742F}" srcOrd="4" destOrd="0" parTransId="{0C166716-40B3-4EB4-BF35-CA192E3EBC0F}" sibTransId="{DCDD81A1-37F7-483A-A31F-22EB45115E5E}"/>
    <dgm:cxn modelId="{6DCCBA83-56C2-47B6-A05A-FD9F770F7DE0}" srcId="{D4E10C94-DBDD-4CF7-A4CA-14309DA5ED1F}" destId="{334762CE-7E85-48CC-BA61-A9D3C227D53A}" srcOrd="2" destOrd="0" parTransId="{03B5A3DA-6F28-4BAD-84B5-28DC664103C3}" sibTransId="{44B71E40-B14B-47F8-9EFF-2A2995EFF786}"/>
    <dgm:cxn modelId="{92075C91-1B31-4434-8514-4168BD919529}" type="presOf" srcId="{334762CE-7E85-48CC-BA61-A9D3C227D53A}" destId="{75E590FF-B8C3-4FB3-A105-32FA30DE4E1D}" srcOrd="0" destOrd="0" presId="urn:microsoft.com/office/officeart/2005/8/layout/radial3"/>
    <dgm:cxn modelId="{9636B8D1-1BB4-4F0F-BFFC-17ACA79AB286}" srcId="{D4E10C94-DBDD-4CF7-A4CA-14309DA5ED1F}" destId="{BD498FB3-909A-4687-A505-D4859A356BD6}" srcOrd="1" destOrd="0" parTransId="{13C0CA50-95F9-4D47-ABFD-7812B1CAA280}" sibTransId="{81DD983B-18D3-4C7D-AF33-BADDDAD11942}"/>
    <dgm:cxn modelId="{D190B2D8-1265-447C-962C-EB5A85C1C76F}" srcId="{D4E10C94-DBDD-4CF7-A4CA-14309DA5ED1F}" destId="{62B8D943-E081-43BE-9090-95F5106D56EF}" srcOrd="0" destOrd="0" parTransId="{DB4C4770-22C9-4D2C-9405-A8FA71E68F64}" sibTransId="{76C73516-7341-43FA-8662-69D29E4C5501}"/>
    <dgm:cxn modelId="{96E8E7F0-542A-46FA-BD9C-0CD764196F31}" srcId="{21E4DBBA-A79D-40AE-BD31-A9DD5E81AB1F}" destId="{D4E10C94-DBDD-4CF7-A4CA-14309DA5ED1F}" srcOrd="0" destOrd="0" parTransId="{055FCE86-475C-4A8D-BA5E-76ACD82D309C}" sibTransId="{0FAF45BD-BE14-4634-AA48-74EE7C3301A3}"/>
    <dgm:cxn modelId="{2E0E33F2-0384-4676-8798-2AF113158EA3}" type="presOf" srcId="{BD498FB3-909A-4687-A505-D4859A356BD6}" destId="{46DB9990-9DE2-4EBE-B952-11E7FCD56A82}" srcOrd="0" destOrd="0" presId="urn:microsoft.com/office/officeart/2005/8/layout/radial3"/>
    <dgm:cxn modelId="{CC1513F6-29F0-470D-8697-061CF8F53B6D}" type="presOf" srcId="{28025178-4E1A-4F3E-A06E-50A695C97A52}" destId="{0C5F2A69-6165-4B53-9000-E20245EF73ED}" srcOrd="0" destOrd="0" presId="urn:microsoft.com/office/officeart/2005/8/layout/radial3"/>
    <dgm:cxn modelId="{D70CF61B-CDC8-4344-BE23-F34562AE87E3}" type="presParOf" srcId="{5A2E46A7-9CF7-491F-921F-10F5DDBFB758}" destId="{F84D86B4-CC6E-439E-8711-1D965B2D5643}" srcOrd="0" destOrd="0" presId="urn:microsoft.com/office/officeart/2005/8/layout/radial3"/>
    <dgm:cxn modelId="{775083D8-0C50-468D-9126-71A6F54D8FFD}" type="presParOf" srcId="{F84D86B4-CC6E-439E-8711-1D965B2D5643}" destId="{4633ED60-C20F-449D-9AE5-8F2AA9A438E1}" srcOrd="0" destOrd="0" presId="urn:microsoft.com/office/officeart/2005/8/layout/radial3"/>
    <dgm:cxn modelId="{90F7DE63-9289-4C3E-81B2-F5D5A746425D}" type="presParOf" srcId="{F84D86B4-CC6E-439E-8711-1D965B2D5643}" destId="{AF332BF6-BF5B-4F07-9683-7E96888C923A}" srcOrd="1" destOrd="0" presId="urn:microsoft.com/office/officeart/2005/8/layout/radial3"/>
    <dgm:cxn modelId="{78C42888-455F-4DDF-A77A-D004EE323057}" type="presParOf" srcId="{F84D86B4-CC6E-439E-8711-1D965B2D5643}" destId="{46DB9990-9DE2-4EBE-B952-11E7FCD56A82}" srcOrd="2" destOrd="0" presId="urn:microsoft.com/office/officeart/2005/8/layout/radial3"/>
    <dgm:cxn modelId="{1AA5141D-1F52-4A1C-8F65-1717C6405C3C}" type="presParOf" srcId="{F84D86B4-CC6E-439E-8711-1D965B2D5643}" destId="{75E590FF-B8C3-4FB3-A105-32FA30DE4E1D}" srcOrd="3" destOrd="0" presId="urn:microsoft.com/office/officeart/2005/8/layout/radial3"/>
    <dgm:cxn modelId="{AA50A1DB-4081-48BD-A548-627A173BC3F2}" type="presParOf" srcId="{F84D86B4-CC6E-439E-8711-1D965B2D5643}" destId="{0C5F2A69-6165-4B53-9000-E20245EF73ED}" srcOrd="4" destOrd="0" presId="urn:microsoft.com/office/officeart/2005/8/layout/radial3"/>
    <dgm:cxn modelId="{7704AAD4-26D9-4010-B632-6646C4E73A02}" type="presParOf" srcId="{F84D86B4-CC6E-439E-8711-1D965B2D5643}" destId="{AF540C0D-2F97-4E14-ADB9-550F55A55C6B}" srcOrd="5"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98B7B0-2687-4794-98F3-EC60075F7B3F}">
      <dsp:nvSpPr>
        <dsp:cNvPr id="0" name=""/>
        <dsp:cNvSpPr/>
      </dsp:nvSpPr>
      <dsp:spPr>
        <a:xfrm>
          <a:off x="3637781" y="292670"/>
          <a:ext cx="775381" cy="775421"/>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2199B92-BFA8-4AE0-A769-C1E97C2C8B08}">
      <dsp:nvSpPr>
        <dsp:cNvPr id="0" name=""/>
        <dsp:cNvSpPr/>
      </dsp:nvSpPr>
      <dsp:spPr>
        <a:xfrm>
          <a:off x="3663716" y="318522"/>
          <a:ext cx="723844" cy="723717"/>
        </a:xfrm>
        <a:prstGeom prst="ellipse">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Poor management and leadership</a:t>
          </a:r>
        </a:p>
      </dsp:txBody>
      <dsp:txXfrm>
        <a:off x="3767122" y="421930"/>
        <a:ext cx="517031" cy="516902"/>
      </dsp:txXfrm>
    </dsp:sp>
    <dsp:sp modelId="{383942C5-4477-4BF9-B183-51EF561A6078}">
      <dsp:nvSpPr>
        <dsp:cNvPr id="0" name=""/>
        <dsp:cNvSpPr/>
      </dsp:nvSpPr>
      <dsp:spPr>
        <a:xfrm rot="2700000">
          <a:off x="2833133" y="292616"/>
          <a:ext cx="775394" cy="775394"/>
        </a:xfrm>
        <a:prstGeom prst="teardrop">
          <a:avLst>
            <a:gd name="adj" fmla="val 10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A0BD158-90B5-4558-9880-BD4E13851E1B}">
      <dsp:nvSpPr>
        <dsp:cNvPr id="0" name=""/>
        <dsp:cNvSpPr/>
      </dsp:nvSpPr>
      <dsp:spPr>
        <a:xfrm>
          <a:off x="2862399" y="318522"/>
          <a:ext cx="723844" cy="723717"/>
        </a:xfrm>
        <a:prstGeom prst="ellipse">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Poor working conditions</a:t>
          </a:r>
        </a:p>
      </dsp:txBody>
      <dsp:txXfrm>
        <a:off x="2965806" y="421930"/>
        <a:ext cx="517031" cy="516902"/>
      </dsp:txXfrm>
    </dsp:sp>
    <dsp:sp modelId="{0AE3EC1B-5B6D-4CCD-9DF3-1209D7094E43}">
      <dsp:nvSpPr>
        <dsp:cNvPr id="0" name=""/>
        <dsp:cNvSpPr/>
      </dsp:nvSpPr>
      <dsp:spPr>
        <a:xfrm rot="2700000">
          <a:off x="2035142" y="292616"/>
          <a:ext cx="775394" cy="775394"/>
        </a:xfrm>
        <a:prstGeom prst="teardrop">
          <a:avLst>
            <a:gd name="adj" fmla="val 10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22991BE-BC01-42F3-AD5B-CEE21D4A68D9}">
      <dsp:nvSpPr>
        <dsp:cNvPr id="0" name=""/>
        <dsp:cNvSpPr/>
      </dsp:nvSpPr>
      <dsp:spPr>
        <a:xfrm>
          <a:off x="2061083" y="318522"/>
          <a:ext cx="723844" cy="723717"/>
        </a:xfrm>
        <a:prstGeom prst="ellipse">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Lack of career development</a:t>
          </a:r>
        </a:p>
      </dsp:txBody>
      <dsp:txXfrm>
        <a:off x="2164489" y="421930"/>
        <a:ext cx="517031" cy="516902"/>
      </dsp:txXfrm>
    </dsp:sp>
    <dsp:sp modelId="{C9FE9680-ECFB-4915-8D41-F404BD49C296}">
      <dsp:nvSpPr>
        <dsp:cNvPr id="0" name=""/>
        <dsp:cNvSpPr/>
      </dsp:nvSpPr>
      <dsp:spPr>
        <a:xfrm rot="2700000">
          <a:off x="1233826" y="292616"/>
          <a:ext cx="775394" cy="775394"/>
        </a:xfrm>
        <a:prstGeom prst="teardrop">
          <a:avLst>
            <a:gd name="adj" fmla="val 10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D2907AE-F938-4AC5-ABC9-045019E49FDE}">
      <dsp:nvSpPr>
        <dsp:cNvPr id="0" name=""/>
        <dsp:cNvSpPr/>
      </dsp:nvSpPr>
      <dsp:spPr>
        <a:xfrm>
          <a:off x="1259767" y="318522"/>
          <a:ext cx="723844" cy="723717"/>
        </a:xfrm>
        <a:prstGeom prst="ellipse">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Workload</a:t>
          </a:r>
        </a:p>
      </dsp:txBody>
      <dsp:txXfrm>
        <a:off x="1363173" y="421930"/>
        <a:ext cx="517031" cy="5169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D00CCA-C737-4D9F-8B7A-A8D9ACDA008B}">
      <dsp:nvSpPr>
        <dsp:cNvPr id="0" name=""/>
        <dsp:cNvSpPr/>
      </dsp:nvSpPr>
      <dsp:spPr>
        <a:xfrm>
          <a:off x="2331928" y="1707079"/>
          <a:ext cx="1432143" cy="143214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Effects of Employee Attrition </a:t>
          </a:r>
        </a:p>
      </dsp:txBody>
      <dsp:txXfrm>
        <a:off x="2541660" y="1916811"/>
        <a:ext cx="1012679" cy="1012679"/>
      </dsp:txXfrm>
    </dsp:sp>
    <dsp:sp modelId="{327B9018-66CC-489B-AC39-EC5C6ABE2A65}">
      <dsp:nvSpPr>
        <dsp:cNvPr id="0" name=""/>
        <dsp:cNvSpPr/>
      </dsp:nvSpPr>
      <dsp:spPr>
        <a:xfrm rot="12900000">
          <a:off x="1409693" y="1456576"/>
          <a:ext cx="1098702" cy="408160"/>
        </a:xfrm>
        <a:prstGeom prst="lef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9E056E49-A05F-4BFF-B68A-E66302C98FAA}">
      <dsp:nvSpPr>
        <dsp:cNvPr id="0" name=""/>
        <dsp:cNvSpPr/>
      </dsp:nvSpPr>
      <dsp:spPr>
        <a:xfrm>
          <a:off x="828774" y="801347"/>
          <a:ext cx="1360536" cy="1088428"/>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Shortages in nursing staff</a:t>
          </a:r>
        </a:p>
      </dsp:txBody>
      <dsp:txXfrm>
        <a:off x="860653" y="833226"/>
        <a:ext cx="1296778" cy="1024670"/>
      </dsp:txXfrm>
    </dsp:sp>
    <dsp:sp modelId="{C3185D79-26F3-4BC8-894D-92B7C4C5A6BA}">
      <dsp:nvSpPr>
        <dsp:cNvPr id="0" name=""/>
        <dsp:cNvSpPr/>
      </dsp:nvSpPr>
      <dsp:spPr>
        <a:xfrm rot="16200000">
          <a:off x="2498648" y="889702"/>
          <a:ext cx="1098702" cy="408160"/>
        </a:xfrm>
        <a:prstGeom prst="lef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246978F-C7CF-4925-87F5-FEC5FDDE8D70}">
      <dsp:nvSpPr>
        <dsp:cNvPr id="0" name=""/>
        <dsp:cNvSpPr/>
      </dsp:nvSpPr>
      <dsp:spPr>
        <a:xfrm>
          <a:off x="2367731" y="216"/>
          <a:ext cx="1360536" cy="108842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High recruitment and training costs</a:t>
          </a:r>
        </a:p>
      </dsp:txBody>
      <dsp:txXfrm>
        <a:off x="2399610" y="32095"/>
        <a:ext cx="1296778" cy="1024670"/>
      </dsp:txXfrm>
    </dsp:sp>
    <dsp:sp modelId="{B30C71CD-5B80-41D5-B1A3-4D41B4A2019A}">
      <dsp:nvSpPr>
        <dsp:cNvPr id="0" name=""/>
        <dsp:cNvSpPr/>
      </dsp:nvSpPr>
      <dsp:spPr>
        <a:xfrm rot="19500000">
          <a:off x="3587603" y="1456576"/>
          <a:ext cx="1098702" cy="408160"/>
        </a:xfrm>
        <a:prstGeom prst="lef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D2E08943-81E4-4ABA-9AA6-2FECBF271A88}">
      <dsp:nvSpPr>
        <dsp:cNvPr id="0" name=""/>
        <dsp:cNvSpPr/>
      </dsp:nvSpPr>
      <dsp:spPr>
        <a:xfrm>
          <a:off x="3906689" y="801347"/>
          <a:ext cx="1360536" cy="108842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Reduced patient satisfaction</a:t>
          </a:r>
        </a:p>
      </dsp:txBody>
      <dsp:txXfrm>
        <a:off x="3938568" y="833226"/>
        <a:ext cx="1296778" cy="102467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0A1D2F-040F-4BDE-88ED-2064BD723FB7}">
      <dsp:nvSpPr>
        <dsp:cNvPr id="0" name=""/>
        <dsp:cNvSpPr/>
      </dsp:nvSpPr>
      <dsp:spPr>
        <a:xfrm>
          <a:off x="2480399" y="1173"/>
          <a:ext cx="1043761" cy="678444"/>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Pay Increases</a:t>
          </a:r>
        </a:p>
      </dsp:txBody>
      <dsp:txXfrm>
        <a:off x="2513518" y="34292"/>
        <a:ext cx="977523" cy="612206"/>
      </dsp:txXfrm>
    </dsp:sp>
    <dsp:sp modelId="{0FABD4F7-E34F-4FBC-9805-AD36F5518F4E}">
      <dsp:nvSpPr>
        <dsp:cNvPr id="0" name=""/>
        <dsp:cNvSpPr/>
      </dsp:nvSpPr>
      <dsp:spPr>
        <a:xfrm>
          <a:off x="1646920" y="340396"/>
          <a:ext cx="2710718" cy="2710718"/>
        </a:xfrm>
        <a:custGeom>
          <a:avLst/>
          <a:gdLst/>
          <a:ahLst/>
          <a:cxnLst/>
          <a:rect l="0" t="0" r="0" b="0"/>
          <a:pathLst>
            <a:path>
              <a:moveTo>
                <a:pt x="1884409" y="107519"/>
              </a:moveTo>
              <a:arcTo wR="1355359" hR="1355359" stAng="17578536" swAng="1961297"/>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2538331-23CB-4D8B-BB89-F0F133730758}">
      <dsp:nvSpPr>
        <dsp:cNvPr id="0" name=""/>
        <dsp:cNvSpPr/>
      </dsp:nvSpPr>
      <dsp:spPr>
        <a:xfrm>
          <a:off x="3769422" y="937703"/>
          <a:ext cx="1043761" cy="678444"/>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Career Progression</a:t>
          </a:r>
        </a:p>
      </dsp:txBody>
      <dsp:txXfrm>
        <a:off x="3802541" y="970822"/>
        <a:ext cx="977523" cy="612206"/>
      </dsp:txXfrm>
    </dsp:sp>
    <dsp:sp modelId="{839CACFB-11A9-46D5-AC6F-41D13E89401F}">
      <dsp:nvSpPr>
        <dsp:cNvPr id="0" name=""/>
        <dsp:cNvSpPr/>
      </dsp:nvSpPr>
      <dsp:spPr>
        <a:xfrm>
          <a:off x="1646920" y="340396"/>
          <a:ext cx="2710718" cy="2710718"/>
        </a:xfrm>
        <a:custGeom>
          <a:avLst/>
          <a:gdLst/>
          <a:ahLst/>
          <a:cxnLst/>
          <a:rect l="0" t="0" r="0" b="0"/>
          <a:pathLst>
            <a:path>
              <a:moveTo>
                <a:pt x="2708860" y="1284415"/>
              </a:moveTo>
              <a:arcTo wR="1355359" hR="1355359" stAng="21419976" swAng="219611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571ECA2-DC14-412D-AEC0-D63449B917E4}">
      <dsp:nvSpPr>
        <dsp:cNvPr id="0" name=""/>
        <dsp:cNvSpPr/>
      </dsp:nvSpPr>
      <dsp:spPr>
        <a:xfrm>
          <a:off x="3277059" y="2453041"/>
          <a:ext cx="1043761" cy="678444"/>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Pension Scheme</a:t>
          </a:r>
        </a:p>
      </dsp:txBody>
      <dsp:txXfrm>
        <a:off x="3310178" y="2486160"/>
        <a:ext cx="977523" cy="612206"/>
      </dsp:txXfrm>
    </dsp:sp>
    <dsp:sp modelId="{E1FD8C89-FF4F-4B48-8CF3-21325BAF8BAA}">
      <dsp:nvSpPr>
        <dsp:cNvPr id="0" name=""/>
        <dsp:cNvSpPr/>
      </dsp:nvSpPr>
      <dsp:spPr>
        <a:xfrm>
          <a:off x="1646920" y="340396"/>
          <a:ext cx="2710718" cy="2710718"/>
        </a:xfrm>
        <a:custGeom>
          <a:avLst/>
          <a:gdLst/>
          <a:ahLst/>
          <a:cxnLst/>
          <a:rect l="0" t="0" r="0" b="0"/>
          <a:pathLst>
            <a:path>
              <a:moveTo>
                <a:pt x="1624755" y="2683676"/>
              </a:moveTo>
              <a:arcTo wR="1355359" hR="1355359" stAng="4712121" swAng="1375759"/>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24A2607-2D7B-4C1F-AF4D-C3C666B43DB0}">
      <dsp:nvSpPr>
        <dsp:cNvPr id="0" name=""/>
        <dsp:cNvSpPr/>
      </dsp:nvSpPr>
      <dsp:spPr>
        <a:xfrm>
          <a:off x="1683738" y="2453041"/>
          <a:ext cx="1043761" cy="678444"/>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Retention Bonuses</a:t>
          </a:r>
        </a:p>
      </dsp:txBody>
      <dsp:txXfrm>
        <a:off x="1716857" y="2486160"/>
        <a:ext cx="977523" cy="612206"/>
      </dsp:txXfrm>
    </dsp:sp>
    <dsp:sp modelId="{0CA9E2BC-770D-4B84-857B-1428234766A2}">
      <dsp:nvSpPr>
        <dsp:cNvPr id="0" name=""/>
        <dsp:cNvSpPr/>
      </dsp:nvSpPr>
      <dsp:spPr>
        <a:xfrm>
          <a:off x="1646920" y="340396"/>
          <a:ext cx="2710718" cy="2710718"/>
        </a:xfrm>
        <a:custGeom>
          <a:avLst/>
          <a:gdLst/>
          <a:ahLst/>
          <a:cxnLst/>
          <a:rect l="0" t="0" r="0" b="0"/>
          <a:pathLst>
            <a:path>
              <a:moveTo>
                <a:pt x="226472" y="2105434"/>
              </a:moveTo>
              <a:arcTo wR="1355359" hR="1355359" stAng="8783907" swAng="2196118"/>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7642FF3-F405-4C43-85BE-D7D30ED0E93A}">
      <dsp:nvSpPr>
        <dsp:cNvPr id="0" name=""/>
        <dsp:cNvSpPr/>
      </dsp:nvSpPr>
      <dsp:spPr>
        <a:xfrm>
          <a:off x="1191375" y="937703"/>
          <a:ext cx="1043761" cy="678444"/>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Recruitment and Retention Premiums</a:t>
          </a:r>
        </a:p>
      </dsp:txBody>
      <dsp:txXfrm>
        <a:off x="1224494" y="970822"/>
        <a:ext cx="977523" cy="612206"/>
      </dsp:txXfrm>
    </dsp:sp>
    <dsp:sp modelId="{2CC7FB7F-FE9C-45C3-AAC7-C85449E4C99D}">
      <dsp:nvSpPr>
        <dsp:cNvPr id="0" name=""/>
        <dsp:cNvSpPr/>
      </dsp:nvSpPr>
      <dsp:spPr>
        <a:xfrm>
          <a:off x="1646920" y="340396"/>
          <a:ext cx="2710718" cy="2710718"/>
        </a:xfrm>
        <a:custGeom>
          <a:avLst/>
          <a:gdLst/>
          <a:ahLst/>
          <a:cxnLst/>
          <a:rect l="0" t="0" r="0" b="0"/>
          <a:pathLst>
            <a:path>
              <a:moveTo>
                <a:pt x="236181" y="590873"/>
              </a:moveTo>
              <a:arcTo wR="1355359" hR="1355359" stAng="12860167" swAng="1961297"/>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33ED60-C20F-449D-9AE5-8F2AA9A438E1}">
      <dsp:nvSpPr>
        <dsp:cNvPr id="0" name=""/>
        <dsp:cNvSpPr/>
      </dsp:nvSpPr>
      <dsp:spPr>
        <a:xfrm>
          <a:off x="2061242" y="797565"/>
          <a:ext cx="1848824" cy="1848824"/>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b="1" kern="1200">
              <a:latin typeface="Times New Roman" panose="02020603050405020304" pitchFamily="18" charset="0"/>
              <a:cs typeface="Times New Roman" panose="02020603050405020304" pitchFamily="18" charset="0"/>
            </a:rPr>
            <a:t>Non-monetary existing retention schemes</a:t>
          </a:r>
          <a:endParaRPr lang="en-GB" sz="1900" kern="1200">
            <a:latin typeface="Times New Roman" panose="02020603050405020304" pitchFamily="18" charset="0"/>
            <a:cs typeface="Times New Roman" panose="02020603050405020304" pitchFamily="18" charset="0"/>
          </a:endParaRPr>
        </a:p>
      </dsp:txBody>
      <dsp:txXfrm>
        <a:off x="2331996" y="1068319"/>
        <a:ext cx="1307316" cy="1307316"/>
      </dsp:txXfrm>
    </dsp:sp>
    <dsp:sp modelId="{AF332BF6-BF5B-4F07-9683-7E96888C923A}">
      <dsp:nvSpPr>
        <dsp:cNvPr id="0" name=""/>
        <dsp:cNvSpPr/>
      </dsp:nvSpPr>
      <dsp:spPr>
        <a:xfrm>
          <a:off x="2523448" y="57040"/>
          <a:ext cx="924412" cy="924412"/>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Professional Development</a:t>
          </a:r>
        </a:p>
      </dsp:txBody>
      <dsp:txXfrm>
        <a:off x="2658825" y="192417"/>
        <a:ext cx="653658" cy="653658"/>
      </dsp:txXfrm>
    </dsp:sp>
    <dsp:sp modelId="{46DB9990-9DE2-4EBE-B952-11E7FCD56A82}">
      <dsp:nvSpPr>
        <dsp:cNvPr id="0" name=""/>
        <dsp:cNvSpPr/>
      </dsp:nvSpPr>
      <dsp:spPr>
        <a:xfrm>
          <a:off x="3667313" y="888107"/>
          <a:ext cx="924412" cy="924412"/>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Flexible Working</a:t>
          </a:r>
        </a:p>
      </dsp:txBody>
      <dsp:txXfrm>
        <a:off x="3802690" y="1023484"/>
        <a:ext cx="653658" cy="653658"/>
      </dsp:txXfrm>
    </dsp:sp>
    <dsp:sp modelId="{75E590FF-B8C3-4FB3-A105-32FA30DE4E1D}">
      <dsp:nvSpPr>
        <dsp:cNvPr id="0" name=""/>
        <dsp:cNvSpPr/>
      </dsp:nvSpPr>
      <dsp:spPr>
        <a:xfrm>
          <a:off x="3230396" y="2232802"/>
          <a:ext cx="924412" cy="924412"/>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Employee Assistance Programs</a:t>
          </a:r>
        </a:p>
      </dsp:txBody>
      <dsp:txXfrm>
        <a:off x="3365773" y="2368179"/>
        <a:ext cx="653658" cy="653658"/>
      </dsp:txXfrm>
    </dsp:sp>
    <dsp:sp modelId="{0C5F2A69-6165-4B53-9000-E20245EF73ED}">
      <dsp:nvSpPr>
        <dsp:cNvPr id="0" name=""/>
        <dsp:cNvSpPr/>
      </dsp:nvSpPr>
      <dsp:spPr>
        <a:xfrm>
          <a:off x="1816500" y="2232802"/>
          <a:ext cx="924412" cy="924412"/>
        </a:xfrm>
        <a:prstGeom prst="ellipse">
          <a:avLst/>
        </a:prstGeom>
        <a:gradFill rotWithShape="0">
          <a:gsLst>
            <a:gs pos="0">
              <a:schemeClr val="accent6">
                <a:alpha val="50000"/>
                <a:hueOff val="0"/>
                <a:satOff val="0"/>
                <a:lumOff val="0"/>
                <a:alphaOff val="0"/>
                <a:satMod val="103000"/>
                <a:lumMod val="102000"/>
                <a:tint val="94000"/>
              </a:schemeClr>
            </a:gs>
            <a:gs pos="50000">
              <a:schemeClr val="accent6">
                <a:alpha val="50000"/>
                <a:hueOff val="0"/>
                <a:satOff val="0"/>
                <a:lumOff val="0"/>
                <a:alphaOff val="0"/>
                <a:satMod val="110000"/>
                <a:lumMod val="100000"/>
                <a:shade val="100000"/>
              </a:schemeClr>
            </a:gs>
            <a:gs pos="100000">
              <a:schemeClr val="accent6">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Staff Recognition Programs</a:t>
          </a:r>
        </a:p>
      </dsp:txBody>
      <dsp:txXfrm>
        <a:off x="1951877" y="2368179"/>
        <a:ext cx="653658" cy="653658"/>
      </dsp:txXfrm>
    </dsp:sp>
    <dsp:sp modelId="{AF540C0D-2F97-4E14-ADB9-550F55A55C6B}">
      <dsp:nvSpPr>
        <dsp:cNvPr id="0" name=""/>
        <dsp:cNvSpPr/>
      </dsp:nvSpPr>
      <dsp:spPr>
        <a:xfrm>
          <a:off x="1379582" y="888107"/>
          <a:ext cx="924412" cy="924412"/>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Improved Working Conditions</a:t>
          </a:r>
        </a:p>
      </dsp:txBody>
      <dsp:txXfrm>
        <a:off x="1514959" y="1023484"/>
        <a:ext cx="653658" cy="653658"/>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96B70F-E91E-4B54-8568-5418868B1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15</Pages>
  <Words>2529</Words>
  <Characters>14666</Characters>
  <Application>Microsoft Office Word</Application>
  <DocSecurity>0</DocSecurity>
  <Lines>290</Lines>
  <Paragraphs>73</Paragraphs>
  <ScaleCrop>false</ScaleCrop>
  <HeadingPairs>
    <vt:vector size="2" baseType="variant">
      <vt:variant>
        <vt:lpstr>Title</vt:lpstr>
      </vt:variant>
      <vt:variant>
        <vt:i4>1</vt:i4>
      </vt:variant>
    </vt:vector>
  </HeadingPairs>
  <TitlesOfParts>
    <vt:vector size="1" baseType="lpstr">
      <vt:lpstr>A2</vt:lpstr>
    </vt:vector>
  </TitlesOfParts>
  <Manager/>
  <Company/>
  <LinksUpToDate>false</LinksUpToDate>
  <CharactersWithSpaces>17118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A2</dc:title>
  <dc:subject>Managing People</dc:subject>
  <dc:creator>Constantin Somodi</dc:creator>
  <cp:keywords/>
  <dc:description/>
  <cp:lastModifiedBy>Constantin Somodi</cp:lastModifiedBy>
  <cp:revision>30</cp:revision>
  <dcterms:created xsi:type="dcterms:W3CDTF">2023-03-18T18:42:00Z</dcterms:created>
  <dcterms:modified xsi:type="dcterms:W3CDTF">2023-04-26T10:25:00Z</dcterms:modified>
  <cp:category/>
</cp:coreProperties>
</file>