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89488" w14:textId="77777777" w:rsidR="000405E5" w:rsidRPr="008A4667" w:rsidRDefault="00312B9B" w:rsidP="00BA2B34">
      <w:pPr>
        <w:spacing w:after="200" w:line="276" w:lineRule="auto"/>
        <w:jc w:val="center"/>
        <w:rPr>
          <w:rFonts w:eastAsiaTheme="minorEastAsia"/>
          <w:kern w:val="0"/>
          <w14:ligatures w14:val="none"/>
        </w:rPr>
      </w:pPr>
      <w:r w:rsidRPr="008A4667">
        <w:rPr>
          <w:rFonts w:eastAsiaTheme="minorEastAsia"/>
          <w:kern w:val="0"/>
          <w14:ligatures w14:val="none"/>
        </w:rPr>
        <w:t xml:space="preserve"> </w:t>
      </w:r>
    </w:p>
    <w:p w14:paraId="200D3D81" w14:textId="445979F5" w:rsidR="00BA2B34" w:rsidRPr="008A4667" w:rsidRDefault="00BA2B34" w:rsidP="00BA2B34">
      <w:pPr>
        <w:spacing w:after="200" w:line="276" w:lineRule="auto"/>
        <w:jc w:val="center"/>
        <w:rPr>
          <w:rFonts w:eastAsiaTheme="minorEastAsia"/>
          <w:kern w:val="0"/>
          <w14:ligatures w14:val="none"/>
        </w:rPr>
      </w:pPr>
      <w:r w:rsidRPr="008A4667">
        <w:rPr>
          <w:rFonts w:eastAsiaTheme="minorEastAsia"/>
          <w:noProof/>
          <w:kern w:val="0"/>
          <w14:ligatures w14:val="none"/>
        </w:rPr>
        <w:drawing>
          <wp:inline distT="0" distB="0" distL="0" distR="0" wp14:anchorId="1F1E18C4" wp14:editId="60A8D731">
            <wp:extent cx="2286000" cy="818810"/>
            <wp:effectExtent l="0" t="0" r="0" b="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pic:nvPicPr>
                  <pic:blipFill>
                    <a:blip r:embed="rId8"/>
                    <a:stretch>
                      <a:fillRect/>
                    </a:stretch>
                  </pic:blipFill>
                  <pic:spPr>
                    <a:xfrm>
                      <a:off x="0" y="0"/>
                      <a:ext cx="2286000" cy="818810"/>
                    </a:xfrm>
                    <a:prstGeom prst="rect">
                      <a:avLst/>
                    </a:prstGeom>
                  </pic:spPr>
                </pic:pic>
              </a:graphicData>
            </a:graphic>
          </wp:inline>
        </w:drawing>
      </w:r>
    </w:p>
    <w:p w14:paraId="36FD43EC" w14:textId="77777777" w:rsidR="00BA2B34" w:rsidRPr="008A4667" w:rsidRDefault="00BA2B34" w:rsidP="00BA2B34">
      <w:pPr>
        <w:spacing w:after="200" w:line="276" w:lineRule="auto"/>
        <w:rPr>
          <w:rFonts w:eastAsiaTheme="minorEastAsia"/>
          <w:kern w:val="0"/>
          <w14:ligatures w14:val="none"/>
        </w:rPr>
      </w:pPr>
    </w:p>
    <w:p w14:paraId="2D238835" w14:textId="77777777"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32"/>
          <w14:ligatures w14:val="none"/>
        </w:rPr>
        <w:t>University of Wales Trinity Saint David</w:t>
      </w:r>
    </w:p>
    <w:p w14:paraId="472D1A11" w14:textId="77777777"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i/>
          <w:kern w:val="0"/>
          <w:sz w:val="26"/>
          <w14:ligatures w14:val="none"/>
        </w:rPr>
        <w:t>Wales Institute of Science &amp; Art</w:t>
      </w:r>
    </w:p>
    <w:p w14:paraId="284DDC96" w14:textId="77777777" w:rsidR="00BA2B34" w:rsidRPr="008A4667" w:rsidRDefault="00BA2B34" w:rsidP="00BA2B34">
      <w:pPr>
        <w:spacing w:after="200" w:line="276" w:lineRule="auto"/>
        <w:rPr>
          <w:rFonts w:eastAsiaTheme="minorEastAsia"/>
          <w:kern w:val="0"/>
          <w14:ligatures w14:val="none"/>
        </w:rPr>
      </w:pPr>
    </w:p>
    <w:p w14:paraId="4E143B3C" w14:textId="77777777" w:rsidR="00BA2B34" w:rsidRPr="008A4667" w:rsidRDefault="00BA2B34" w:rsidP="00BA2B34">
      <w:pPr>
        <w:spacing w:after="200" w:line="276" w:lineRule="auto"/>
        <w:rPr>
          <w:rFonts w:eastAsiaTheme="minorEastAsia"/>
          <w:kern w:val="0"/>
          <w14:ligatures w14:val="none"/>
        </w:rPr>
      </w:pPr>
    </w:p>
    <w:p w14:paraId="79315757" w14:textId="1E957CFA" w:rsidR="00BA2B34" w:rsidRPr="008A4667" w:rsidRDefault="00D16038" w:rsidP="00BA2B34">
      <w:pPr>
        <w:spacing w:after="200" w:line="276" w:lineRule="auto"/>
        <w:jc w:val="center"/>
        <w:rPr>
          <w:rFonts w:eastAsiaTheme="minorEastAsia"/>
          <w:kern w:val="0"/>
          <w14:ligatures w14:val="none"/>
        </w:rPr>
      </w:pPr>
      <w:bookmarkStart w:id="0" w:name="_Hlk218796134"/>
      <w:r w:rsidRPr="008A4667">
        <w:rPr>
          <w:rFonts w:ascii="Calibri" w:eastAsiaTheme="minorEastAsia" w:hAnsi="Calibri"/>
          <w:b/>
          <w:kern w:val="0"/>
          <w:sz w:val="28"/>
          <w14:ligatures w14:val="none"/>
        </w:rPr>
        <w:t>ACMA5001</w:t>
      </w:r>
      <w:r w:rsidR="00BA2B34" w:rsidRPr="008A4667">
        <w:rPr>
          <w:rFonts w:ascii="Calibri" w:eastAsiaTheme="minorEastAsia" w:hAnsi="Calibri"/>
          <w:b/>
          <w:kern w:val="0"/>
          <w:sz w:val="28"/>
          <w14:ligatures w14:val="none"/>
        </w:rPr>
        <w:t xml:space="preserve"> – </w:t>
      </w:r>
      <w:r w:rsidRPr="008A4667">
        <w:rPr>
          <w:rFonts w:ascii="Calibri" w:eastAsiaTheme="minorEastAsia" w:hAnsi="Calibri"/>
          <w:b/>
          <w:kern w:val="0"/>
          <w:sz w:val="28"/>
          <w14:ligatures w14:val="none"/>
        </w:rPr>
        <w:t>Control &amp; Automation</w:t>
      </w:r>
    </w:p>
    <w:bookmarkEnd w:id="0"/>
    <w:p w14:paraId="74F0B00B" w14:textId="77777777" w:rsidR="00BA2B34" w:rsidRPr="008A4667" w:rsidRDefault="00BA2B34" w:rsidP="00BA2B34">
      <w:pPr>
        <w:spacing w:after="200" w:line="276" w:lineRule="auto"/>
        <w:rPr>
          <w:rFonts w:eastAsiaTheme="minorEastAsia"/>
          <w:kern w:val="0"/>
          <w14:ligatures w14:val="none"/>
        </w:rPr>
      </w:pPr>
    </w:p>
    <w:p w14:paraId="509E978C" w14:textId="77777777" w:rsidR="00BA2B34" w:rsidRPr="008A4667" w:rsidRDefault="00BA2B34" w:rsidP="00BA2B34">
      <w:pPr>
        <w:spacing w:after="200" w:line="276" w:lineRule="auto"/>
        <w:rPr>
          <w:rFonts w:eastAsiaTheme="minorEastAsia"/>
          <w:kern w:val="0"/>
          <w14:ligatures w14:val="none"/>
        </w:rPr>
      </w:pPr>
    </w:p>
    <w:p w14:paraId="284B1023" w14:textId="5E05E746" w:rsidR="00BA2B34" w:rsidRPr="008A4667" w:rsidRDefault="00D16038" w:rsidP="00D16038">
      <w:pPr>
        <w:spacing w:after="200" w:line="276" w:lineRule="auto"/>
        <w:jc w:val="center"/>
        <w:rPr>
          <w:rFonts w:eastAsiaTheme="minorEastAsia"/>
          <w:kern w:val="0"/>
          <w14:ligatures w14:val="none"/>
        </w:rPr>
      </w:pPr>
      <w:r w:rsidRPr="008A4667">
        <w:rPr>
          <w:rFonts w:ascii="Calibri" w:eastAsiaTheme="minorEastAsia" w:hAnsi="Calibri"/>
          <w:b/>
          <w:kern w:val="0"/>
          <w:sz w:val="28"/>
          <w14:ligatures w14:val="none"/>
        </w:rPr>
        <w:t>Application of automation in wastewater treatment</w:t>
      </w:r>
    </w:p>
    <w:p w14:paraId="62B6E82D" w14:textId="77777777"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Student Name: </w:t>
      </w:r>
      <w:r w:rsidRPr="008A4667">
        <w:rPr>
          <w:rFonts w:ascii="Calibri" w:eastAsiaTheme="minorEastAsia" w:hAnsi="Calibri"/>
          <w:kern w:val="0"/>
          <w:sz w:val="24"/>
          <w14:ligatures w14:val="none"/>
        </w:rPr>
        <w:t>Antony Gwilym Pugh</w:t>
      </w:r>
    </w:p>
    <w:p w14:paraId="1DF601E8" w14:textId="77777777"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Student Number: </w:t>
      </w:r>
      <w:r w:rsidRPr="008A4667">
        <w:rPr>
          <w:rFonts w:ascii="Calibri" w:eastAsiaTheme="minorEastAsia" w:hAnsi="Calibri"/>
          <w:kern w:val="0"/>
          <w:sz w:val="24"/>
          <w14:ligatures w14:val="none"/>
        </w:rPr>
        <w:t>2221728</w:t>
      </w:r>
    </w:p>
    <w:p w14:paraId="01B3E8EB" w14:textId="77777777"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Programme: </w:t>
      </w:r>
      <w:r w:rsidRPr="008A4667">
        <w:rPr>
          <w:rFonts w:ascii="Calibri" w:eastAsiaTheme="minorEastAsia" w:hAnsi="Calibri"/>
          <w:kern w:val="0"/>
          <w:sz w:val="24"/>
          <w14:ligatures w14:val="none"/>
        </w:rPr>
        <w:t>BEng (Hons) Mechanical Engineering</w:t>
      </w:r>
    </w:p>
    <w:p w14:paraId="6DFB255B" w14:textId="2213F02A"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Lecturer: </w:t>
      </w:r>
      <w:r w:rsidR="00D16038" w:rsidRPr="008A4667">
        <w:rPr>
          <w:rFonts w:ascii="Calibri" w:eastAsiaTheme="minorEastAsia" w:hAnsi="Calibri"/>
          <w:bCs/>
          <w:kern w:val="0"/>
          <w:sz w:val="24"/>
          <w14:ligatures w14:val="none"/>
        </w:rPr>
        <w:t>Rob Goodson</w:t>
      </w:r>
    </w:p>
    <w:p w14:paraId="56D517C9" w14:textId="5FA62A17"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Internal Verifier: </w:t>
      </w:r>
      <w:r w:rsidR="00D16038" w:rsidRPr="008A4667">
        <w:rPr>
          <w:rFonts w:ascii="Calibri" w:eastAsiaTheme="minorEastAsia" w:hAnsi="Calibri"/>
          <w:bCs/>
          <w:kern w:val="0"/>
          <w:sz w:val="24"/>
          <w14:ligatures w14:val="none"/>
        </w:rPr>
        <w:t>Kelvin Lake</w:t>
      </w:r>
    </w:p>
    <w:p w14:paraId="47FE5103" w14:textId="3E8868F3"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Submission Date: </w:t>
      </w:r>
      <w:r w:rsidR="00D16038" w:rsidRPr="008A4667">
        <w:rPr>
          <w:rFonts w:ascii="Calibri" w:eastAsiaTheme="minorEastAsia" w:hAnsi="Calibri"/>
          <w:kern w:val="0"/>
          <w:sz w:val="24"/>
          <w14:ligatures w14:val="none"/>
        </w:rPr>
        <w:t>27</w:t>
      </w:r>
      <w:r w:rsidR="00D16038" w:rsidRPr="008A4667">
        <w:rPr>
          <w:rFonts w:ascii="Calibri" w:eastAsiaTheme="minorEastAsia" w:hAnsi="Calibri"/>
          <w:kern w:val="0"/>
          <w:sz w:val="24"/>
          <w:vertAlign w:val="superscript"/>
          <w14:ligatures w14:val="none"/>
        </w:rPr>
        <w:t>th</w:t>
      </w:r>
      <w:r w:rsidRPr="008A4667">
        <w:rPr>
          <w:rFonts w:ascii="Calibri" w:eastAsiaTheme="minorEastAsia" w:hAnsi="Calibri"/>
          <w:kern w:val="0"/>
          <w:sz w:val="24"/>
          <w14:ligatures w14:val="none"/>
        </w:rPr>
        <w:t xml:space="preserve"> </w:t>
      </w:r>
      <w:r w:rsidR="00D16038" w:rsidRPr="008A4667">
        <w:rPr>
          <w:rFonts w:ascii="Calibri" w:eastAsiaTheme="minorEastAsia" w:hAnsi="Calibri"/>
          <w:kern w:val="0"/>
          <w:sz w:val="24"/>
          <w14:ligatures w14:val="none"/>
        </w:rPr>
        <w:t>April</w:t>
      </w:r>
      <w:r w:rsidRPr="008A4667">
        <w:rPr>
          <w:rFonts w:ascii="Calibri" w:eastAsiaTheme="minorEastAsia" w:hAnsi="Calibri"/>
          <w:kern w:val="0"/>
          <w:sz w:val="24"/>
          <w14:ligatures w14:val="none"/>
        </w:rPr>
        <w:t xml:space="preserve"> 202</w:t>
      </w:r>
      <w:r w:rsidR="00D16038" w:rsidRPr="008A4667">
        <w:rPr>
          <w:rFonts w:ascii="Calibri" w:eastAsiaTheme="minorEastAsia" w:hAnsi="Calibri"/>
          <w:kern w:val="0"/>
          <w:sz w:val="24"/>
          <w14:ligatures w14:val="none"/>
        </w:rPr>
        <w:t>6</w:t>
      </w:r>
    </w:p>
    <w:p w14:paraId="0276B583" w14:textId="219A6EE0" w:rsidR="00BA2B34" w:rsidRPr="008A4667" w:rsidRDefault="00BA2B34" w:rsidP="00BA2B34">
      <w:pPr>
        <w:spacing w:after="200" w:line="276" w:lineRule="auto"/>
        <w:jc w:val="center"/>
        <w:rPr>
          <w:rFonts w:eastAsiaTheme="minorEastAsia"/>
          <w:kern w:val="0"/>
          <w14:ligatures w14:val="none"/>
        </w:rPr>
      </w:pPr>
      <w:r w:rsidRPr="008A4667">
        <w:rPr>
          <w:rFonts w:ascii="Calibri" w:eastAsiaTheme="minorEastAsia" w:hAnsi="Calibri"/>
          <w:b/>
          <w:kern w:val="0"/>
          <w:sz w:val="24"/>
          <w14:ligatures w14:val="none"/>
        </w:rPr>
        <w:t xml:space="preserve">Word Count: </w:t>
      </w:r>
      <w:r w:rsidR="00C95B9C">
        <w:rPr>
          <w:rFonts w:ascii="Calibri" w:eastAsiaTheme="minorEastAsia" w:hAnsi="Calibri"/>
          <w:kern w:val="0"/>
          <w:sz w:val="24"/>
          <w14:ligatures w14:val="none"/>
        </w:rPr>
        <w:t>2</w:t>
      </w:r>
      <w:r w:rsidR="00D37A48">
        <w:rPr>
          <w:rFonts w:ascii="Calibri" w:eastAsiaTheme="minorEastAsia" w:hAnsi="Calibri"/>
          <w:kern w:val="0"/>
          <w:sz w:val="24"/>
          <w14:ligatures w14:val="none"/>
        </w:rPr>
        <w:t>5</w:t>
      </w:r>
      <w:r w:rsidR="00FA6338">
        <w:rPr>
          <w:rFonts w:ascii="Calibri" w:eastAsiaTheme="minorEastAsia" w:hAnsi="Calibri"/>
          <w:kern w:val="0"/>
          <w:sz w:val="24"/>
          <w14:ligatures w14:val="none"/>
        </w:rPr>
        <w:t>49</w:t>
      </w:r>
    </w:p>
    <w:p w14:paraId="60686C8F" w14:textId="23985982" w:rsidR="0002303C" w:rsidRPr="008A4667" w:rsidRDefault="00110533" w:rsidP="0002303C">
      <w:r w:rsidRPr="008A4667">
        <w:br w:type="page"/>
      </w:r>
    </w:p>
    <w:sdt>
      <w:sdtPr>
        <w:rPr>
          <w:rFonts w:asciiTheme="minorHAnsi" w:eastAsiaTheme="minorHAnsi" w:hAnsiTheme="minorHAnsi" w:cstheme="minorBidi"/>
          <w:color w:val="auto"/>
          <w:kern w:val="2"/>
          <w:sz w:val="22"/>
          <w:szCs w:val="22"/>
          <w:lang w:val="en-GB"/>
          <w14:ligatures w14:val="standardContextual"/>
        </w:rPr>
        <w:id w:val="1501081119"/>
        <w:docPartObj>
          <w:docPartGallery w:val="Table of Contents"/>
          <w:docPartUnique/>
        </w:docPartObj>
      </w:sdtPr>
      <w:sdtEndPr>
        <w:rPr>
          <w:b/>
          <w:bCs/>
          <w:noProof/>
        </w:rPr>
      </w:sdtEndPr>
      <w:sdtContent>
        <w:p w14:paraId="7517B90E" w14:textId="10852EFD" w:rsidR="007147C6" w:rsidRPr="008A4667" w:rsidRDefault="007147C6" w:rsidP="0002303C">
          <w:pPr>
            <w:pStyle w:val="TOCHeading"/>
            <w:rPr>
              <w:rFonts w:asciiTheme="minorHAnsi" w:eastAsiaTheme="minorHAnsi" w:hAnsiTheme="minorHAnsi" w:cstheme="minorBidi"/>
              <w:color w:val="auto"/>
              <w:kern w:val="2"/>
              <w:sz w:val="22"/>
              <w:szCs w:val="22"/>
              <w:lang w:val="en-GB"/>
              <w14:ligatures w14:val="standardContextual"/>
            </w:rPr>
          </w:pPr>
          <w:r w:rsidRPr="008A4667">
            <w:rPr>
              <w:lang w:val="en-GB"/>
            </w:rPr>
            <w:t>Contents</w:t>
          </w:r>
        </w:p>
        <w:p w14:paraId="7CF094CC" w14:textId="5CBD0D5D" w:rsidR="00FA6338" w:rsidRDefault="007147C6">
          <w:pPr>
            <w:pStyle w:val="TOC1"/>
            <w:tabs>
              <w:tab w:val="right" w:leader="dot" w:pos="9016"/>
            </w:tabs>
            <w:rPr>
              <w:rFonts w:eastAsiaTheme="minorEastAsia"/>
              <w:noProof/>
              <w:sz w:val="24"/>
              <w:szCs w:val="24"/>
              <w:lang w:val="en-US"/>
            </w:rPr>
          </w:pPr>
          <w:r w:rsidRPr="008A4667">
            <w:fldChar w:fldCharType="begin"/>
          </w:r>
          <w:r w:rsidRPr="008A4667">
            <w:instrText xml:space="preserve"> TOC \o "1-3" \h \z \u </w:instrText>
          </w:r>
          <w:r w:rsidRPr="008A4667">
            <w:fldChar w:fldCharType="separate"/>
          </w:r>
          <w:hyperlink w:anchor="_Toc228120029" w:history="1">
            <w:r w:rsidR="00FA6338" w:rsidRPr="0040271C">
              <w:rPr>
                <w:rStyle w:val="Hyperlink"/>
                <w:noProof/>
              </w:rPr>
              <w:t>Table of Figures</w:t>
            </w:r>
            <w:r w:rsidR="00FA6338">
              <w:rPr>
                <w:noProof/>
                <w:webHidden/>
              </w:rPr>
              <w:tab/>
            </w:r>
            <w:r w:rsidR="00FA6338">
              <w:rPr>
                <w:noProof/>
                <w:webHidden/>
              </w:rPr>
              <w:fldChar w:fldCharType="begin"/>
            </w:r>
            <w:r w:rsidR="00FA6338">
              <w:rPr>
                <w:noProof/>
                <w:webHidden/>
              </w:rPr>
              <w:instrText xml:space="preserve"> PAGEREF _Toc228120029 \h </w:instrText>
            </w:r>
            <w:r w:rsidR="00FA6338">
              <w:rPr>
                <w:noProof/>
                <w:webHidden/>
              </w:rPr>
            </w:r>
            <w:r w:rsidR="00FA6338">
              <w:rPr>
                <w:noProof/>
                <w:webHidden/>
              </w:rPr>
              <w:fldChar w:fldCharType="separate"/>
            </w:r>
            <w:r w:rsidR="00FA6338">
              <w:rPr>
                <w:noProof/>
                <w:webHidden/>
              </w:rPr>
              <w:t>1</w:t>
            </w:r>
            <w:r w:rsidR="00FA6338">
              <w:rPr>
                <w:noProof/>
                <w:webHidden/>
              </w:rPr>
              <w:fldChar w:fldCharType="end"/>
            </w:r>
          </w:hyperlink>
        </w:p>
        <w:p w14:paraId="3489538A" w14:textId="09AA45B5" w:rsidR="00FA6338" w:rsidRDefault="00FA6338">
          <w:pPr>
            <w:pStyle w:val="TOC1"/>
            <w:tabs>
              <w:tab w:val="right" w:leader="dot" w:pos="9016"/>
            </w:tabs>
            <w:rPr>
              <w:rFonts w:eastAsiaTheme="minorEastAsia"/>
              <w:noProof/>
              <w:sz w:val="24"/>
              <w:szCs w:val="24"/>
              <w:lang w:val="en-US"/>
            </w:rPr>
          </w:pPr>
          <w:hyperlink w:anchor="_Toc228120030" w:history="1">
            <w:r w:rsidRPr="0040271C">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_Toc228120030 \h </w:instrText>
            </w:r>
            <w:r>
              <w:rPr>
                <w:noProof/>
                <w:webHidden/>
              </w:rPr>
            </w:r>
            <w:r>
              <w:rPr>
                <w:noProof/>
                <w:webHidden/>
              </w:rPr>
              <w:fldChar w:fldCharType="separate"/>
            </w:r>
            <w:r>
              <w:rPr>
                <w:noProof/>
                <w:webHidden/>
              </w:rPr>
              <w:t>2</w:t>
            </w:r>
            <w:r>
              <w:rPr>
                <w:noProof/>
                <w:webHidden/>
              </w:rPr>
              <w:fldChar w:fldCharType="end"/>
            </w:r>
          </w:hyperlink>
        </w:p>
        <w:p w14:paraId="1356B1AC" w14:textId="40F83F16" w:rsidR="00FA6338" w:rsidRDefault="00FA6338">
          <w:pPr>
            <w:pStyle w:val="TOC1"/>
            <w:tabs>
              <w:tab w:val="right" w:leader="dot" w:pos="9016"/>
            </w:tabs>
            <w:rPr>
              <w:rFonts w:eastAsiaTheme="minorEastAsia"/>
              <w:noProof/>
              <w:sz w:val="24"/>
              <w:szCs w:val="24"/>
              <w:lang w:val="en-US"/>
            </w:rPr>
          </w:pPr>
          <w:hyperlink w:anchor="_Toc228120031" w:history="1">
            <w:r w:rsidRPr="0040271C">
              <w:rPr>
                <w:rStyle w:val="Hyperlink"/>
                <w:rFonts w:eastAsia="Times New Roman"/>
                <w:noProof/>
                <w:lang w:eastAsia="en-GB"/>
              </w:rPr>
              <w:t>2. Historical Development of ICA in Wastewater Treatment</w:t>
            </w:r>
            <w:r>
              <w:rPr>
                <w:noProof/>
                <w:webHidden/>
              </w:rPr>
              <w:tab/>
            </w:r>
            <w:r>
              <w:rPr>
                <w:noProof/>
                <w:webHidden/>
              </w:rPr>
              <w:fldChar w:fldCharType="begin"/>
            </w:r>
            <w:r>
              <w:rPr>
                <w:noProof/>
                <w:webHidden/>
              </w:rPr>
              <w:instrText xml:space="preserve"> PAGEREF _Toc228120031 \h </w:instrText>
            </w:r>
            <w:r>
              <w:rPr>
                <w:noProof/>
                <w:webHidden/>
              </w:rPr>
            </w:r>
            <w:r>
              <w:rPr>
                <w:noProof/>
                <w:webHidden/>
              </w:rPr>
              <w:fldChar w:fldCharType="separate"/>
            </w:r>
            <w:r>
              <w:rPr>
                <w:noProof/>
                <w:webHidden/>
              </w:rPr>
              <w:t>3</w:t>
            </w:r>
            <w:r>
              <w:rPr>
                <w:noProof/>
                <w:webHidden/>
              </w:rPr>
              <w:fldChar w:fldCharType="end"/>
            </w:r>
          </w:hyperlink>
        </w:p>
        <w:p w14:paraId="7FEAD378" w14:textId="1EFA1C86" w:rsidR="00FA6338" w:rsidRDefault="00FA6338">
          <w:pPr>
            <w:pStyle w:val="TOC1"/>
            <w:tabs>
              <w:tab w:val="right" w:leader="dot" w:pos="9016"/>
            </w:tabs>
            <w:rPr>
              <w:rFonts w:eastAsiaTheme="minorEastAsia"/>
              <w:noProof/>
              <w:sz w:val="24"/>
              <w:szCs w:val="24"/>
              <w:lang w:val="en-US"/>
            </w:rPr>
          </w:pPr>
          <w:hyperlink w:anchor="_Toc228120032" w:history="1">
            <w:r w:rsidRPr="0040271C">
              <w:rPr>
                <w:rStyle w:val="Hyperlink"/>
                <w:noProof/>
                <w:lang w:eastAsia="en-GB"/>
              </w:rPr>
              <w:t>3. Wastewater treatment and why ICA is needed</w:t>
            </w:r>
            <w:r>
              <w:rPr>
                <w:noProof/>
                <w:webHidden/>
              </w:rPr>
              <w:tab/>
            </w:r>
            <w:r>
              <w:rPr>
                <w:noProof/>
                <w:webHidden/>
              </w:rPr>
              <w:fldChar w:fldCharType="begin"/>
            </w:r>
            <w:r>
              <w:rPr>
                <w:noProof/>
                <w:webHidden/>
              </w:rPr>
              <w:instrText xml:space="preserve"> PAGEREF _Toc228120032 \h </w:instrText>
            </w:r>
            <w:r>
              <w:rPr>
                <w:noProof/>
                <w:webHidden/>
              </w:rPr>
            </w:r>
            <w:r>
              <w:rPr>
                <w:noProof/>
                <w:webHidden/>
              </w:rPr>
              <w:fldChar w:fldCharType="separate"/>
            </w:r>
            <w:r>
              <w:rPr>
                <w:noProof/>
                <w:webHidden/>
              </w:rPr>
              <w:t>4</w:t>
            </w:r>
            <w:r>
              <w:rPr>
                <w:noProof/>
                <w:webHidden/>
              </w:rPr>
              <w:fldChar w:fldCharType="end"/>
            </w:r>
          </w:hyperlink>
        </w:p>
        <w:p w14:paraId="6EBFA770" w14:textId="3A128858" w:rsidR="00FA6338" w:rsidRDefault="00FA6338">
          <w:pPr>
            <w:pStyle w:val="TOC1"/>
            <w:tabs>
              <w:tab w:val="right" w:leader="dot" w:pos="9016"/>
            </w:tabs>
            <w:rPr>
              <w:rFonts w:eastAsiaTheme="minorEastAsia"/>
              <w:noProof/>
              <w:sz w:val="24"/>
              <w:szCs w:val="24"/>
              <w:lang w:val="en-US"/>
            </w:rPr>
          </w:pPr>
          <w:hyperlink w:anchor="_Toc228120033" w:history="1">
            <w:r w:rsidRPr="0040271C">
              <w:rPr>
                <w:rStyle w:val="Hyperlink"/>
                <w:noProof/>
                <w:lang w:eastAsia="en-GB"/>
              </w:rPr>
              <w:t>4. Sensors and instrumentation</w:t>
            </w:r>
            <w:r>
              <w:rPr>
                <w:noProof/>
                <w:webHidden/>
              </w:rPr>
              <w:tab/>
            </w:r>
            <w:r>
              <w:rPr>
                <w:noProof/>
                <w:webHidden/>
              </w:rPr>
              <w:fldChar w:fldCharType="begin"/>
            </w:r>
            <w:r>
              <w:rPr>
                <w:noProof/>
                <w:webHidden/>
              </w:rPr>
              <w:instrText xml:space="preserve"> PAGEREF _Toc228120033 \h </w:instrText>
            </w:r>
            <w:r>
              <w:rPr>
                <w:noProof/>
                <w:webHidden/>
              </w:rPr>
            </w:r>
            <w:r>
              <w:rPr>
                <w:noProof/>
                <w:webHidden/>
              </w:rPr>
              <w:fldChar w:fldCharType="separate"/>
            </w:r>
            <w:r>
              <w:rPr>
                <w:noProof/>
                <w:webHidden/>
              </w:rPr>
              <w:t>4</w:t>
            </w:r>
            <w:r>
              <w:rPr>
                <w:noProof/>
                <w:webHidden/>
              </w:rPr>
              <w:fldChar w:fldCharType="end"/>
            </w:r>
          </w:hyperlink>
        </w:p>
        <w:p w14:paraId="498775D6" w14:textId="1B540E2C" w:rsidR="00FA6338" w:rsidRDefault="00FA6338">
          <w:pPr>
            <w:pStyle w:val="TOC1"/>
            <w:tabs>
              <w:tab w:val="right" w:leader="dot" w:pos="9016"/>
            </w:tabs>
            <w:rPr>
              <w:rFonts w:eastAsiaTheme="minorEastAsia"/>
              <w:noProof/>
              <w:sz w:val="24"/>
              <w:szCs w:val="24"/>
              <w:lang w:val="en-US"/>
            </w:rPr>
          </w:pPr>
          <w:hyperlink w:anchor="_Toc228120034" w:history="1">
            <w:r w:rsidRPr="0040271C">
              <w:rPr>
                <w:rStyle w:val="Hyperlink"/>
                <w:noProof/>
              </w:rPr>
              <w:t>5. Controllers and control strategies</w:t>
            </w:r>
            <w:r>
              <w:rPr>
                <w:noProof/>
                <w:webHidden/>
              </w:rPr>
              <w:tab/>
            </w:r>
            <w:r>
              <w:rPr>
                <w:noProof/>
                <w:webHidden/>
              </w:rPr>
              <w:fldChar w:fldCharType="begin"/>
            </w:r>
            <w:r>
              <w:rPr>
                <w:noProof/>
                <w:webHidden/>
              </w:rPr>
              <w:instrText xml:space="preserve"> PAGEREF _Toc228120034 \h </w:instrText>
            </w:r>
            <w:r>
              <w:rPr>
                <w:noProof/>
                <w:webHidden/>
              </w:rPr>
            </w:r>
            <w:r>
              <w:rPr>
                <w:noProof/>
                <w:webHidden/>
              </w:rPr>
              <w:fldChar w:fldCharType="separate"/>
            </w:r>
            <w:r>
              <w:rPr>
                <w:noProof/>
                <w:webHidden/>
              </w:rPr>
              <w:t>5</w:t>
            </w:r>
            <w:r>
              <w:rPr>
                <w:noProof/>
                <w:webHidden/>
              </w:rPr>
              <w:fldChar w:fldCharType="end"/>
            </w:r>
          </w:hyperlink>
        </w:p>
        <w:p w14:paraId="6CC08036" w14:textId="238880D3" w:rsidR="00FA6338" w:rsidRDefault="00FA6338">
          <w:pPr>
            <w:pStyle w:val="TOC1"/>
            <w:tabs>
              <w:tab w:val="right" w:leader="dot" w:pos="9016"/>
            </w:tabs>
            <w:rPr>
              <w:rFonts w:eastAsiaTheme="minorEastAsia"/>
              <w:noProof/>
              <w:sz w:val="24"/>
              <w:szCs w:val="24"/>
              <w:lang w:val="en-US"/>
            </w:rPr>
          </w:pPr>
          <w:hyperlink w:anchor="_Toc228120035" w:history="1">
            <w:r w:rsidRPr="0040271C">
              <w:rPr>
                <w:rStyle w:val="Hyperlink"/>
                <w:noProof/>
              </w:rPr>
              <w:t>6. Actuators and final control elements</w:t>
            </w:r>
            <w:r>
              <w:rPr>
                <w:noProof/>
                <w:webHidden/>
              </w:rPr>
              <w:tab/>
            </w:r>
            <w:r>
              <w:rPr>
                <w:noProof/>
                <w:webHidden/>
              </w:rPr>
              <w:fldChar w:fldCharType="begin"/>
            </w:r>
            <w:r>
              <w:rPr>
                <w:noProof/>
                <w:webHidden/>
              </w:rPr>
              <w:instrText xml:space="preserve"> PAGEREF _Toc228120035 \h </w:instrText>
            </w:r>
            <w:r>
              <w:rPr>
                <w:noProof/>
                <w:webHidden/>
              </w:rPr>
            </w:r>
            <w:r>
              <w:rPr>
                <w:noProof/>
                <w:webHidden/>
              </w:rPr>
              <w:fldChar w:fldCharType="separate"/>
            </w:r>
            <w:r>
              <w:rPr>
                <w:noProof/>
                <w:webHidden/>
              </w:rPr>
              <w:t>6</w:t>
            </w:r>
            <w:r>
              <w:rPr>
                <w:noProof/>
                <w:webHidden/>
              </w:rPr>
              <w:fldChar w:fldCharType="end"/>
            </w:r>
          </w:hyperlink>
        </w:p>
        <w:p w14:paraId="30037FEB" w14:textId="647A56A5" w:rsidR="00FA6338" w:rsidRDefault="00FA6338">
          <w:pPr>
            <w:pStyle w:val="TOC1"/>
            <w:tabs>
              <w:tab w:val="right" w:leader="dot" w:pos="9016"/>
            </w:tabs>
            <w:rPr>
              <w:rFonts w:eastAsiaTheme="minorEastAsia"/>
              <w:noProof/>
              <w:sz w:val="24"/>
              <w:szCs w:val="24"/>
              <w:lang w:val="en-US"/>
            </w:rPr>
          </w:pPr>
          <w:hyperlink w:anchor="_Toc228120036" w:history="1">
            <w:r w:rsidRPr="0040271C">
              <w:rPr>
                <w:rStyle w:val="Hyperlink"/>
                <w:noProof/>
              </w:rPr>
              <w:t>7. Supervisory control: SCADA, DCS and telemetry</w:t>
            </w:r>
            <w:r>
              <w:rPr>
                <w:noProof/>
                <w:webHidden/>
              </w:rPr>
              <w:tab/>
            </w:r>
            <w:r>
              <w:rPr>
                <w:noProof/>
                <w:webHidden/>
              </w:rPr>
              <w:fldChar w:fldCharType="begin"/>
            </w:r>
            <w:r>
              <w:rPr>
                <w:noProof/>
                <w:webHidden/>
              </w:rPr>
              <w:instrText xml:space="preserve"> PAGEREF _Toc228120036 \h </w:instrText>
            </w:r>
            <w:r>
              <w:rPr>
                <w:noProof/>
                <w:webHidden/>
              </w:rPr>
            </w:r>
            <w:r>
              <w:rPr>
                <w:noProof/>
                <w:webHidden/>
              </w:rPr>
              <w:fldChar w:fldCharType="separate"/>
            </w:r>
            <w:r>
              <w:rPr>
                <w:noProof/>
                <w:webHidden/>
              </w:rPr>
              <w:t>7</w:t>
            </w:r>
            <w:r>
              <w:rPr>
                <w:noProof/>
                <w:webHidden/>
              </w:rPr>
              <w:fldChar w:fldCharType="end"/>
            </w:r>
          </w:hyperlink>
        </w:p>
        <w:p w14:paraId="114F2E38" w14:textId="703D0228" w:rsidR="00FA6338" w:rsidRDefault="00FA6338">
          <w:pPr>
            <w:pStyle w:val="TOC1"/>
            <w:tabs>
              <w:tab w:val="right" w:leader="dot" w:pos="9016"/>
            </w:tabs>
            <w:rPr>
              <w:rFonts w:eastAsiaTheme="minorEastAsia"/>
              <w:noProof/>
              <w:sz w:val="24"/>
              <w:szCs w:val="24"/>
              <w:lang w:val="en-US"/>
            </w:rPr>
          </w:pPr>
          <w:hyperlink w:anchor="_Toc228120037" w:history="1">
            <w:r w:rsidRPr="0040271C">
              <w:rPr>
                <w:rStyle w:val="Hyperlink"/>
                <w:noProof/>
              </w:rPr>
              <w:t>8. Regulations and standards</w:t>
            </w:r>
            <w:r>
              <w:rPr>
                <w:noProof/>
                <w:webHidden/>
              </w:rPr>
              <w:tab/>
            </w:r>
            <w:r>
              <w:rPr>
                <w:noProof/>
                <w:webHidden/>
              </w:rPr>
              <w:fldChar w:fldCharType="begin"/>
            </w:r>
            <w:r>
              <w:rPr>
                <w:noProof/>
                <w:webHidden/>
              </w:rPr>
              <w:instrText xml:space="preserve"> PAGEREF _Toc228120037 \h </w:instrText>
            </w:r>
            <w:r>
              <w:rPr>
                <w:noProof/>
                <w:webHidden/>
              </w:rPr>
            </w:r>
            <w:r>
              <w:rPr>
                <w:noProof/>
                <w:webHidden/>
              </w:rPr>
              <w:fldChar w:fldCharType="separate"/>
            </w:r>
            <w:r>
              <w:rPr>
                <w:noProof/>
                <w:webHidden/>
              </w:rPr>
              <w:t>8</w:t>
            </w:r>
            <w:r>
              <w:rPr>
                <w:noProof/>
                <w:webHidden/>
              </w:rPr>
              <w:fldChar w:fldCharType="end"/>
            </w:r>
          </w:hyperlink>
        </w:p>
        <w:p w14:paraId="25ACD7A3" w14:textId="43AD3D83" w:rsidR="00FA6338" w:rsidRDefault="00FA6338">
          <w:pPr>
            <w:pStyle w:val="TOC1"/>
            <w:tabs>
              <w:tab w:val="right" w:leader="dot" w:pos="9016"/>
            </w:tabs>
            <w:rPr>
              <w:rFonts w:eastAsiaTheme="minorEastAsia"/>
              <w:noProof/>
              <w:sz w:val="24"/>
              <w:szCs w:val="24"/>
              <w:lang w:val="en-US"/>
            </w:rPr>
          </w:pPr>
          <w:hyperlink w:anchor="_Toc228120038" w:history="1">
            <w:r w:rsidRPr="0040271C">
              <w:rPr>
                <w:rStyle w:val="Hyperlink"/>
                <w:noProof/>
              </w:rPr>
              <w:t>9. Advanced and emerging technology</w:t>
            </w:r>
            <w:r>
              <w:rPr>
                <w:noProof/>
                <w:webHidden/>
              </w:rPr>
              <w:tab/>
            </w:r>
            <w:r>
              <w:rPr>
                <w:noProof/>
                <w:webHidden/>
              </w:rPr>
              <w:fldChar w:fldCharType="begin"/>
            </w:r>
            <w:r>
              <w:rPr>
                <w:noProof/>
                <w:webHidden/>
              </w:rPr>
              <w:instrText xml:space="preserve"> PAGEREF _Toc228120038 \h </w:instrText>
            </w:r>
            <w:r>
              <w:rPr>
                <w:noProof/>
                <w:webHidden/>
              </w:rPr>
            </w:r>
            <w:r>
              <w:rPr>
                <w:noProof/>
                <w:webHidden/>
              </w:rPr>
              <w:fldChar w:fldCharType="separate"/>
            </w:r>
            <w:r>
              <w:rPr>
                <w:noProof/>
                <w:webHidden/>
              </w:rPr>
              <w:t>8</w:t>
            </w:r>
            <w:r>
              <w:rPr>
                <w:noProof/>
                <w:webHidden/>
              </w:rPr>
              <w:fldChar w:fldCharType="end"/>
            </w:r>
          </w:hyperlink>
        </w:p>
        <w:p w14:paraId="72D95204" w14:textId="220CAD83" w:rsidR="00FA6338" w:rsidRDefault="00FA6338">
          <w:pPr>
            <w:pStyle w:val="TOC1"/>
            <w:tabs>
              <w:tab w:val="right" w:leader="dot" w:pos="9016"/>
            </w:tabs>
            <w:rPr>
              <w:rFonts w:eastAsiaTheme="minorEastAsia"/>
              <w:noProof/>
              <w:sz w:val="24"/>
              <w:szCs w:val="24"/>
              <w:lang w:val="en-US"/>
            </w:rPr>
          </w:pPr>
          <w:hyperlink w:anchor="_Toc228120039" w:history="1">
            <w:r w:rsidRPr="0040271C">
              <w:rPr>
                <w:rStyle w:val="Hyperlink"/>
                <w:noProof/>
              </w:rPr>
              <w:t>10. Critical analysis</w:t>
            </w:r>
            <w:r>
              <w:rPr>
                <w:noProof/>
                <w:webHidden/>
              </w:rPr>
              <w:tab/>
            </w:r>
            <w:r>
              <w:rPr>
                <w:noProof/>
                <w:webHidden/>
              </w:rPr>
              <w:fldChar w:fldCharType="begin"/>
            </w:r>
            <w:r>
              <w:rPr>
                <w:noProof/>
                <w:webHidden/>
              </w:rPr>
              <w:instrText xml:space="preserve"> PAGEREF _Toc228120039 \h </w:instrText>
            </w:r>
            <w:r>
              <w:rPr>
                <w:noProof/>
                <w:webHidden/>
              </w:rPr>
            </w:r>
            <w:r>
              <w:rPr>
                <w:noProof/>
                <w:webHidden/>
              </w:rPr>
              <w:fldChar w:fldCharType="separate"/>
            </w:r>
            <w:r>
              <w:rPr>
                <w:noProof/>
                <w:webHidden/>
              </w:rPr>
              <w:t>9</w:t>
            </w:r>
            <w:r>
              <w:rPr>
                <w:noProof/>
                <w:webHidden/>
              </w:rPr>
              <w:fldChar w:fldCharType="end"/>
            </w:r>
          </w:hyperlink>
        </w:p>
        <w:p w14:paraId="162C6070" w14:textId="61DF3983" w:rsidR="00FA6338" w:rsidRDefault="00FA6338">
          <w:pPr>
            <w:pStyle w:val="TOC1"/>
            <w:tabs>
              <w:tab w:val="right" w:leader="dot" w:pos="9016"/>
            </w:tabs>
            <w:rPr>
              <w:rFonts w:eastAsiaTheme="minorEastAsia"/>
              <w:noProof/>
              <w:sz w:val="24"/>
              <w:szCs w:val="24"/>
              <w:lang w:val="en-US"/>
            </w:rPr>
          </w:pPr>
          <w:hyperlink w:anchor="_Toc228120040" w:history="1">
            <w:r w:rsidRPr="0040271C">
              <w:rPr>
                <w:rStyle w:val="Hyperlink"/>
                <w:noProof/>
              </w:rPr>
              <w:t>11. Conclusion</w:t>
            </w:r>
            <w:r>
              <w:rPr>
                <w:noProof/>
                <w:webHidden/>
              </w:rPr>
              <w:tab/>
            </w:r>
            <w:r>
              <w:rPr>
                <w:noProof/>
                <w:webHidden/>
              </w:rPr>
              <w:fldChar w:fldCharType="begin"/>
            </w:r>
            <w:r>
              <w:rPr>
                <w:noProof/>
                <w:webHidden/>
              </w:rPr>
              <w:instrText xml:space="preserve"> PAGEREF _Toc228120040 \h </w:instrText>
            </w:r>
            <w:r>
              <w:rPr>
                <w:noProof/>
                <w:webHidden/>
              </w:rPr>
            </w:r>
            <w:r>
              <w:rPr>
                <w:noProof/>
                <w:webHidden/>
              </w:rPr>
              <w:fldChar w:fldCharType="separate"/>
            </w:r>
            <w:r>
              <w:rPr>
                <w:noProof/>
                <w:webHidden/>
              </w:rPr>
              <w:t>10</w:t>
            </w:r>
            <w:r>
              <w:rPr>
                <w:noProof/>
                <w:webHidden/>
              </w:rPr>
              <w:fldChar w:fldCharType="end"/>
            </w:r>
          </w:hyperlink>
        </w:p>
        <w:p w14:paraId="3F7C5B44" w14:textId="4E3C4B80" w:rsidR="00FA6338" w:rsidRDefault="00FA6338">
          <w:pPr>
            <w:pStyle w:val="TOC1"/>
            <w:tabs>
              <w:tab w:val="right" w:leader="dot" w:pos="9016"/>
            </w:tabs>
            <w:rPr>
              <w:rFonts w:eastAsiaTheme="minorEastAsia"/>
              <w:noProof/>
              <w:sz w:val="24"/>
              <w:szCs w:val="24"/>
              <w:lang w:val="en-US"/>
            </w:rPr>
          </w:pPr>
          <w:hyperlink w:anchor="_Toc228120041" w:history="1">
            <w:r w:rsidRPr="0040271C">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_Toc228120041 \h </w:instrText>
            </w:r>
            <w:r>
              <w:rPr>
                <w:noProof/>
                <w:webHidden/>
              </w:rPr>
            </w:r>
            <w:r>
              <w:rPr>
                <w:noProof/>
                <w:webHidden/>
              </w:rPr>
              <w:fldChar w:fldCharType="separate"/>
            </w:r>
            <w:r>
              <w:rPr>
                <w:noProof/>
                <w:webHidden/>
              </w:rPr>
              <w:t>11</w:t>
            </w:r>
            <w:r>
              <w:rPr>
                <w:noProof/>
                <w:webHidden/>
              </w:rPr>
              <w:fldChar w:fldCharType="end"/>
            </w:r>
          </w:hyperlink>
        </w:p>
        <w:p w14:paraId="2D7B604B" w14:textId="20C60A7C" w:rsidR="007147C6" w:rsidRPr="008A4667" w:rsidRDefault="007147C6">
          <w:r w:rsidRPr="008A4667">
            <w:rPr>
              <w:b/>
              <w:bCs/>
              <w:noProof/>
            </w:rPr>
            <w:fldChar w:fldCharType="end"/>
          </w:r>
        </w:p>
      </w:sdtContent>
    </w:sdt>
    <w:p w14:paraId="0D19582C" w14:textId="77777777" w:rsidR="00437076" w:rsidRPr="008A4667" w:rsidRDefault="00437076"/>
    <w:p w14:paraId="5D96E4C9" w14:textId="3E79EC45" w:rsidR="00437076" w:rsidRPr="008A4667" w:rsidRDefault="00437076"/>
    <w:p w14:paraId="355E497F" w14:textId="77777777" w:rsidR="00437076" w:rsidRPr="008A4667" w:rsidRDefault="00437076"/>
    <w:p w14:paraId="26E0871F" w14:textId="77777777" w:rsidR="00437076" w:rsidRPr="008A4667" w:rsidRDefault="00437076"/>
    <w:p w14:paraId="08AE81FD" w14:textId="77777777" w:rsidR="00437076" w:rsidRPr="008A4667" w:rsidRDefault="00437076"/>
    <w:p w14:paraId="64AB3E08" w14:textId="77777777" w:rsidR="00437076" w:rsidRPr="008A4667" w:rsidRDefault="00437076"/>
    <w:p w14:paraId="41F450A4" w14:textId="77777777" w:rsidR="00437076" w:rsidRPr="008A4667" w:rsidRDefault="00437076"/>
    <w:p w14:paraId="1259F0B1" w14:textId="77777777" w:rsidR="00437076" w:rsidRPr="008A4667" w:rsidRDefault="00437076">
      <w:pPr>
        <w:sectPr w:rsidR="00437076" w:rsidRPr="008A4667">
          <w:pgSz w:w="11906" w:h="16838"/>
          <w:pgMar w:top="1440" w:right="1440" w:bottom="1440" w:left="1440" w:header="708" w:footer="708" w:gutter="0"/>
          <w:cols w:space="708"/>
          <w:docGrid w:linePitch="360"/>
        </w:sectPr>
      </w:pPr>
    </w:p>
    <w:p w14:paraId="02060251" w14:textId="77777777" w:rsidR="007147C6" w:rsidRPr="008A4667" w:rsidRDefault="007147C6" w:rsidP="007147C6">
      <w:pPr>
        <w:pStyle w:val="Heading1"/>
      </w:pPr>
      <w:bookmarkStart w:id="1" w:name="_Toc228120029"/>
      <w:bookmarkStart w:id="2" w:name="_Toc212149345"/>
      <w:r w:rsidRPr="008A4667">
        <w:lastRenderedPageBreak/>
        <w:t>Table of Figures</w:t>
      </w:r>
      <w:bookmarkEnd w:id="1"/>
      <w:r w:rsidRPr="008A4667">
        <w:t xml:space="preserve"> </w:t>
      </w:r>
    </w:p>
    <w:p w14:paraId="223DFE42" w14:textId="1B8CFBE2" w:rsidR="00FA6338" w:rsidRDefault="00FA6338">
      <w:pPr>
        <w:pStyle w:val="TableofFigures"/>
        <w:tabs>
          <w:tab w:val="right" w:leader="dot" w:pos="9016"/>
        </w:tabs>
        <w:rPr>
          <w:rFonts w:eastAsiaTheme="minorEastAsia"/>
          <w:noProof/>
          <w:sz w:val="24"/>
          <w:szCs w:val="24"/>
          <w:lang w:val="en-US"/>
        </w:rPr>
      </w:pPr>
      <w:r>
        <w:fldChar w:fldCharType="begin"/>
      </w:r>
      <w:r>
        <w:instrText xml:space="preserve"> TOC \h \z \c "Figure" </w:instrText>
      </w:r>
      <w:r>
        <w:fldChar w:fldCharType="separate"/>
      </w:r>
      <w:hyperlink w:anchor="_Toc228120042" w:history="1">
        <w:r w:rsidRPr="00704D04">
          <w:rPr>
            <w:rStyle w:val="Hyperlink"/>
            <w:noProof/>
          </w:rPr>
          <w:t xml:space="preserve">Figure 1. Typical activated-sludge work </w:t>
        </w:r>
        <w:r w:rsidRPr="00704D04">
          <w:rPr>
            <w:rStyle w:val="Hyperlink"/>
            <w:noProof/>
            <w:lang w:eastAsia="en-GB"/>
          </w:rPr>
          <w:t>(Metcalf and Eddy, 2013).</w:t>
        </w:r>
        <w:r>
          <w:rPr>
            <w:noProof/>
            <w:webHidden/>
          </w:rPr>
          <w:tab/>
        </w:r>
        <w:r>
          <w:rPr>
            <w:noProof/>
            <w:webHidden/>
          </w:rPr>
          <w:fldChar w:fldCharType="begin"/>
        </w:r>
        <w:r>
          <w:rPr>
            <w:noProof/>
            <w:webHidden/>
          </w:rPr>
          <w:instrText xml:space="preserve"> PAGEREF _Toc228120042 \h </w:instrText>
        </w:r>
        <w:r>
          <w:rPr>
            <w:noProof/>
            <w:webHidden/>
          </w:rPr>
        </w:r>
        <w:r>
          <w:rPr>
            <w:noProof/>
            <w:webHidden/>
          </w:rPr>
          <w:fldChar w:fldCharType="separate"/>
        </w:r>
        <w:r>
          <w:rPr>
            <w:noProof/>
            <w:webHidden/>
          </w:rPr>
          <w:t>4</w:t>
        </w:r>
        <w:r>
          <w:rPr>
            <w:noProof/>
            <w:webHidden/>
          </w:rPr>
          <w:fldChar w:fldCharType="end"/>
        </w:r>
      </w:hyperlink>
    </w:p>
    <w:p w14:paraId="3F4FEEE9" w14:textId="53D452FA" w:rsidR="00FA6338" w:rsidRDefault="00FA6338">
      <w:pPr>
        <w:pStyle w:val="TableofFigures"/>
        <w:tabs>
          <w:tab w:val="right" w:leader="dot" w:pos="9016"/>
        </w:tabs>
        <w:rPr>
          <w:rFonts w:eastAsiaTheme="minorEastAsia"/>
          <w:noProof/>
          <w:sz w:val="24"/>
          <w:szCs w:val="24"/>
          <w:lang w:val="en-US"/>
        </w:rPr>
      </w:pPr>
      <w:hyperlink w:anchor="_Toc228120043" w:history="1">
        <w:r w:rsidRPr="00704D04">
          <w:rPr>
            <w:rStyle w:val="Hyperlink"/>
            <w:noProof/>
          </w:rPr>
          <w:t>Figure 2.  PID control loop for dissolved-oxygen control in an aeration tank (Zhou et al., 2022).</w:t>
        </w:r>
        <w:r>
          <w:rPr>
            <w:noProof/>
            <w:webHidden/>
          </w:rPr>
          <w:tab/>
        </w:r>
        <w:r>
          <w:rPr>
            <w:noProof/>
            <w:webHidden/>
          </w:rPr>
          <w:fldChar w:fldCharType="begin"/>
        </w:r>
        <w:r>
          <w:rPr>
            <w:noProof/>
            <w:webHidden/>
          </w:rPr>
          <w:instrText xml:space="preserve"> PAGEREF _Toc228120043 \h </w:instrText>
        </w:r>
        <w:r>
          <w:rPr>
            <w:noProof/>
            <w:webHidden/>
          </w:rPr>
        </w:r>
        <w:r>
          <w:rPr>
            <w:noProof/>
            <w:webHidden/>
          </w:rPr>
          <w:fldChar w:fldCharType="separate"/>
        </w:r>
        <w:r>
          <w:rPr>
            <w:noProof/>
            <w:webHidden/>
          </w:rPr>
          <w:t>5</w:t>
        </w:r>
        <w:r>
          <w:rPr>
            <w:noProof/>
            <w:webHidden/>
          </w:rPr>
          <w:fldChar w:fldCharType="end"/>
        </w:r>
      </w:hyperlink>
    </w:p>
    <w:p w14:paraId="788D3EAD" w14:textId="135718FB" w:rsidR="00FA6338" w:rsidRDefault="00FA6338">
      <w:pPr>
        <w:pStyle w:val="TableofFigures"/>
        <w:tabs>
          <w:tab w:val="right" w:leader="dot" w:pos="9016"/>
        </w:tabs>
        <w:rPr>
          <w:rFonts w:eastAsiaTheme="minorEastAsia"/>
          <w:noProof/>
          <w:sz w:val="24"/>
          <w:szCs w:val="24"/>
          <w:lang w:val="en-US"/>
        </w:rPr>
      </w:pPr>
      <w:hyperlink w:anchor="_Toc228120044" w:history="1">
        <w:r w:rsidRPr="00704D04">
          <w:rPr>
            <w:rStyle w:val="Hyperlink"/>
            <w:noProof/>
          </w:rPr>
          <w:t>Figure 3. Typical SCADA system architecture (Stouffer et al., 2023).</w:t>
        </w:r>
        <w:r>
          <w:rPr>
            <w:noProof/>
            <w:webHidden/>
          </w:rPr>
          <w:tab/>
        </w:r>
        <w:r>
          <w:rPr>
            <w:noProof/>
            <w:webHidden/>
          </w:rPr>
          <w:fldChar w:fldCharType="begin"/>
        </w:r>
        <w:r>
          <w:rPr>
            <w:noProof/>
            <w:webHidden/>
          </w:rPr>
          <w:instrText xml:space="preserve"> PAGEREF _Toc228120044 \h </w:instrText>
        </w:r>
        <w:r>
          <w:rPr>
            <w:noProof/>
            <w:webHidden/>
          </w:rPr>
        </w:r>
        <w:r>
          <w:rPr>
            <w:noProof/>
            <w:webHidden/>
          </w:rPr>
          <w:fldChar w:fldCharType="separate"/>
        </w:r>
        <w:r>
          <w:rPr>
            <w:noProof/>
            <w:webHidden/>
          </w:rPr>
          <w:t>7</w:t>
        </w:r>
        <w:r>
          <w:rPr>
            <w:noProof/>
            <w:webHidden/>
          </w:rPr>
          <w:fldChar w:fldCharType="end"/>
        </w:r>
      </w:hyperlink>
    </w:p>
    <w:p w14:paraId="33AB58A8" w14:textId="5DAA717A" w:rsidR="00D16038" w:rsidRPr="008A4667" w:rsidRDefault="00FA6338" w:rsidP="00D16038">
      <w:pPr>
        <w:pStyle w:val="TableofFigures"/>
        <w:tabs>
          <w:tab w:val="right" w:leader="dot" w:pos="9016"/>
        </w:tabs>
        <w:rPr>
          <w:vanish/>
        </w:rPr>
      </w:pPr>
      <w:r>
        <w:fldChar w:fldCharType="end"/>
      </w:r>
      <w:fldSimple w:instr=" TOC \h \z \c &quot;Figure&quot; "/>
      <w:r w:rsidR="007147C6" w:rsidRPr="008A4667">
        <w:br w:type="page"/>
      </w:r>
    </w:p>
    <w:p w14:paraId="331D469C" w14:textId="017C8531" w:rsidR="003531C9" w:rsidRPr="008A4667" w:rsidRDefault="003531C9" w:rsidP="003531C9">
      <w:pPr>
        <w:pStyle w:val="Heading1"/>
        <w:rPr>
          <w:rFonts w:eastAsia="Times New Roman"/>
          <w:lang w:eastAsia="en-GB"/>
        </w:rPr>
      </w:pPr>
      <w:bookmarkStart w:id="3" w:name="_Toc228120030"/>
      <w:bookmarkEnd w:id="2"/>
      <w:r w:rsidRPr="008A4667">
        <w:rPr>
          <w:rFonts w:eastAsia="Times New Roman"/>
          <w:lang w:eastAsia="en-GB"/>
        </w:rPr>
        <w:t>1. Introduction</w:t>
      </w:r>
      <w:bookmarkEnd w:id="3"/>
    </w:p>
    <w:p w14:paraId="3C2D1B5A" w14:textId="1961AB33" w:rsidR="003531C9" w:rsidRDefault="00496700" w:rsidP="00496700">
      <w:pPr>
        <w:spacing w:line="360" w:lineRule="auto"/>
        <w:rPr>
          <w:rFonts w:eastAsia="Times New Roman"/>
          <w:lang w:eastAsia="en-GB"/>
        </w:rPr>
      </w:pPr>
      <w:r>
        <w:rPr>
          <w:rFonts w:eastAsia="Times New Roman"/>
          <w:lang w:eastAsia="en-GB"/>
        </w:rPr>
        <w:t xml:space="preserve">Wastewater treatment is a critical component of modern infrastructure. It ensures the protection of public health and the environment through the safe processing of sewage and industrial effluents. As time goes on, we are faced </w:t>
      </w:r>
      <w:r w:rsidR="00B838AC">
        <w:rPr>
          <w:rFonts w:eastAsia="Times New Roman"/>
          <w:lang w:eastAsia="en-GB"/>
        </w:rPr>
        <w:t xml:space="preserve">with </w:t>
      </w:r>
      <w:r>
        <w:rPr>
          <w:rFonts w:eastAsia="Times New Roman"/>
          <w:lang w:eastAsia="en-GB"/>
        </w:rPr>
        <w:t>population growth, urbanisation, and increasing regulatory pressures. This means wastewater treatment works (</w:t>
      </w:r>
      <w:proofErr w:type="spellStart"/>
      <w:r>
        <w:rPr>
          <w:rFonts w:eastAsia="Times New Roman"/>
          <w:lang w:eastAsia="en-GB"/>
        </w:rPr>
        <w:t>WwTWs</w:t>
      </w:r>
      <w:proofErr w:type="spellEnd"/>
      <w:r>
        <w:rPr>
          <w:rFonts w:eastAsia="Times New Roman"/>
          <w:lang w:eastAsia="en-GB"/>
        </w:rPr>
        <w:t xml:space="preserve">) are required to operate with greater efficiency, reliability and consistency than ever before. Manual operation alone is no longer sufficient to meet these demands. Particularly given the variability in influent conditions and the strict discharge standards imposed by legislation. </w:t>
      </w:r>
    </w:p>
    <w:p w14:paraId="342C0065" w14:textId="4F0A9764" w:rsidR="00496700" w:rsidRDefault="00892654" w:rsidP="00496700">
      <w:pPr>
        <w:spacing w:line="360" w:lineRule="auto"/>
        <w:rPr>
          <w:rFonts w:eastAsia="Times New Roman"/>
          <w:lang w:eastAsia="en-GB"/>
        </w:rPr>
      </w:pPr>
      <w:r>
        <w:rPr>
          <w:rFonts w:eastAsia="Times New Roman"/>
          <w:lang w:eastAsia="en-GB"/>
        </w:rPr>
        <w:t xml:space="preserve">Instrumentation, Control and Automation (ICA) systems have therefore become fundamental to the operation of modern wastewater treatment plants. By integrating sensors, controllers, actuators, and supervisory systems, ICA enables real time monitoring. It also manages, closed loop control of key process variables such as flow, dissolved oxygen, pH and nutrient concentrations. This allows treatment processes to be optimised continuously, improving effluent quality while minimising energy and chemical consumption. </w:t>
      </w:r>
    </w:p>
    <w:p w14:paraId="1F94723C" w14:textId="3EDED162" w:rsidR="00892654" w:rsidRPr="008A4667" w:rsidRDefault="00892654" w:rsidP="00496700">
      <w:pPr>
        <w:spacing w:line="360" w:lineRule="auto"/>
        <w:rPr>
          <w:rFonts w:eastAsia="Times New Roman"/>
          <w:lang w:eastAsia="en-GB"/>
        </w:rPr>
      </w:pPr>
      <w:r>
        <w:rPr>
          <w:rFonts w:eastAsia="Times New Roman"/>
          <w:lang w:eastAsia="en-GB"/>
        </w:rPr>
        <w:t xml:space="preserve">This report explores the application of automation with wastewater treatment, beginning with the historical development of control systems. Then progressing through the key components of modern </w:t>
      </w:r>
      <w:r w:rsidR="001C68A2">
        <w:rPr>
          <w:rFonts w:eastAsia="Times New Roman"/>
          <w:lang w:eastAsia="en-GB"/>
        </w:rPr>
        <w:t xml:space="preserve">ICA, including instrumentation, control strategies and supervisory systems. It also examines the regulatory framework driving automation adoption, alongside emerging technologies such as digital twins and machine learning. Finally, a critical analysis is presented to evaluate both the benefits and limitations of automation in this sector. Thus, providing a balanced view of its current effectiveness and future potential. </w:t>
      </w:r>
    </w:p>
    <w:p w14:paraId="0A910FD2" w14:textId="77777777" w:rsidR="003531C9" w:rsidRPr="008A4667" w:rsidRDefault="003531C9">
      <w:pPr>
        <w:rPr>
          <w:rFonts w:eastAsia="Times New Roman"/>
          <w:lang w:eastAsia="en-GB"/>
        </w:rPr>
      </w:pPr>
      <w:r w:rsidRPr="008A4667">
        <w:rPr>
          <w:rFonts w:eastAsia="Times New Roman"/>
          <w:lang w:eastAsia="en-GB"/>
        </w:rPr>
        <w:br w:type="page"/>
      </w:r>
    </w:p>
    <w:p w14:paraId="05078E0C" w14:textId="77777777" w:rsidR="003531C9" w:rsidRPr="008A4667" w:rsidRDefault="003531C9" w:rsidP="003531C9">
      <w:pPr>
        <w:pStyle w:val="Heading1"/>
        <w:rPr>
          <w:rFonts w:eastAsia="Times New Roman"/>
          <w:lang w:eastAsia="en-GB"/>
        </w:rPr>
      </w:pPr>
      <w:bookmarkStart w:id="4" w:name="_Toc228120031"/>
      <w:r w:rsidRPr="008A4667">
        <w:rPr>
          <w:rFonts w:eastAsia="Times New Roman"/>
          <w:lang w:eastAsia="en-GB"/>
        </w:rPr>
        <w:lastRenderedPageBreak/>
        <w:t>2. Historical Development of ICA in Wastewater Treatment</w:t>
      </w:r>
      <w:bookmarkEnd w:id="4"/>
    </w:p>
    <w:p w14:paraId="7D978857" w14:textId="745AFCDF" w:rsidR="001E0FE7" w:rsidRPr="008A4667" w:rsidRDefault="00D313DD" w:rsidP="001E0FE7">
      <w:pPr>
        <w:spacing w:line="360" w:lineRule="auto"/>
        <w:rPr>
          <w:lang w:eastAsia="en-GB"/>
        </w:rPr>
      </w:pPr>
      <w:r w:rsidRPr="008A4667">
        <w:rPr>
          <w:lang w:eastAsia="en-GB"/>
        </w:rPr>
        <w:t>Automatic control predates the water industry by almost a century. In 1868 James Clerk Maxwell published ‘</w:t>
      </w:r>
      <w:bookmarkStart w:id="5" w:name="_Hlk228107215"/>
      <w:r w:rsidRPr="008A4667">
        <w:rPr>
          <w:lang w:eastAsia="en-GB"/>
        </w:rPr>
        <w:t>On governors’, the first differential</w:t>
      </w:r>
      <w:r w:rsidR="00682C06" w:rsidRPr="008A4667">
        <w:rPr>
          <w:lang w:eastAsia="en-GB"/>
        </w:rPr>
        <w:t xml:space="preserve"> </w:t>
      </w:r>
      <w:r w:rsidRPr="008A4667">
        <w:rPr>
          <w:lang w:eastAsia="en-GB"/>
        </w:rPr>
        <w:t>equation analysis of the centrifugal flyball governor</w:t>
      </w:r>
      <w:bookmarkEnd w:id="5"/>
      <w:r w:rsidRPr="008A4667">
        <w:rPr>
          <w:lang w:eastAsia="en-GB"/>
        </w:rPr>
        <w:t xml:space="preserve">. It is used to regulate </w:t>
      </w:r>
      <w:r w:rsidR="00B533E5" w:rsidRPr="008A4667">
        <w:rPr>
          <w:lang w:eastAsia="en-GB"/>
        </w:rPr>
        <w:t>steam</w:t>
      </w:r>
      <w:r w:rsidR="00682C06" w:rsidRPr="008A4667">
        <w:rPr>
          <w:lang w:eastAsia="en-GB"/>
        </w:rPr>
        <w:t xml:space="preserve"> </w:t>
      </w:r>
      <w:r w:rsidR="00B533E5" w:rsidRPr="008A4667">
        <w:rPr>
          <w:lang w:eastAsia="en-GB"/>
        </w:rPr>
        <w:t xml:space="preserve">engine </w:t>
      </w:r>
      <w:r w:rsidR="00344C96" w:rsidRPr="008A4667">
        <w:rPr>
          <w:lang w:eastAsia="en-GB"/>
        </w:rPr>
        <w:t>speed. Before that, setting a throttle valve for a given speed was a matter of day</w:t>
      </w:r>
      <w:r w:rsidR="00A24699">
        <w:rPr>
          <w:lang w:eastAsia="en-GB"/>
        </w:rPr>
        <w:t>s</w:t>
      </w:r>
      <w:r w:rsidR="00344C96" w:rsidRPr="008A4667">
        <w:rPr>
          <w:lang w:eastAsia="en-GB"/>
        </w:rPr>
        <w:t>, weeks or months via trial and error. This meant any disturbance in the steam supply defeated the operator’s intuition</w:t>
      </w:r>
      <w:r w:rsidR="001E0FE7" w:rsidRPr="008A4667">
        <w:rPr>
          <w:rFonts w:ascii="Times New Roman" w:eastAsia="Times New Roman" w:hAnsi="Times New Roman" w:cs="Times New Roman"/>
          <w:kern w:val="0"/>
          <w:sz w:val="24"/>
          <w:szCs w:val="24"/>
          <w14:ligatures w14:val="none"/>
        </w:rPr>
        <w:t xml:space="preserve"> </w:t>
      </w:r>
      <w:r w:rsidR="001E0FE7" w:rsidRPr="008A4667">
        <w:t xml:space="preserve">(Maxwell, 1868). Engineers expressed the governor as a linear differential equation and used the Laplace transform to </w:t>
      </w:r>
      <w:r w:rsidR="001E0FE7" w:rsidRPr="008A4667">
        <w:rPr>
          <w:lang w:eastAsia="en-GB"/>
        </w:rPr>
        <w:t>map it to the s-plane. This meant they could determine stability f</w:t>
      </w:r>
      <w:r w:rsidR="00A24699">
        <w:rPr>
          <w:lang w:eastAsia="en-GB"/>
        </w:rPr>
        <w:t>ro</w:t>
      </w:r>
      <w:r w:rsidR="001E0FE7" w:rsidRPr="008A4667">
        <w:rPr>
          <w:lang w:eastAsia="en-GB"/>
        </w:rPr>
        <w:t>m the sign of the system poles. All poles in the left half- plane indicate stability, and any pole in the right half-plane implied instability. While any poles on the imaginary axis correspond to the marginally stable case</w:t>
      </w:r>
      <w:r w:rsidR="00A24699">
        <w:rPr>
          <w:lang w:eastAsia="en-GB"/>
        </w:rPr>
        <w:t xml:space="preserve"> </w:t>
      </w:r>
      <w:r w:rsidR="00A24699" w:rsidRPr="00A24699">
        <w:rPr>
          <w:lang w:eastAsia="en-GB"/>
        </w:rPr>
        <w:t>(Åström and Murray, 2008)</w:t>
      </w:r>
      <w:r w:rsidR="001E0FE7" w:rsidRPr="00A24699">
        <w:rPr>
          <w:lang w:eastAsia="en-GB"/>
        </w:rPr>
        <w:t>.</w:t>
      </w:r>
    </w:p>
    <w:p w14:paraId="254B0E4E" w14:textId="77777777" w:rsidR="002F6C28" w:rsidRDefault="00CA545B" w:rsidP="00BE331B">
      <w:pPr>
        <w:spacing w:after="0" w:line="360" w:lineRule="auto"/>
        <w:rPr>
          <w:lang w:eastAsia="en-GB"/>
        </w:rPr>
      </w:pPr>
      <w:r w:rsidRPr="008A4667">
        <w:rPr>
          <w:lang w:eastAsia="en-GB"/>
        </w:rPr>
        <w:t>Pneumatic control dominated the process industries from the 1930s to the 1970s because compressed air was already available and intrinsically safe. This was especially important in petrochemical environments wh</w:t>
      </w:r>
      <w:r w:rsidR="00B838AC">
        <w:rPr>
          <w:lang w:eastAsia="en-GB"/>
        </w:rPr>
        <w:t>ere</w:t>
      </w:r>
      <w:r w:rsidRPr="008A4667">
        <w:rPr>
          <w:lang w:eastAsia="en-GB"/>
        </w:rPr>
        <w:t xml:space="preserve"> explosive atmosphere may be present</w:t>
      </w:r>
      <w:r w:rsidR="00B838AC">
        <w:rPr>
          <w:lang w:eastAsia="en-GB"/>
        </w:rPr>
        <w:t xml:space="preserve">, </w:t>
      </w:r>
      <w:r w:rsidRPr="008A4667">
        <w:rPr>
          <w:lang w:eastAsia="en-GB"/>
        </w:rPr>
        <w:t>and it’s relatively easy to transmit</w:t>
      </w:r>
      <w:r w:rsidR="00B838AC">
        <w:rPr>
          <w:lang w:eastAsia="en-GB"/>
        </w:rPr>
        <w:t xml:space="preserve"> over distance</w:t>
      </w:r>
      <w:r w:rsidRPr="008A4667">
        <w:rPr>
          <w:lang w:eastAsia="en-GB"/>
        </w:rPr>
        <w:t xml:space="preserve">. Pneumatic signals are carried in the range of 20-100 </w:t>
      </w:r>
      <w:r w:rsidR="00B838AC">
        <w:rPr>
          <w:lang w:eastAsia="en-GB"/>
        </w:rPr>
        <w:t>kP</w:t>
      </w:r>
      <w:r w:rsidRPr="008A4667">
        <w:rPr>
          <w:lang w:eastAsia="en-GB"/>
        </w:rPr>
        <w:t>a (0.2-1.0 bar gauge) and are converted to and from electrical signals by I/P converters. The current-loop standard today is 4-20 mA, rather th</w:t>
      </w:r>
      <w:r w:rsidR="00B838AC">
        <w:rPr>
          <w:lang w:eastAsia="en-GB"/>
        </w:rPr>
        <w:t>an a 0 based scale</w:t>
      </w:r>
      <w:r w:rsidRPr="008A4667">
        <w:rPr>
          <w:lang w:eastAsia="en-GB"/>
        </w:rPr>
        <w:t xml:space="preserve">. The new system was adopted so that a reading of 0 mA </w:t>
      </w:r>
      <w:r w:rsidR="00F16D93" w:rsidRPr="008A4667">
        <w:rPr>
          <w:lang w:eastAsia="en-GB"/>
        </w:rPr>
        <w:t>indicates a broken loop rather than a genuine zero.</w:t>
      </w:r>
      <w:r w:rsidR="00BE331B">
        <w:rPr>
          <w:lang w:eastAsia="en-GB"/>
        </w:rPr>
        <w:t xml:space="preserve"> </w:t>
      </w:r>
    </w:p>
    <w:p w14:paraId="481583B0" w14:textId="4B70977C" w:rsidR="00BE331B" w:rsidRPr="00BC1CEC" w:rsidRDefault="00BE331B" w:rsidP="00BE331B">
      <w:pPr>
        <w:spacing w:after="0" w:line="360" w:lineRule="auto"/>
        <w:rPr>
          <w:rFonts w:ascii="Times New Roman" w:eastAsia="Times New Roman" w:hAnsi="Times New Roman" w:cs="Times New Roman"/>
          <w:kern w:val="0"/>
          <w:lang w:eastAsia="en-GB"/>
          <w14:ligatures w14:val="none"/>
        </w:rPr>
      </w:pPr>
      <w:r w:rsidRPr="00BE331B">
        <w:rPr>
          <w:rFonts w:ascii="Times New Roman" w:eastAsia="Times New Roman" w:hAnsi="Times New Roman" w:cs="Times New Roman"/>
          <w:kern w:val="0"/>
          <w:lang w:eastAsia="en-GB"/>
          <w14:ligatures w14:val="none"/>
        </w:rPr>
        <w:br/>
      </w:r>
      <m:oMathPara>
        <m:oMath>
          <m:r>
            <m:rPr>
              <m:nor/>
            </m:rPr>
            <w:rPr>
              <w:rFonts w:ascii="Times New Roman" w:eastAsia="Times New Roman" w:hAnsi="Times New Roman" w:cs="Times New Roman"/>
              <w:kern w:val="0"/>
              <w:lang w:eastAsia="en-GB"/>
              <w14:ligatures w14:val="none"/>
            </w:rPr>
            <m:t>Percentage</m:t>
          </m:r>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I-4</m:t>
              </m:r>
            </m:num>
            <m:den>
              <m:r>
                <w:rPr>
                  <w:rFonts w:ascii="Cambria Math" w:eastAsia="Times New Roman" w:hAnsi="Cambria Math" w:cs="Times New Roman"/>
                  <w:kern w:val="0"/>
                  <w:lang w:eastAsia="en-GB"/>
                  <w14:ligatures w14:val="none"/>
                </w:rPr>
                <m:t>16</m:t>
              </m:r>
            </m:den>
          </m:f>
          <m:r>
            <w:rPr>
              <w:rFonts w:ascii="Cambria Math" w:eastAsia="Times New Roman" w:hAnsi="Cambria Math" w:cs="Times New Roman"/>
              <w:kern w:val="0"/>
              <w:lang w:eastAsia="en-GB"/>
              <w14:ligatures w14:val="none"/>
            </w:rPr>
            <m:t>×100</m:t>
          </m:r>
        </m:oMath>
      </m:oMathPara>
    </w:p>
    <w:p w14:paraId="0B48E388" w14:textId="48BB42D9" w:rsidR="00CF72A1" w:rsidRPr="008A4667" w:rsidRDefault="00BE331B" w:rsidP="00BE331B">
      <w:pPr>
        <w:spacing w:before="100" w:beforeAutospacing="1" w:after="100" w:afterAutospacing="1" w:line="360" w:lineRule="auto"/>
        <w:rPr>
          <w:lang w:eastAsia="en-GB"/>
        </w:rPr>
      </w:pPr>
      <w:r>
        <w:rPr>
          <w:lang w:eastAsia="en-GB"/>
        </w:rPr>
        <w:t>W</w:t>
      </w:r>
      <w:r w:rsidRPr="00BE331B">
        <w:rPr>
          <w:lang w:eastAsia="en-GB"/>
        </w:rPr>
        <w:t>here</w:t>
      </w:r>
      <w:r w:rsidRPr="00BC1CEC">
        <w:rPr>
          <w:rFonts w:ascii="Times New Roman" w:eastAsia="Times New Roman" w:hAnsi="Times New Roman" w:cs="Times New Roman"/>
          <w:color w:val="000000"/>
          <w:kern w:val="0"/>
          <w:lang w:eastAsia="en-GB"/>
          <w14:ligatures w14:val="none"/>
        </w:rPr>
        <w:t> </w:t>
      </w:r>
      <m:oMath>
        <m:r>
          <w:rPr>
            <w:rFonts w:ascii="Cambria Math" w:eastAsia="Times New Roman" w:hAnsi="Cambria Math" w:cs="Times New Roman"/>
            <w:kern w:val="0"/>
            <w:lang w:eastAsia="en-GB"/>
            <w14:ligatures w14:val="none"/>
          </w:rPr>
          <m:t>I</m:t>
        </m:r>
      </m:oMath>
      <w:r w:rsidRPr="00BC1CEC">
        <w:rPr>
          <w:rFonts w:ascii="Times New Roman" w:eastAsia="Times New Roman" w:hAnsi="Times New Roman" w:cs="Times New Roman"/>
          <w:color w:val="000000"/>
          <w:kern w:val="0"/>
          <w:lang w:eastAsia="en-GB"/>
          <w14:ligatures w14:val="none"/>
        </w:rPr>
        <w:t> </w:t>
      </w:r>
      <w:r w:rsidRPr="00BE331B">
        <w:rPr>
          <w:lang w:eastAsia="en-GB"/>
        </w:rPr>
        <w:t>is the measured current in mA.</w:t>
      </w:r>
      <w:r w:rsidR="00F16D93" w:rsidRPr="008A4667">
        <w:rPr>
          <w:lang w:eastAsia="en-GB"/>
        </w:rPr>
        <w:t xml:space="preserve"> The ‘live zero’ principle remains the norm today</w:t>
      </w:r>
      <w:r w:rsidR="00F16D93" w:rsidRPr="008A4667">
        <w:rPr>
          <w:rFonts w:ascii="Times New Roman" w:eastAsia="Times New Roman" w:hAnsi="Times New Roman" w:cs="Times New Roman"/>
          <w:kern w:val="0"/>
          <w:sz w:val="24"/>
          <w:szCs w:val="24"/>
          <w14:ligatures w14:val="none"/>
        </w:rPr>
        <w:t xml:space="preserve"> </w:t>
      </w:r>
      <w:r w:rsidR="00F16D93" w:rsidRPr="008A4667">
        <w:rPr>
          <w:lang w:eastAsia="en-GB"/>
        </w:rPr>
        <w:t>(Bolton, 2015). The arrival of the microprocessor in the 1970s forced the industry to move to sampled-data digital control</w:t>
      </w:r>
      <w:r w:rsidR="008A2602" w:rsidRPr="008A4667">
        <w:rPr>
          <w:lang w:eastAsia="en-GB"/>
        </w:rPr>
        <w:t xml:space="preserve">. This in turn gave rise to the Programmable Logic Controller (PLC), which was developed at </w:t>
      </w:r>
      <w:r w:rsidR="002145E6" w:rsidRPr="008A4667">
        <w:rPr>
          <w:lang w:eastAsia="en-GB"/>
        </w:rPr>
        <w:t>General Motors as a relay</w:t>
      </w:r>
      <w:r w:rsidR="00682C06" w:rsidRPr="008A4667">
        <w:rPr>
          <w:lang w:eastAsia="en-GB"/>
        </w:rPr>
        <w:t xml:space="preserve"> </w:t>
      </w:r>
      <w:r w:rsidR="002145E6" w:rsidRPr="008A4667">
        <w:rPr>
          <w:lang w:eastAsia="en-GB"/>
        </w:rPr>
        <w:t>replacement technology for automotive assembly line (Bolton, 2015).</w:t>
      </w:r>
    </w:p>
    <w:p w14:paraId="1798DE45" w14:textId="77777777" w:rsidR="0063196D" w:rsidRPr="008A4667" w:rsidRDefault="0063196D" w:rsidP="00CF72A1">
      <w:pPr>
        <w:pStyle w:val="Heading1"/>
        <w:rPr>
          <w:lang w:eastAsia="en-GB"/>
        </w:rPr>
      </w:pPr>
    </w:p>
    <w:p w14:paraId="67244569" w14:textId="77777777" w:rsidR="0063196D" w:rsidRPr="008A4667" w:rsidRDefault="0063196D">
      <w:pPr>
        <w:rPr>
          <w:rFonts w:asciiTheme="majorHAnsi" w:eastAsiaTheme="majorEastAsia" w:hAnsiTheme="majorHAnsi" w:cstheme="majorBidi"/>
          <w:color w:val="2F5496" w:themeColor="accent1" w:themeShade="BF"/>
          <w:sz w:val="40"/>
          <w:szCs w:val="40"/>
          <w:lang w:eastAsia="en-GB"/>
        </w:rPr>
      </w:pPr>
      <w:r w:rsidRPr="008A4667">
        <w:rPr>
          <w:lang w:eastAsia="en-GB"/>
        </w:rPr>
        <w:br w:type="page"/>
      </w:r>
    </w:p>
    <w:p w14:paraId="0CBAF465" w14:textId="64AC875D" w:rsidR="00CF72A1" w:rsidRPr="008A4667" w:rsidRDefault="00CF72A1" w:rsidP="00CF72A1">
      <w:pPr>
        <w:pStyle w:val="Heading1"/>
        <w:rPr>
          <w:lang w:eastAsia="en-GB"/>
        </w:rPr>
      </w:pPr>
      <w:bookmarkStart w:id="6" w:name="_Toc228120032"/>
      <w:r w:rsidRPr="008A4667">
        <w:rPr>
          <w:lang w:eastAsia="en-GB"/>
        </w:rPr>
        <w:lastRenderedPageBreak/>
        <w:t>3. Wastewater treatment and why ICA is needed</w:t>
      </w:r>
      <w:bookmarkEnd w:id="6"/>
    </w:p>
    <w:p w14:paraId="6EC6182D" w14:textId="77777777" w:rsidR="00CF72A1" w:rsidRPr="008A4667" w:rsidRDefault="00CF72A1" w:rsidP="00CF72A1">
      <w:pPr>
        <w:rPr>
          <w:lang w:eastAsia="en-GB"/>
        </w:rPr>
      </w:pPr>
      <w:r w:rsidRPr="008A4667">
        <w:rPr>
          <w:lang w:eastAsia="en-GB"/>
        </w:rPr>
        <w:t>A conventional UK WwTW treats sewage in three stages:</w:t>
      </w:r>
    </w:p>
    <w:p w14:paraId="72261ED3" w14:textId="035E7BDC" w:rsidR="00CF72A1" w:rsidRPr="008A4667" w:rsidRDefault="00CF72A1" w:rsidP="00CF72A1">
      <w:pPr>
        <w:pStyle w:val="ListParagraph"/>
        <w:numPr>
          <w:ilvl w:val="0"/>
          <w:numId w:val="23"/>
        </w:numPr>
        <w:rPr>
          <w:lang w:eastAsia="en-GB"/>
        </w:rPr>
      </w:pPr>
      <w:r w:rsidRPr="008A4667">
        <w:rPr>
          <w:lang w:eastAsia="en-GB"/>
        </w:rPr>
        <w:t>Primary settlement removes gross solids.</w:t>
      </w:r>
    </w:p>
    <w:p w14:paraId="35F494D4" w14:textId="77777777" w:rsidR="00CF72A1" w:rsidRPr="008A4667" w:rsidRDefault="00CF72A1" w:rsidP="00CF72A1">
      <w:pPr>
        <w:pStyle w:val="ListParagraph"/>
        <w:numPr>
          <w:ilvl w:val="0"/>
          <w:numId w:val="23"/>
        </w:numPr>
        <w:rPr>
          <w:lang w:eastAsia="en-GB"/>
        </w:rPr>
      </w:pPr>
      <w:r w:rsidRPr="008A4667">
        <w:rPr>
          <w:lang w:eastAsia="en-GB"/>
        </w:rPr>
        <w:t xml:space="preserve">Secondary (biological) treatment, typically an activated-sludge process that oxidises dissolved organics and ammonia using aerobic bacteria. </w:t>
      </w:r>
    </w:p>
    <w:p w14:paraId="22AA7698" w14:textId="15E70BCE" w:rsidR="00CF72A1" w:rsidRPr="008A4667" w:rsidRDefault="00CF72A1" w:rsidP="00653AD3">
      <w:pPr>
        <w:pStyle w:val="ListParagraph"/>
        <w:numPr>
          <w:ilvl w:val="0"/>
          <w:numId w:val="23"/>
        </w:numPr>
        <w:rPr>
          <w:lang w:eastAsia="en-GB"/>
        </w:rPr>
      </w:pPr>
      <w:r w:rsidRPr="008A4667">
        <w:rPr>
          <w:lang w:eastAsia="en-GB"/>
        </w:rPr>
        <w:t>Tertiary treatment polishes the effluent for suspended solids</w:t>
      </w:r>
      <w:r w:rsidR="007C64DF" w:rsidRPr="008A4667">
        <w:rPr>
          <w:lang w:eastAsia="en-GB"/>
        </w:rPr>
        <w:t xml:space="preserve"> and if required phosphorus</w:t>
      </w:r>
      <w:r w:rsidR="007C64DF" w:rsidRPr="008A4667">
        <w:rPr>
          <w:rFonts w:ascii="Times New Roman" w:eastAsia="Times New Roman" w:hAnsi="Times New Roman" w:cs="Times New Roman"/>
          <w:kern w:val="0"/>
          <w:sz w:val="24"/>
          <w:szCs w:val="24"/>
          <w14:ligatures w14:val="none"/>
        </w:rPr>
        <w:t xml:space="preserve"> </w:t>
      </w:r>
      <w:r w:rsidR="007C64DF" w:rsidRPr="008A4667">
        <w:rPr>
          <w:lang w:eastAsia="en-GB"/>
        </w:rPr>
        <w:t xml:space="preserve">(Metcalf and Eddy, 2013). </w:t>
      </w:r>
    </w:p>
    <w:p w14:paraId="2733C479" w14:textId="137E1259" w:rsidR="00E66C2A" w:rsidRPr="008A4667" w:rsidRDefault="007C64DF" w:rsidP="00A24699">
      <w:pPr>
        <w:spacing w:line="360" w:lineRule="auto"/>
        <w:rPr>
          <w:lang w:eastAsia="en-GB"/>
        </w:rPr>
      </w:pPr>
      <w:r w:rsidRPr="008A4667">
        <w:rPr>
          <w:lang w:eastAsia="en-GB"/>
        </w:rPr>
        <w:t>Each stage depends on tightly controlled process variables. Some of which are, flow, level, pH, dissolved oxygen (DO), suspended solids and nutrient concentrations. The incoming flow to a plant</w:t>
      </w:r>
      <w:r w:rsidR="002B756A" w:rsidRPr="008A4667">
        <w:rPr>
          <w:lang w:eastAsia="en-GB"/>
        </w:rPr>
        <w:t xml:space="preserve"> varies dramatically throughout the seasons and during storm events. </w:t>
      </w:r>
      <w:r w:rsidR="0063196D" w:rsidRPr="008A4667">
        <w:rPr>
          <w:lang w:eastAsia="en-GB"/>
        </w:rPr>
        <w:t>Because of this i</w:t>
      </w:r>
      <w:r w:rsidR="002B756A" w:rsidRPr="008A4667">
        <w:rPr>
          <w:lang w:eastAsia="en-GB"/>
        </w:rPr>
        <w:t>t is impossible to meet regulatory discharge consents while minimi</w:t>
      </w:r>
      <w:r w:rsidR="00A24699">
        <w:rPr>
          <w:lang w:eastAsia="en-GB"/>
        </w:rPr>
        <w:t>s</w:t>
      </w:r>
      <w:r w:rsidR="002B756A" w:rsidRPr="008A4667">
        <w:rPr>
          <w:lang w:eastAsia="en-GB"/>
        </w:rPr>
        <w:t xml:space="preserve">ing </w:t>
      </w:r>
      <w:r w:rsidR="0063196D" w:rsidRPr="008A4667">
        <w:rPr>
          <w:lang w:eastAsia="en-GB"/>
        </w:rPr>
        <w:t>energy</w:t>
      </w:r>
      <w:r w:rsidR="002B756A" w:rsidRPr="008A4667">
        <w:rPr>
          <w:lang w:eastAsia="en-GB"/>
        </w:rPr>
        <w:t xml:space="preserve"> and chemical use without </w:t>
      </w:r>
      <w:r w:rsidR="0063196D" w:rsidRPr="008A4667">
        <w:rPr>
          <w:lang w:eastAsia="en-GB"/>
        </w:rPr>
        <w:t xml:space="preserve">closed loop control. </w:t>
      </w:r>
    </w:p>
    <w:p w14:paraId="44C07390" w14:textId="77777777" w:rsidR="00E66C2A" w:rsidRPr="008A4667" w:rsidRDefault="00E66C2A" w:rsidP="00CF72A1">
      <w:pPr>
        <w:rPr>
          <w:lang w:eastAsia="en-GB"/>
        </w:rPr>
      </w:pPr>
    </w:p>
    <w:p w14:paraId="5619EA07" w14:textId="77777777" w:rsidR="00E66C2A" w:rsidRPr="008A4667" w:rsidRDefault="00E66C2A" w:rsidP="00E66C2A">
      <w:pPr>
        <w:jc w:val="center"/>
        <w:rPr>
          <w:lang w:eastAsia="en-GB"/>
        </w:rPr>
      </w:pPr>
      <w:r w:rsidRPr="008A4667">
        <w:rPr>
          <w:noProof/>
          <w:lang w:eastAsia="en-GB"/>
        </w:rPr>
        <w:drawing>
          <wp:inline distT="0" distB="0" distL="0" distR="0" wp14:anchorId="1863639B" wp14:editId="5CC876B7">
            <wp:extent cx="5731510" cy="20662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66290"/>
                    </a:xfrm>
                    <a:prstGeom prst="rect">
                      <a:avLst/>
                    </a:prstGeom>
                  </pic:spPr>
                </pic:pic>
              </a:graphicData>
            </a:graphic>
          </wp:inline>
        </w:drawing>
      </w:r>
    </w:p>
    <w:p w14:paraId="5BB15691" w14:textId="75D3199B" w:rsidR="00E66C2A" w:rsidRPr="008A4667" w:rsidRDefault="00E66C2A" w:rsidP="00E66C2A">
      <w:pPr>
        <w:pStyle w:val="Caption"/>
        <w:jc w:val="center"/>
        <w:rPr>
          <w:lang w:eastAsia="en-GB"/>
        </w:rPr>
      </w:pPr>
      <w:bookmarkStart w:id="7" w:name="_Toc228120042"/>
      <w:r w:rsidRPr="008A4667">
        <w:t xml:space="preserve">Figure </w:t>
      </w:r>
      <w:fldSimple w:instr=" SEQ Figure \* ARABIC ">
        <w:r w:rsidR="007C6F44">
          <w:rPr>
            <w:noProof/>
          </w:rPr>
          <w:t>1</w:t>
        </w:r>
      </w:fldSimple>
      <w:r w:rsidRPr="008A4667">
        <w:t xml:space="preserve">. Typical activated-sludge work </w:t>
      </w:r>
      <w:r w:rsidRPr="008A4667">
        <w:rPr>
          <w:lang w:eastAsia="en-GB"/>
        </w:rPr>
        <w:t>(Metcalf and Eddy, 2013).</w:t>
      </w:r>
      <w:bookmarkEnd w:id="7"/>
      <w:r w:rsidRPr="008A4667">
        <w:rPr>
          <w:lang w:eastAsia="en-GB"/>
        </w:rPr>
        <w:t xml:space="preserve"> </w:t>
      </w:r>
    </w:p>
    <w:p w14:paraId="0AE166BA" w14:textId="77777777" w:rsidR="00737BCC" w:rsidRPr="008A4667" w:rsidRDefault="00E66C2A" w:rsidP="00737BCC">
      <w:pPr>
        <w:pStyle w:val="Heading1"/>
        <w:rPr>
          <w:lang w:eastAsia="en-GB"/>
        </w:rPr>
      </w:pPr>
      <w:bookmarkStart w:id="8" w:name="_Toc228120033"/>
      <w:r w:rsidRPr="008A4667">
        <w:rPr>
          <w:lang w:eastAsia="en-GB"/>
        </w:rPr>
        <w:t xml:space="preserve">4. Sensors </w:t>
      </w:r>
      <w:r w:rsidR="00737BCC" w:rsidRPr="008A4667">
        <w:rPr>
          <w:lang w:eastAsia="en-GB"/>
        </w:rPr>
        <w:t>and instrumentation</w:t>
      </w:r>
      <w:bookmarkEnd w:id="8"/>
    </w:p>
    <w:p w14:paraId="486DDF41" w14:textId="7E0A1E43" w:rsidR="004C6BF1" w:rsidRPr="008A4667" w:rsidRDefault="00737BCC" w:rsidP="004C6BF1">
      <w:pPr>
        <w:spacing w:line="360" w:lineRule="auto"/>
      </w:pPr>
      <w:proofErr w:type="spellStart"/>
      <w:r w:rsidRPr="008A4667">
        <w:rPr>
          <w:lang w:eastAsia="en-GB"/>
        </w:rPr>
        <w:t>V</w:t>
      </w:r>
      <w:r w:rsidR="00B838AC">
        <w:rPr>
          <w:lang w:eastAsia="en-GB"/>
        </w:rPr>
        <w:t>anrolleghem</w:t>
      </w:r>
      <w:proofErr w:type="spellEnd"/>
      <w:r w:rsidR="00B838AC">
        <w:rPr>
          <w:lang w:eastAsia="en-GB"/>
        </w:rPr>
        <w:t xml:space="preserve"> </w:t>
      </w:r>
      <w:r w:rsidRPr="008A4667">
        <w:rPr>
          <w:lang w:eastAsia="en-GB"/>
        </w:rPr>
        <w:t>and Lee (2003) o</w:t>
      </w:r>
      <w:r w:rsidR="00AE57E6" w:rsidRPr="008A4667">
        <w:rPr>
          <w:lang w:eastAsia="en-GB"/>
        </w:rPr>
        <w:t>bserve that around three</w:t>
      </w:r>
      <w:r w:rsidR="00682C06" w:rsidRPr="008A4667">
        <w:rPr>
          <w:lang w:eastAsia="en-GB"/>
        </w:rPr>
        <w:t xml:space="preserve"> </w:t>
      </w:r>
      <w:r w:rsidR="00AE57E6" w:rsidRPr="008A4667">
        <w:rPr>
          <w:lang w:eastAsia="en-GB"/>
        </w:rPr>
        <w:t>quarters of process-control failures in wastewater treatment originate with the sensors rather tha</w:t>
      </w:r>
      <w:r w:rsidR="00532839">
        <w:rPr>
          <w:lang w:eastAsia="en-GB"/>
        </w:rPr>
        <w:t>n</w:t>
      </w:r>
      <w:r w:rsidR="00AE57E6" w:rsidRPr="008A4667">
        <w:rPr>
          <w:lang w:eastAsia="en-GB"/>
        </w:rPr>
        <w:t xml:space="preserve"> the controllers. Electromagnetic flowmeters (</w:t>
      </w:r>
      <w:proofErr w:type="spellStart"/>
      <w:r w:rsidR="00AE57E6" w:rsidRPr="008A4667">
        <w:rPr>
          <w:lang w:eastAsia="en-GB"/>
        </w:rPr>
        <w:t>magmeters</w:t>
      </w:r>
      <w:proofErr w:type="spellEnd"/>
      <w:r w:rsidR="00AE57E6" w:rsidRPr="008A4667">
        <w:rPr>
          <w:lang w:eastAsia="en-GB"/>
        </w:rPr>
        <w:t xml:space="preserve">) are standard for influent and effluent measurement because they have no </w:t>
      </w:r>
      <w:r w:rsidR="00682C06" w:rsidRPr="008A4667">
        <w:rPr>
          <w:lang w:eastAsia="en-GB"/>
        </w:rPr>
        <w:t>moving</w:t>
      </w:r>
      <w:r w:rsidR="00AE57E6" w:rsidRPr="008A4667">
        <w:rPr>
          <w:lang w:eastAsia="en-GB"/>
        </w:rPr>
        <w:t xml:space="preserve"> parts. Also, they are unaffected by suspended solids and provide a linear 4-20 mA output. Ultrasonic transit</w:t>
      </w:r>
      <w:r w:rsidR="00682C06" w:rsidRPr="008A4667">
        <w:rPr>
          <w:lang w:eastAsia="en-GB"/>
        </w:rPr>
        <w:t xml:space="preserve"> </w:t>
      </w:r>
      <w:r w:rsidR="00AE57E6" w:rsidRPr="008A4667">
        <w:rPr>
          <w:lang w:eastAsia="en-GB"/>
        </w:rPr>
        <w:t>time meters are the usual non-contact alternative for final</w:t>
      </w:r>
      <w:r w:rsidR="00682C06" w:rsidRPr="008A4667">
        <w:rPr>
          <w:lang w:eastAsia="en-GB"/>
        </w:rPr>
        <w:t xml:space="preserve"> </w:t>
      </w:r>
      <w:r w:rsidR="00AE57E6" w:rsidRPr="008A4667">
        <w:rPr>
          <w:lang w:eastAsia="en-GB"/>
        </w:rPr>
        <w:t xml:space="preserve">effluent channels. </w:t>
      </w:r>
      <w:r w:rsidR="00682C06" w:rsidRPr="008A4667">
        <w:rPr>
          <w:lang w:eastAsia="en-GB"/>
        </w:rPr>
        <w:t>Particularly</w:t>
      </w:r>
      <w:r w:rsidR="00AE57E6" w:rsidRPr="008A4667">
        <w:rPr>
          <w:lang w:eastAsia="en-GB"/>
        </w:rPr>
        <w:t xml:space="preserve"> where MCERTS certification is required </w:t>
      </w:r>
      <w:r w:rsidR="00AE57E6" w:rsidRPr="008A4667">
        <w:t>(Environment Agency, 2022).</w:t>
      </w:r>
      <w:r w:rsidR="00682C06" w:rsidRPr="008A4667">
        <w:t xml:space="preserve"> Level is typically measured with ultrasonic or guided wave radar transmitters. They are usually supplemented by hydrostatic pressure cells in sealed tanks. DO, is probably the most safety critical measurement in activated sludge. These days it is measured with optical luminescence probes that have largely </w:t>
      </w:r>
      <w:r w:rsidR="00682C06" w:rsidRPr="008A4667">
        <w:lastRenderedPageBreak/>
        <w:t>replaced Clark cell membrane electrodes. This is due to lower drift and maintenance burdens</w:t>
      </w:r>
      <w:r w:rsidR="004C6BF1" w:rsidRPr="008A4667">
        <w:t xml:space="preserve"> (Olsson, 2012). pH is measured with glass membrane electrodes. Turbidity sensors infer suspended solids concentration from near infrared backscatter. While online ion selective and </w:t>
      </w:r>
      <w:proofErr w:type="spellStart"/>
      <w:r w:rsidR="00532839">
        <w:t>amperometric</w:t>
      </w:r>
      <w:proofErr w:type="spellEnd"/>
      <w:r w:rsidR="00532839">
        <w:t xml:space="preserve"> </w:t>
      </w:r>
      <w:r w:rsidR="004C6BF1" w:rsidRPr="008A4667">
        <w:t xml:space="preserve">analysers measure ammonium, nitrate and ortho phosphate. This is for control of biological nutrient removal. </w:t>
      </w:r>
    </w:p>
    <w:p w14:paraId="3B0E7DD2" w14:textId="560BB534" w:rsidR="004C6BF1" w:rsidRPr="008A4667" w:rsidRDefault="004C6BF1" w:rsidP="004C6BF1">
      <w:pPr>
        <w:pStyle w:val="Heading1"/>
      </w:pPr>
      <w:bookmarkStart w:id="9" w:name="_Toc228120034"/>
      <w:r w:rsidRPr="008A4667">
        <w:t>5. Controllers and control strategies</w:t>
      </w:r>
      <w:bookmarkEnd w:id="9"/>
    </w:p>
    <w:p w14:paraId="3AB7E10A" w14:textId="77777777" w:rsidR="00B92A35" w:rsidRDefault="004C6BF1" w:rsidP="005D2E49">
      <w:pPr>
        <w:spacing w:line="360" w:lineRule="auto"/>
        <w:rPr>
          <w:lang w:eastAsia="en-GB"/>
        </w:rPr>
      </w:pPr>
      <w:r w:rsidRPr="008A4667">
        <w:rPr>
          <w:lang w:eastAsia="en-GB"/>
        </w:rPr>
        <w:t>The Proportional Integral Derivative (PID) controller remains dominant, closing more than 90% of regulatory loops in a typical WwTW</w:t>
      </w:r>
      <w:r w:rsidR="00AE228F" w:rsidRPr="008A4667">
        <w:rPr>
          <w:lang w:eastAsia="en-GB"/>
        </w:rPr>
        <w:t xml:space="preserve"> </w:t>
      </w:r>
      <w:r w:rsidR="00FF07A0" w:rsidRPr="008A4667">
        <w:rPr>
          <w:lang w:eastAsia="en-GB"/>
        </w:rPr>
        <w:t>(Åström and Hägglund, 2006).</w:t>
      </w:r>
    </w:p>
    <w:p w14:paraId="3D8279FB" w14:textId="77777777" w:rsidR="00B92A35" w:rsidRPr="00BC1CEC" w:rsidRDefault="00B92A35" w:rsidP="00B92A35">
      <w:pPr>
        <w:spacing w:after="0" w:line="24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u(t)=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K</m:t>
              </m:r>
            </m:e>
            <m:sub>
              <m:r>
                <w:rPr>
                  <w:rFonts w:ascii="Cambria Math" w:eastAsia="Times New Roman" w:hAnsi="Cambria Math" w:cs="Times New Roman"/>
                  <w:kern w:val="0"/>
                  <w:lang w:eastAsia="en-GB"/>
                  <w14:ligatures w14:val="none"/>
                </w:rPr>
                <m:t>p</m:t>
              </m:r>
            </m:sub>
          </m:sSub>
          <m:r>
            <w:rPr>
              <w:rFonts w:ascii="Cambria Math" w:eastAsia="Times New Roman" w:hAnsi="Cambria Math" w:cs="Times New Roman"/>
              <w:kern w:val="0"/>
              <w:lang w:eastAsia="en-GB"/>
              <w14:ligatures w14:val="none"/>
            </w:rPr>
            <m:t>e(t)+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K</m:t>
              </m:r>
            </m:e>
            <m:sub>
              <m:r>
                <w:rPr>
                  <w:rFonts w:ascii="Cambria Math" w:eastAsia="Times New Roman" w:hAnsi="Cambria Math" w:cs="Times New Roman"/>
                  <w:kern w:val="0"/>
                  <w:lang w:eastAsia="en-GB"/>
                  <w14:ligatures w14:val="none"/>
                </w:rPr>
                <m:t>i</m:t>
              </m:r>
            </m:sub>
          </m:sSub>
          <m:r>
            <w:rPr>
              <w:rFonts w:ascii="Cambria Math" w:eastAsia="Times New Roman" w:hAnsi="Cambria Math" w:cs="Times New Roman"/>
              <w:kern w:val="0"/>
              <w:lang w:eastAsia="en-GB"/>
              <w14:ligatures w14:val="none"/>
            </w:rPr>
            <m:t>∫e(t)</m:t>
          </m:r>
          <m:r>
            <m:rPr>
              <m:nor/>
            </m:rPr>
            <w:rPr>
              <w:rFonts w:ascii="Times New Roman" w:eastAsia="Times New Roman" w:hAnsi="Times New Roman" w:cs="Times New Roman"/>
              <w:kern w:val="0"/>
              <w:lang w:eastAsia="en-GB"/>
              <w14:ligatures w14:val="none"/>
            </w:rPr>
            <m:t> </m:t>
          </m:r>
          <m:r>
            <w:rPr>
              <w:rFonts w:ascii="Cambria Math" w:eastAsia="Times New Roman" w:hAnsi="Cambria Math" w:cs="Times New Roman"/>
              <w:kern w:val="0"/>
              <w:lang w:eastAsia="en-GB"/>
              <w14:ligatures w14:val="none"/>
            </w:rPr>
            <m:t>dt+</m:t>
          </m:r>
          <m:sSub>
            <m:sSubPr>
              <m:ctrlPr>
                <w:rPr>
                  <w:rFonts w:ascii="Cambria Math" w:eastAsia="Times New Roman" w:hAnsi="Cambria Math" w:cs="Times New Roman"/>
                  <w:kern w:val="0"/>
                  <w:lang w:eastAsia="en-GB"/>
                  <w14:ligatures w14:val="none"/>
                </w:rPr>
              </m:ctrlPr>
            </m:sSubPr>
            <m:e>
              <m:r>
                <w:rPr>
                  <w:rFonts w:ascii="Cambria Math" w:eastAsia="Times New Roman" w:hAnsi="Cambria Math" w:cs="Times New Roman"/>
                  <w:kern w:val="0"/>
                  <w:lang w:eastAsia="en-GB"/>
                  <w14:ligatures w14:val="none"/>
                </w:rPr>
                <m:t>K</m:t>
              </m:r>
            </m:e>
            <m:sub>
              <m:r>
                <w:rPr>
                  <w:rFonts w:ascii="Cambria Math" w:eastAsia="Times New Roman" w:hAnsi="Cambria Math" w:cs="Times New Roman"/>
                  <w:kern w:val="0"/>
                  <w:lang w:eastAsia="en-GB"/>
                  <w14:ligatures w14:val="none"/>
                </w:rPr>
                <m:t>d</m:t>
              </m:r>
            </m:sub>
          </m:sSub>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de(t)</m:t>
              </m:r>
            </m:num>
            <m:den>
              <m:r>
                <w:rPr>
                  <w:rFonts w:ascii="Cambria Math" w:eastAsia="Times New Roman" w:hAnsi="Cambria Math" w:cs="Times New Roman"/>
                  <w:kern w:val="0"/>
                  <w:lang w:eastAsia="en-GB"/>
                  <w14:ligatures w14:val="none"/>
                </w:rPr>
                <m:t>dt</m:t>
              </m:r>
            </m:den>
          </m:f>
          <m:r>
            <m:rPr>
              <m:sty m:val="p"/>
            </m:rPr>
            <w:rPr>
              <w:rFonts w:ascii="Cambria Math" w:eastAsia="Times New Roman" w:hAnsi="Cambria Math" w:cs="Times New Roman"/>
              <w:kern w:val="0"/>
              <w:lang w:eastAsia="en-GB"/>
              <w14:ligatures w14:val="none"/>
            </w:rPr>
            <w:br/>
          </m:r>
        </m:oMath>
      </m:oMathPara>
    </w:p>
    <w:p w14:paraId="0AAD56EC" w14:textId="3142EAD7" w:rsidR="005D2E49" w:rsidRDefault="00B92A35" w:rsidP="00B92A35">
      <w:pPr>
        <w:spacing w:before="100" w:beforeAutospacing="1" w:after="100" w:afterAutospacing="1" w:line="360" w:lineRule="auto"/>
        <w:rPr>
          <w:lang w:eastAsia="en-GB"/>
        </w:rPr>
      </w:pPr>
      <w:r>
        <w:rPr>
          <w:lang w:eastAsia="en-GB"/>
        </w:rPr>
        <w:t>W</w:t>
      </w:r>
      <w:r w:rsidRPr="00B92A35">
        <w:rPr>
          <w:lang w:eastAsia="en-GB"/>
        </w:rPr>
        <w:t>here</w:t>
      </w:r>
      <w:r w:rsidRPr="00BC1CEC">
        <w:rPr>
          <w:rFonts w:ascii="Times New Roman" w:eastAsia="Times New Roman" w:hAnsi="Times New Roman" w:cs="Times New Roman"/>
          <w:color w:val="000000"/>
          <w:kern w:val="0"/>
          <w:lang w:eastAsia="en-GB"/>
          <w14:ligatures w14:val="none"/>
        </w:rPr>
        <w:t> </w:t>
      </w:r>
      <m:oMath>
        <m:r>
          <w:rPr>
            <w:rFonts w:ascii="Cambria Math" w:eastAsia="Times New Roman" w:hAnsi="Cambria Math" w:cs="Times New Roman"/>
            <w:kern w:val="0"/>
            <w:lang w:eastAsia="en-GB"/>
            <w14:ligatures w14:val="none"/>
          </w:rPr>
          <m:t>e(t)</m:t>
        </m:r>
      </m:oMath>
      <w:r w:rsidRPr="00BC1CEC">
        <w:rPr>
          <w:rFonts w:ascii="Times New Roman" w:eastAsia="Times New Roman" w:hAnsi="Times New Roman" w:cs="Times New Roman"/>
          <w:color w:val="000000"/>
          <w:kern w:val="0"/>
          <w:lang w:eastAsia="en-GB"/>
          <w14:ligatures w14:val="none"/>
        </w:rPr>
        <w:t> </w:t>
      </w:r>
      <w:r w:rsidRPr="00B92A35">
        <w:rPr>
          <w:lang w:eastAsia="en-GB"/>
        </w:rPr>
        <w:t>is the error between the setpoint and measured value, and</w:t>
      </w:r>
      <w:r w:rsidRPr="00BC1CEC">
        <w:rPr>
          <w:rFonts w:ascii="Times New Roman" w:eastAsia="Times New Roman" w:hAnsi="Times New Roman" w:cs="Times New Roman"/>
          <w:color w:val="000000"/>
          <w:kern w:val="0"/>
          <w:lang w:eastAsia="en-GB"/>
          <w14:ligatures w14:val="none"/>
        </w:rPr>
        <w:t> </w:t>
      </w:r>
      <m:oMath>
        <m:r>
          <w:rPr>
            <w:rFonts w:ascii="Cambria Math" w:eastAsia="Times New Roman" w:hAnsi="Cambria Math" w:cs="Times New Roman"/>
            <w:kern w:val="0"/>
            <w:lang w:eastAsia="en-GB"/>
            <w14:ligatures w14:val="none"/>
          </w:rPr>
          <m:t>u(t)</m:t>
        </m:r>
      </m:oMath>
      <w:r w:rsidRPr="00BC1CEC">
        <w:rPr>
          <w:rFonts w:ascii="Times New Roman" w:eastAsia="Times New Roman" w:hAnsi="Times New Roman" w:cs="Times New Roman"/>
          <w:color w:val="000000"/>
          <w:kern w:val="0"/>
          <w:lang w:eastAsia="en-GB"/>
          <w14:ligatures w14:val="none"/>
        </w:rPr>
        <w:t> </w:t>
      </w:r>
      <w:r w:rsidRPr="00B92A35">
        <w:rPr>
          <w:lang w:eastAsia="en-GB"/>
        </w:rPr>
        <w:t>is the controller output.</w:t>
      </w:r>
      <w:r>
        <w:rPr>
          <w:lang w:eastAsia="en-GB"/>
        </w:rPr>
        <w:t xml:space="preserve"> </w:t>
      </w:r>
      <w:r w:rsidR="00FF07A0" w:rsidRPr="008A4667">
        <w:rPr>
          <w:lang w:eastAsia="en-GB"/>
        </w:rPr>
        <w:t xml:space="preserve">The proportional term responds immediately to error and the integral term removes steady state offset. While the derivative term anticipates future error from its rate of change. Over gain makes the loop oscillate whereas insufficient integral action leaves an offset. </w:t>
      </w:r>
      <w:r w:rsidR="00605223" w:rsidRPr="008A4667">
        <w:rPr>
          <w:lang w:eastAsia="en-GB"/>
        </w:rPr>
        <w:t xml:space="preserve">When a dominant disturbance affects the control loop, cascade control embeds a fast inner loop (e.g., blower air flow) within a slower outer loop (dissolved oxygen concentration). In contrast, feedforward control measures the disturbance directly. </w:t>
      </w:r>
      <w:r w:rsidR="005D2E49" w:rsidRPr="008A4667">
        <w:rPr>
          <w:lang w:eastAsia="en-GB"/>
        </w:rPr>
        <w:t>For example, influent ammonia can be monitored at the inlet and used to anticipate and adjust aeration demand in advance (</w:t>
      </w:r>
      <w:proofErr w:type="spellStart"/>
      <w:r w:rsidR="005D2E49" w:rsidRPr="008A4667">
        <w:rPr>
          <w:lang w:eastAsia="en-GB"/>
        </w:rPr>
        <w:t>Åmand</w:t>
      </w:r>
      <w:proofErr w:type="spellEnd"/>
      <w:r w:rsidR="005D2E49" w:rsidRPr="008A4667">
        <w:rPr>
          <w:lang w:eastAsia="en-GB"/>
        </w:rPr>
        <w:t xml:space="preserve"> and Carlsson, 2012).</w:t>
      </w:r>
      <w:r w:rsidR="001923C8">
        <w:rPr>
          <w:lang w:eastAsia="en-GB"/>
        </w:rPr>
        <w:t xml:space="preserve"> However, PID is less effective in systems with long time delays or strong multivariable interactions, where more advanced strategies such a</w:t>
      </w:r>
      <w:r w:rsidR="00A24699">
        <w:rPr>
          <w:lang w:eastAsia="en-GB"/>
        </w:rPr>
        <w:t>s</w:t>
      </w:r>
      <w:r w:rsidR="001923C8">
        <w:rPr>
          <w:lang w:eastAsia="en-GB"/>
        </w:rPr>
        <w:t xml:space="preserve"> MPC may be required. </w:t>
      </w:r>
    </w:p>
    <w:p w14:paraId="6242DD80" w14:textId="44BD83E7" w:rsidR="009206B3" w:rsidRDefault="009206B3" w:rsidP="005D2E49">
      <w:pPr>
        <w:spacing w:line="360" w:lineRule="auto"/>
        <w:rPr>
          <w:lang w:eastAsia="en-GB"/>
        </w:rPr>
      </w:pPr>
      <w:r w:rsidRPr="008A4667">
        <w:rPr>
          <w:noProof/>
          <w:lang w:eastAsia="en-GB"/>
        </w:rPr>
        <w:drawing>
          <wp:inline distT="0" distB="0" distL="0" distR="0" wp14:anchorId="357A1AAC" wp14:editId="6C102CC0">
            <wp:extent cx="5731510" cy="16802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680210"/>
                    </a:xfrm>
                    <a:prstGeom prst="rect">
                      <a:avLst/>
                    </a:prstGeom>
                  </pic:spPr>
                </pic:pic>
              </a:graphicData>
            </a:graphic>
          </wp:inline>
        </w:drawing>
      </w:r>
    </w:p>
    <w:p w14:paraId="7AAB6729" w14:textId="27252CDA" w:rsidR="009206B3" w:rsidRDefault="009206B3" w:rsidP="009206B3">
      <w:pPr>
        <w:pStyle w:val="Caption"/>
        <w:jc w:val="center"/>
      </w:pPr>
      <w:bookmarkStart w:id="10" w:name="_Toc228120043"/>
      <w:r>
        <w:t xml:space="preserve">Figure </w:t>
      </w:r>
      <w:fldSimple w:instr=" SEQ Figure \* ARABIC ">
        <w:r w:rsidR="007C6F44">
          <w:rPr>
            <w:noProof/>
          </w:rPr>
          <w:t>2</w:t>
        </w:r>
      </w:fldSimple>
      <w:r>
        <w:t xml:space="preserve">. </w:t>
      </w:r>
      <w:r w:rsidRPr="00CD7C33">
        <w:t xml:space="preserve"> PID control loop for dissolved-oxygen control in an aeration tank (Zhou et al., 2022).</w:t>
      </w:r>
      <w:bookmarkEnd w:id="10"/>
    </w:p>
    <w:p w14:paraId="0BBAA832" w14:textId="77777777" w:rsidR="009206B3" w:rsidRPr="009206B3" w:rsidRDefault="009206B3" w:rsidP="009206B3"/>
    <w:p w14:paraId="758C67B7" w14:textId="77777777" w:rsidR="009206B3" w:rsidRDefault="000E7C42" w:rsidP="008B5B3E">
      <w:pPr>
        <w:spacing w:line="360" w:lineRule="auto"/>
      </w:pPr>
      <w:r w:rsidRPr="008A4667">
        <w:rPr>
          <w:lang w:eastAsia="en-GB"/>
        </w:rPr>
        <w:t xml:space="preserve">Model Predictive Control (MPC) solves a constrained optimisation at each sample instant using a process model. Typically, one of the </w:t>
      </w:r>
      <w:proofErr w:type="gramStart"/>
      <w:r w:rsidRPr="008A4667">
        <w:rPr>
          <w:lang w:eastAsia="en-GB"/>
        </w:rPr>
        <w:t>IWA</w:t>
      </w:r>
      <w:proofErr w:type="gramEnd"/>
      <w:r w:rsidRPr="008A4667">
        <w:rPr>
          <w:lang w:eastAsia="en-GB"/>
        </w:rPr>
        <w:t xml:space="preserve"> Activated Sludge Models, ASM1</w:t>
      </w:r>
      <w:r w:rsidR="00532839">
        <w:rPr>
          <w:lang w:eastAsia="en-GB"/>
        </w:rPr>
        <w:t xml:space="preserve">, ASM2, ASM2d or ASM3 </w:t>
      </w:r>
      <w:r w:rsidRPr="008A4667">
        <w:lastRenderedPageBreak/>
        <w:t>(Henze et al., 2000). MPC is particularly valuable in aeration control because it can handle multiple variables simultaneously under equipment and consent constraints. At plant level, PLCs execute interlocks and sequencing. In contrast DCS architectures distribute processing over several networked controller</w:t>
      </w:r>
      <w:r w:rsidR="00532839">
        <w:t>s</w:t>
      </w:r>
      <w:r w:rsidRPr="008A4667">
        <w:t xml:space="preserve"> for redundancy and scalability</w:t>
      </w:r>
      <w:r w:rsidR="005056E6" w:rsidRPr="008A4667">
        <w:t xml:space="preserve"> (Olsson et al., 2005).</w:t>
      </w:r>
      <w:r w:rsidR="001923C8">
        <w:t xml:space="preserve"> Despite its advantages, MPC requires accurate process models and higher computational demand, which can limit its practical implementation in small facilities.</w:t>
      </w:r>
      <w:r w:rsidR="00FA19BF">
        <w:t xml:space="preserve"> However, where these constraints are </w:t>
      </w:r>
      <w:proofErr w:type="gramStart"/>
      <w:r w:rsidR="00FA19BF">
        <w:t>addressed</w:t>
      </w:r>
      <w:proofErr w:type="gramEnd"/>
      <w:r w:rsidR="00516FE3">
        <w:t xml:space="preserve"> MPC </w:t>
      </w:r>
      <w:r w:rsidR="00B60C9F">
        <w:t xml:space="preserve">is </w:t>
      </w:r>
      <w:r w:rsidR="00516FE3">
        <w:t xml:space="preserve">particularly suited to wastewater treatment, where multiple interacting variables such as dissolved oxygen, ammonia and flow must be controlled simultaneously under strict regulatory constraints. </w:t>
      </w:r>
    </w:p>
    <w:p w14:paraId="4EB933A4" w14:textId="39CC8162" w:rsidR="00DC59D6" w:rsidRPr="008B5B3E" w:rsidRDefault="008B5B3E" w:rsidP="008B5B3E">
      <w:pPr>
        <w:spacing w:line="360" w:lineRule="auto"/>
      </w:pPr>
      <w:r>
        <w:t xml:space="preserve">A practical example of ICA integration can be seen in aeration control within an activated sludge process. During periods of increased influent ammonia, an online ammonia sensor detects rising concentration and transmits a signal to the PLC. The controller then adjusts the dissolved oxygen setpoint, often using a cascade or MPC strategy. This results in increased blower output via variable speed drives, raising oxygen levels to support nitrification. As ammonia levels fall, the system reduces aeration demand, thereby minimising energy consumption while maintaining compliance with discharge limits. </w:t>
      </w:r>
    </w:p>
    <w:p w14:paraId="25F431FF" w14:textId="15EAEB8A" w:rsidR="00DC59D6" w:rsidRPr="008A4667" w:rsidRDefault="00DC59D6" w:rsidP="00DC59D6">
      <w:pPr>
        <w:pStyle w:val="Heading1"/>
      </w:pPr>
      <w:bookmarkStart w:id="11" w:name="_Toc228120035"/>
      <w:r w:rsidRPr="008A4667">
        <w:t>6. Actuators and final control elements</w:t>
      </w:r>
      <w:bookmarkEnd w:id="11"/>
      <w:r w:rsidRPr="008A4667">
        <w:t xml:space="preserve"> </w:t>
      </w:r>
    </w:p>
    <w:p w14:paraId="01F8F492" w14:textId="77777777" w:rsidR="00BE331B" w:rsidRPr="00BE331B" w:rsidRDefault="00DC59D6" w:rsidP="00BE331B">
      <w:pPr>
        <w:spacing w:before="100" w:beforeAutospacing="1" w:after="100" w:afterAutospacing="1" w:line="360" w:lineRule="auto"/>
      </w:pPr>
      <w:r w:rsidRPr="008A4667">
        <w:t xml:space="preserve">Actuators convert the controller output into a physical change in the process. Variable speed drives (VSDs) vary the frequency supplied to three phase motors on pumps, blowers and mixers. </w:t>
      </w:r>
      <w:r w:rsidR="00BE331B" w:rsidRPr="00BE331B">
        <w:t>This is because pump and fan power follow the affinity law relationship:</w:t>
      </w:r>
    </w:p>
    <w:p w14:paraId="5121AE02" w14:textId="77777777" w:rsidR="00BE331B" w:rsidRPr="00BE331B" w:rsidRDefault="00BE331B" w:rsidP="00BE331B">
      <w:pPr>
        <w:spacing w:line="360" w:lineRule="auto"/>
        <w:rPr>
          <w:rFonts w:eastAsiaTheme="minorEastAsia"/>
          <w:kern w:val="0"/>
          <w:lang w:eastAsia="en-GB"/>
          <w14:ligatures w14:val="none"/>
        </w:rPr>
      </w:pPr>
      <m:oMathPara>
        <m:oMath>
          <m:r>
            <w:rPr>
              <w:rFonts w:ascii="Cambria Math" w:eastAsia="Times New Roman" w:hAnsi="Cambria Math" w:cs="Times New Roman"/>
              <w:kern w:val="0"/>
              <w:lang w:eastAsia="en-GB"/>
              <w14:ligatures w14:val="none"/>
            </w:rPr>
            <m:t>P∝</m:t>
          </m:r>
          <m:sSup>
            <m:sSupPr>
              <m:ctrlPr>
                <w:rPr>
                  <w:rFonts w:ascii="Cambria Math" w:eastAsia="Times New Roman" w:hAnsi="Cambria Math" w:cs="Times New Roman"/>
                  <w:kern w:val="0"/>
                  <w:lang w:eastAsia="en-GB"/>
                  <w14:ligatures w14:val="none"/>
                </w:rPr>
              </m:ctrlPr>
            </m:sSupPr>
            <m:e>
              <m:r>
                <w:rPr>
                  <w:rFonts w:ascii="Cambria Math" w:eastAsia="Times New Roman" w:hAnsi="Cambria Math" w:cs="Times New Roman"/>
                  <w:kern w:val="0"/>
                  <w:lang w:eastAsia="en-GB"/>
                  <w14:ligatures w14:val="none"/>
                </w:rPr>
                <m:t>N</m:t>
              </m:r>
            </m:e>
            <m:sup>
              <m:r>
                <w:rPr>
                  <w:rFonts w:ascii="Cambria Math" w:eastAsia="Times New Roman" w:hAnsi="Cambria Math" w:cs="Times New Roman"/>
                  <w:kern w:val="0"/>
                  <w:lang w:eastAsia="en-GB"/>
                  <w14:ligatures w14:val="none"/>
                </w:rPr>
                <m:t>3</m:t>
              </m:r>
            </m:sup>
          </m:sSup>
        </m:oMath>
      </m:oMathPara>
    </w:p>
    <w:p w14:paraId="172C2EBD" w14:textId="705E6C99" w:rsidR="00605223" w:rsidRPr="008A4667" w:rsidRDefault="00BE331B" w:rsidP="00BE331B">
      <w:pPr>
        <w:spacing w:line="360" w:lineRule="auto"/>
      </w:pPr>
      <w:r w:rsidRPr="00BE331B">
        <w:t>meaning that even small reductions in speed result in significant energy savings.</w:t>
      </w:r>
      <w:r>
        <w:t xml:space="preserve"> V</w:t>
      </w:r>
      <w:r w:rsidR="00DC59D6" w:rsidRPr="008A4667">
        <w:t>ariable speed drives (VSDs) can deliver significantly greater energy savings than throttling (Carlson and Walburger, 2007).</w:t>
      </w:r>
      <w:r w:rsidR="00E04748" w:rsidRPr="008A4667">
        <w:t xml:space="preserve"> Modulating globe, butterfly and ball valves with pneumatic or electric positioner trim flows of liquid, air and chemicals. Peristaltic and diaphragm dosing pumps deliver accurate volumes of coagulant, disinfectant and pH correction reag</w:t>
      </w:r>
      <w:r w:rsidR="00034ED9" w:rsidRPr="008A4667">
        <w:t>ents. Electrically actuated sluice gates and penstocks isolate or proportion flow between process stages. Most modulating valves are fitted with spring return actuators so that loss of signal or power drives them to a failsafe position. The same principle is used to apply l</w:t>
      </w:r>
      <w:r w:rsidR="00532839">
        <w:t>i</w:t>
      </w:r>
      <w:r w:rsidR="00034ED9" w:rsidRPr="008A4667">
        <w:t xml:space="preserve">ft brakes when power fails. </w:t>
      </w:r>
    </w:p>
    <w:p w14:paraId="5E3F480F" w14:textId="77777777" w:rsidR="00425254" w:rsidRDefault="00425254">
      <w:pPr>
        <w:rPr>
          <w:rFonts w:asciiTheme="majorHAnsi" w:eastAsiaTheme="majorEastAsia" w:hAnsiTheme="majorHAnsi" w:cstheme="majorBidi"/>
          <w:color w:val="2F5496" w:themeColor="accent1" w:themeShade="BF"/>
          <w:sz w:val="40"/>
          <w:szCs w:val="40"/>
        </w:rPr>
      </w:pPr>
      <w:r>
        <w:br w:type="page"/>
      </w:r>
    </w:p>
    <w:p w14:paraId="4B5D6145" w14:textId="723F1CF0" w:rsidR="00C07C01" w:rsidRPr="008A4667" w:rsidRDefault="00C07C01" w:rsidP="00C07C01">
      <w:pPr>
        <w:pStyle w:val="Heading1"/>
      </w:pPr>
      <w:bookmarkStart w:id="12" w:name="_Toc228120036"/>
      <w:r w:rsidRPr="008A4667">
        <w:lastRenderedPageBreak/>
        <w:t>7. Supervisory control: SCADA, DCS and telemetry</w:t>
      </w:r>
      <w:bookmarkEnd w:id="12"/>
    </w:p>
    <w:p w14:paraId="65101888" w14:textId="5302DBEE" w:rsidR="00D86B39" w:rsidRPr="008A4667" w:rsidRDefault="00C07C01" w:rsidP="00C07C01">
      <w:pPr>
        <w:spacing w:line="360" w:lineRule="auto"/>
      </w:pPr>
      <w:r w:rsidRPr="008A4667">
        <w:t xml:space="preserve">Supervisory Control </w:t>
      </w:r>
      <w:proofErr w:type="gramStart"/>
      <w:r w:rsidRPr="008A4667">
        <w:t>And</w:t>
      </w:r>
      <w:proofErr w:type="gramEnd"/>
      <w:r w:rsidRPr="008A4667">
        <w:t xml:space="preserve"> Data Acquisition (SCADA) sit</w:t>
      </w:r>
      <w:r w:rsidR="00532839">
        <w:t>s</w:t>
      </w:r>
      <w:r w:rsidRPr="008A4667">
        <w:t xml:space="preserve"> above the PLC/DCS layer and presents an integrated human machine interface for the whole works. </w:t>
      </w:r>
    </w:p>
    <w:p w14:paraId="6F359102" w14:textId="77777777" w:rsidR="00D86B39" w:rsidRPr="008A4667" w:rsidRDefault="00C07C01" w:rsidP="00C07C01">
      <w:pPr>
        <w:spacing w:line="360" w:lineRule="auto"/>
      </w:pPr>
      <w:r w:rsidRPr="008A4667">
        <w:t>A typical topology comprises field instruments and actuators</w:t>
      </w:r>
      <w:r w:rsidR="00D86B39" w:rsidRPr="008A4667">
        <w:t>:</w:t>
      </w:r>
    </w:p>
    <w:p w14:paraId="5CD73078" w14:textId="77777777" w:rsidR="00D86B39" w:rsidRPr="008A4667" w:rsidRDefault="00C07C01" w:rsidP="00D86B39">
      <w:pPr>
        <w:pStyle w:val="ListParagraph"/>
        <w:numPr>
          <w:ilvl w:val="0"/>
          <w:numId w:val="24"/>
        </w:numPr>
        <w:spacing w:line="240" w:lineRule="auto"/>
      </w:pPr>
      <w:r w:rsidRPr="008A4667">
        <w:t xml:space="preserve">RTU’s or </w:t>
      </w:r>
      <w:r w:rsidR="00D86B39" w:rsidRPr="008A4667">
        <w:t>PLCs</w:t>
      </w:r>
      <w:r w:rsidRPr="008A4667">
        <w:t xml:space="preserve"> at each stage </w:t>
      </w:r>
    </w:p>
    <w:p w14:paraId="708599C6" w14:textId="77777777" w:rsidR="00D86B39" w:rsidRPr="008A4667" w:rsidRDefault="00D86B39" w:rsidP="00D86B39">
      <w:pPr>
        <w:pStyle w:val="ListParagraph"/>
        <w:numPr>
          <w:ilvl w:val="0"/>
          <w:numId w:val="24"/>
        </w:numPr>
        <w:spacing w:line="240" w:lineRule="auto"/>
      </w:pPr>
      <w:r w:rsidRPr="008A4667">
        <w:t>C</w:t>
      </w:r>
      <w:r w:rsidR="00C07C01" w:rsidRPr="008A4667">
        <w:t>ommunication network using fibre</w:t>
      </w:r>
    </w:p>
    <w:p w14:paraId="7F3A81F3" w14:textId="77777777" w:rsidR="00D86B39" w:rsidRPr="008A4667" w:rsidRDefault="00D86B39" w:rsidP="00D86B39">
      <w:pPr>
        <w:pStyle w:val="ListParagraph"/>
        <w:numPr>
          <w:ilvl w:val="0"/>
          <w:numId w:val="24"/>
        </w:numPr>
        <w:spacing w:line="240" w:lineRule="auto"/>
      </w:pPr>
      <w:r w:rsidRPr="008A4667">
        <w:t>P</w:t>
      </w:r>
      <w:r w:rsidR="00C07C01" w:rsidRPr="008A4667">
        <w:t>rivate radio or 4G/5G</w:t>
      </w:r>
    </w:p>
    <w:p w14:paraId="4127AC58" w14:textId="0F8B7BF9" w:rsidR="00C07C01" w:rsidRPr="008A4667" w:rsidRDefault="00C07C01" w:rsidP="00D86B39">
      <w:pPr>
        <w:pStyle w:val="ListParagraph"/>
        <w:numPr>
          <w:ilvl w:val="0"/>
          <w:numId w:val="24"/>
        </w:numPr>
        <w:spacing w:line="240" w:lineRule="auto"/>
      </w:pPr>
      <w:r w:rsidRPr="008A4667">
        <w:t xml:space="preserve">SCADA servers </w:t>
      </w:r>
      <w:r w:rsidR="00D86B39" w:rsidRPr="008A4667">
        <w:t>hosting the real time database and historian</w:t>
      </w:r>
    </w:p>
    <w:p w14:paraId="5E8A67B1" w14:textId="3E094715" w:rsidR="00D86B39" w:rsidRPr="008A4667" w:rsidRDefault="00D86B39" w:rsidP="00D86B39">
      <w:pPr>
        <w:pStyle w:val="ListParagraph"/>
        <w:numPr>
          <w:ilvl w:val="0"/>
          <w:numId w:val="24"/>
        </w:numPr>
        <w:spacing w:line="240" w:lineRule="auto"/>
      </w:pPr>
      <w:r w:rsidRPr="008A4667">
        <w:t>Operator workstations running mimics</w:t>
      </w:r>
    </w:p>
    <w:p w14:paraId="586AC488" w14:textId="30C2FF5B" w:rsidR="00D86B39" w:rsidRPr="008A4667" w:rsidRDefault="00D86B39" w:rsidP="00D86B39">
      <w:pPr>
        <w:pStyle w:val="ListParagraph"/>
        <w:numPr>
          <w:ilvl w:val="0"/>
          <w:numId w:val="24"/>
        </w:numPr>
        <w:spacing w:line="240" w:lineRule="auto"/>
      </w:pPr>
      <w:r w:rsidRPr="008A4667">
        <w:t>Trend charts and alarm lists</w:t>
      </w:r>
    </w:p>
    <w:p w14:paraId="61FF82E3" w14:textId="51BEF0B9" w:rsidR="00D86B39" w:rsidRPr="008A4667" w:rsidRDefault="00D86B39" w:rsidP="00D86B39">
      <w:pPr>
        <w:spacing w:line="360" w:lineRule="auto"/>
      </w:pPr>
      <w:r w:rsidRPr="008A4667">
        <w:t xml:space="preserve">Telemetry is essential for remote pumping stations and combined sewer overflows (CSOs). Spill duration must be reported publicly as per the Environment Act 2021 (DEFRA, 2022). Effective alarm management is equally important. Alarm floods have contributed to major process incidents and UK utilities increasingly apply the alarm </w:t>
      </w:r>
      <w:r w:rsidR="00DD792B" w:rsidRPr="008A4667">
        <w:t>management lifecycle defined in IEC 62682 (2022) to rationali</w:t>
      </w:r>
      <w:r w:rsidR="00E03CC9">
        <w:t>s</w:t>
      </w:r>
      <w:r w:rsidR="00DD792B" w:rsidRPr="008A4667">
        <w:t>e and priorit</w:t>
      </w:r>
      <w:r w:rsidR="00E03CC9">
        <w:t>ise alarms</w:t>
      </w:r>
      <w:r w:rsidR="00DD792B" w:rsidRPr="008A4667">
        <w:t xml:space="preserve">. </w:t>
      </w:r>
      <w:r w:rsidR="00516FE3">
        <w:t>In practice, operators interact with SCADA th</w:t>
      </w:r>
      <w:r w:rsidR="00FA19BF">
        <w:t>r</w:t>
      </w:r>
      <w:r w:rsidR="00516FE3">
        <w:t>ough graphical mimics, alarm panels and historical trend data, allowing rapid identification of process deviations. The integration of real time data with historian systems also enables performance analysis and regulatory</w:t>
      </w:r>
      <w:r w:rsidR="00FA19BF">
        <w:t xml:space="preserve"> reporting</w:t>
      </w:r>
      <w:r w:rsidR="00516FE3">
        <w:t xml:space="preserve">, supporting both operational decision making and compliance. </w:t>
      </w:r>
    </w:p>
    <w:p w14:paraId="0CE2763E" w14:textId="7FC41BC9" w:rsidR="008A4667" w:rsidRDefault="00FA6338" w:rsidP="007C6F44">
      <w:r>
        <w:rPr>
          <w:rFonts w:eastAsia="Times New Roman"/>
          <w:noProof/>
        </w:rPr>
        <w:drawing>
          <wp:inline distT="0" distB="0" distL="0" distR="0" wp14:anchorId="55F99993" wp14:editId="0F65FE66">
            <wp:extent cx="5731510" cy="348234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5731510" cy="3482340"/>
                    </a:xfrm>
                    <a:prstGeom prst="rect">
                      <a:avLst/>
                    </a:prstGeom>
                    <a:noFill/>
                    <a:ln>
                      <a:noFill/>
                    </a:ln>
                  </pic:spPr>
                </pic:pic>
              </a:graphicData>
            </a:graphic>
          </wp:inline>
        </w:drawing>
      </w:r>
    </w:p>
    <w:p w14:paraId="420D64E0" w14:textId="2FFC34FD" w:rsidR="007C6F44" w:rsidRDefault="007C6F44" w:rsidP="007C6F44">
      <w:pPr>
        <w:pStyle w:val="Caption"/>
        <w:jc w:val="center"/>
      </w:pPr>
      <w:bookmarkStart w:id="13" w:name="_Toc228120044"/>
      <w:r>
        <w:t xml:space="preserve">Figure </w:t>
      </w:r>
      <w:fldSimple w:instr=" SEQ Figure \* ARABIC ">
        <w:r>
          <w:rPr>
            <w:noProof/>
          </w:rPr>
          <w:t>3</w:t>
        </w:r>
      </w:fldSimple>
      <w:r>
        <w:t xml:space="preserve">. </w:t>
      </w:r>
      <w:r w:rsidR="00FA6338" w:rsidRPr="00FA6338">
        <w:t>Typical SCADA system architecture (Stouffer et al., 2023).</w:t>
      </w:r>
      <w:bookmarkEnd w:id="13"/>
    </w:p>
    <w:p w14:paraId="4219E8F3" w14:textId="77777777" w:rsidR="00FA6338" w:rsidRPr="00FA6338" w:rsidRDefault="00FA6338" w:rsidP="00FA6338">
      <w:pPr>
        <w:spacing w:line="360" w:lineRule="auto"/>
      </w:pPr>
      <w:r w:rsidRPr="00FA6338">
        <w:lastRenderedPageBreak/>
        <w:t>Figure 3 illustrates this hierarchy, with the Primary and Backup Control Centres providing supervisory functions while remote stations house the local PLCs, sensors and actuators that interface directly with the process</w:t>
      </w:r>
    </w:p>
    <w:p w14:paraId="077F17B6" w14:textId="1BA272C6" w:rsidR="00DD792B" w:rsidRPr="00516FE3" w:rsidRDefault="00DD792B" w:rsidP="00DD792B">
      <w:pPr>
        <w:pStyle w:val="Heading1"/>
      </w:pPr>
      <w:bookmarkStart w:id="14" w:name="_Toc228120037"/>
      <w:r w:rsidRPr="00516FE3">
        <w:t>8. Regulations and standards</w:t>
      </w:r>
      <w:bookmarkEnd w:id="14"/>
    </w:p>
    <w:p w14:paraId="05D3D8B6" w14:textId="36AB4724" w:rsidR="004B1C3C" w:rsidRPr="00516FE3" w:rsidRDefault="008A4667" w:rsidP="008A4667">
      <w:pPr>
        <w:spacing w:line="360" w:lineRule="auto"/>
      </w:pPr>
      <w:r w:rsidRPr="00516FE3">
        <w:t xml:space="preserve">ICA design is driven by a dense regulatory framework. The Urban </w:t>
      </w:r>
      <w:proofErr w:type="gramStart"/>
      <w:r w:rsidRPr="00516FE3">
        <w:t>Waste Water</w:t>
      </w:r>
      <w:proofErr w:type="gramEnd"/>
      <w:r w:rsidRPr="00516FE3">
        <w:t xml:space="preserve"> Treatment Regulations 1994 transpose the 91/271/EEC directive. Moreover, they set numerical effluent standards for BOD, COD, suspended solids, nitrogen and phosphorus. The Environmental Permitting Regulation</w:t>
      </w:r>
      <w:r w:rsidR="00013AD5">
        <w:t>s</w:t>
      </w:r>
      <w:r w:rsidRPr="00516FE3">
        <w:t xml:space="preserve"> 2016 require every works to hold a permit specifying monitoring and reporting obligations. This is enforced by the </w:t>
      </w:r>
      <w:r w:rsidR="00013AD5">
        <w:t>E</w:t>
      </w:r>
      <w:r w:rsidRPr="00516FE3">
        <w:t xml:space="preserve">nvironment </w:t>
      </w:r>
      <w:r w:rsidR="00013AD5">
        <w:t>A</w:t>
      </w:r>
      <w:r w:rsidRPr="00516FE3">
        <w:t xml:space="preserve">gency. IEC 61511 governs Safety Instrumented Systems such as digester high level trips. IEC 62443 and the NIS Regulations 2018 govern operations technology cybersecurity. MCERTS certification is mandatory for flow and quality instruments feeding Operator Self-Monitoring returns. </w:t>
      </w:r>
      <w:r w:rsidR="004669BB" w:rsidRPr="00516FE3">
        <w:t xml:space="preserve">Ofwat’s PR24 / AMP8 price review explicitly rewards digital monitoring and storm overflow transparency. </w:t>
      </w:r>
      <w:r w:rsidR="00E03CC9" w:rsidRPr="00516FE3">
        <w:t>This makes ICA investment a regulated deliverable rather than an optional upgrade (Ofwat, 2024).</w:t>
      </w:r>
    </w:p>
    <w:p w14:paraId="57521861" w14:textId="23CC3494" w:rsidR="008A4667" w:rsidRPr="00516FE3" w:rsidRDefault="004B1C3C" w:rsidP="004B1C3C">
      <w:pPr>
        <w:pStyle w:val="Heading1"/>
      </w:pPr>
      <w:bookmarkStart w:id="15" w:name="_Toc228120038"/>
      <w:r w:rsidRPr="00516FE3">
        <w:t>9. Advanced and emerging technology</w:t>
      </w:r>
      <w:bookmarkEnd w:id="15"/>
      <w:r w:rsidR="004669BB" w:rsidRPr="00516FE3">
        <w:t xml:space="preserve"> </w:t>
      </w:r>
    </w:p>
    <w:p w14:paraId="519C9688" w14:textId="192C3B59" w:rsidR="00CE295C" w:rsidRPr="00516FE3" w:rsidRDefault="004B1C3C" w:rsidP="00CE295C">
      <w:pPr>
        <w:spacing w:line="360" w:lineRule="auto"/>
      </w:pPr>
      <w:r w:rsidRPr="00516FE3">
        <w:t xml:space="preserve">Three developments are currently reshaping the sector. </w:t>
      </w:r>
      <w:r w:rsidR="00C53DF3" w:rsidRPr="00516FE3">
        <w:t>First</w:t>
      </w:r>
      <w:r w:rsidR="00013AD5">
        <w:t>,</w:t>
      </w:r>
      <w:r w:rsidR="00C53DF3" w:rsidRPr="00516FE3">
        <w:t xml:space="preserve"> d</w:t>
      </w:r>
      <w:r w:rsidRPr="00516FE3">
        <w:t xml:space="preserve">igital twins </w:t>
      </w:r>
      <w:r w:rsidR="0021742F">
        <w:t>are</w:t>
      </w:r>
      <w:r w:rsidRPr="00516FE3">
        <w:t xml:space="preserve"> real time virtual replicas of the physical works updated from SCADA and lab</w:t>
      </w:r>
      <w:r w:rsidR="00F714AC" w:rsidRPr="00516FE3">
        <w:t>oratory data. This allows for control strategy changes to be tested in simulation before deployment on the live plant (Ingildsen and</w:t>
      </w:r>
      <w:r w:rsidR="00013AD5">
        <w:t xml:space="preserve"> </w:t>
      </w:r>
      <w:r w:rsidR="00F714AC" w:rsidRPr="00516FE3">
        <w:t xml:space="preserve">Olsson, 2016). </w:t>
      </w:r>
      <w:r w:rsidR="00C53DF3" w:rsidRPr="00516FE3">
        <w:t xml:space="preserve">Machine learning is used for sensor fault detection, influent prediction and soft sensing of variables that would otherwise require laboratory analysis. Second, low cost </w:t>
      </w:r>
      <w:proofErr w:type="spellStart"/>
      <w:r w:rsidR="00C53DF3" w:rsidRPr="00516FE3">
        <w:t>IIoT</w:t>
      </w:r>
      <w:proofErr w:type="spellEnd"/>
      <w:r w:rsidR="00C53DF3" w:rsidRPr="00516FE3">
        <w:t xml:space="preserve"> sensors connected via </w:t>
      </w:r>
      <w:proofErr w:type="spellStart"/>
      <w:r w:rsidR="00C53DF3" w:rsidRPr="00516FE3">
        <w:t>LoRaWAN</w:t>
      </w:r>
      <w:proofErr w:type="spellEnd"/>
      <w:r w:rsidR="00C53DF3" w:rsidRPr="00516FE3">
        <w:t xml:space="preserve"> or NB-IoT are extending instrumentation into the sewer network itself. This allows predictive maintenance and catchment scale optimisation. Third, advanced </w:t>
      </w:r>
      <w:r w:rsidR="00CE295C" w:rsidRPr="00516FE3">
        <w:t>ammonia-based</w:t>
      </w:r>
      <w:r w:rsidR="00C53DF3" w:rsidRPr="00516FE3">
        <w:t xml:space="preserve"> aeration control and MPC based DO scheduling </w:t>
      </w:r>
      <w:r w:rsidR="00CE295C" w:rsidRPr="00516FE3">
        <w:t>has</w:t>
      </w:r>
      <w:r w:rsidR="00C53DF3" w:rsidRPr="00516FE3">
        <w:t xml:space="preserve"> delivered 20-30% energy savings at full scale installations</w:t>
      </w:r>
      <w:r w:rsidR="00CE295C" w:rsidRPr="00516FE3">
        <w:t xml:space="preserve"> (</w:t>
      </w:r>
      <w:proofErr w:type="spellStart"/>
      <w:r w:rsidR="00CE295C" w:rsidRPr="00516FE3">
        <w:t>Åmand</w:t>
      </w:r>
      <w:proofErr w:type="spellEnd"/>
      <w:r w:rsidR="00CE295C" w:rsidRPr="00516FE3">
        <w:t xml:space="preserve"> and Carlsson, 2012). This is a meaningful contribution to the industry’s 2050 Net Zero obligation. </w:t>
      </w:r>
      <w:r w:rsidR="001923C8" w:rsidRPr="00516FE3">
        <w:t xml:space="preserve">For example, Anglian water </w:t>
      </w:r>
      <w:r w:rsidR="00FA19BF">
        <w:t>has</w:t>
      </w:r>
      <w:r w:rsidR="001923C8" w:rsidRPr="00516FE3">
        <w:t xml:space="preserve"> implemented advanced aeration control </w:t>
      </w:r>
      <w:r w:rsidR="00FA19BF">
        <w:t xml:space="preserve">strategies across multiple treatment works, achieving energy savings of </w:t>
      </w:r>
      <w:r w:rsidR="001923C8" w:rsidRPr="00516FE3">
        <w:t>approximately 20-30%</w:t>
      </w:r>
      <w:r w:rsidR="00FA19BF">
        <w:t xml:space="preserve"> through optimised blower operation. These implementations demonstrate that the theoretical benefits of ICA can be realised in full scale water treatment environments. </w:t>
      </w:r>
      <w:r w:rsidR="001923C8" w:rsidRPr="00516FE3">
        <w:t xml:space="preserve"> </w:t>
      </w:r>
    </w:p>
    <w:p w14:paraId="2F63E406" w14:textId="77777777" w:rsidR="00CE295C" w:rsidRPr="00516FE3" w:rsidRDefault="00CE295C">
      <w:r w:rsidRPr="00516FE3">
        <w:br w:type="page"/>
      </w:r>
    </w:p>
    <w:p w14:paraId="7C3B48EC" w14:textId="033FA441" w:rsidR="00CE295C" w:rsidRPr="004E23F3" w:rsidRDefault="00CE295C" w:rsidP="00CE295C">
      <w:pPr>
        <w:pStyle w:val="Heading1"/>
      </w:pPr>
      <w:bookmarkStart w:id="16" w:name="_Toc228120039"/>
      <w:r w:rsidRPr="004E23F3">
        <w:lastRenderedPageBreak/>
        <w:t>10. Critical analysis</w:t>
      </w:r>
      <w:bookmarkEnd w:id="16"/>
      <w:r w:rsidRPr="004E23F3">
        <w:t xml:space="preserve"> </w:t>
      </w:r>
    </w:p>
    <w:p w14:paraId="357F5B55" w14:textId="6596BEF1" w:rsidR="00CE295C" w:rsidRPr="00E03CC9" w:rsidRDefault="00CE295C" w:rsidP="00CE295C">
      <w:pPr>
        <w:spacing w:line="360" w:lineRule="auto"/>
      </w:pPr>
      <w:r w:rsidRPr="00885184">
        <w:t>While automation has unquestionably transformed wastewater treatment, the evidence is more nuanced than a simple ‘good automation’ narrative. On the positive side, ICA has enabled continuous, high quality effluent compliance. This has been reached on a scale that manual operation could never have achieved. Olsson (2012) documents improvements in both energy efficiency and treatment consistency</w:t>
      </w:r>
      <w:r w:rsidR="004E23F3" w:rsidRPr="00885184">
        <w:t xml:space="preserve"> of the order of 20-30% compared with pre-automation baselines. Supervisory platforms have allowed utilities to run large geographic networks of unmanned assets. </w:t>
      </w:r>
      <w:r w:rsidR="00E03CC9" w:rsidRPr="00E03CC9">
        <w:t>This has reduced operational headcount and improved safety by removing operators from hazardous confined spaces.</w:t>
      </w:r>
    </w:p>
    <w:p w14:paraId="5ADBEC61" w14:textId="407F9053" w:rsidR="004E23F3" w:rsidRPr="00E03CC9" w:rsidRDefault="004E23F3" w:rsidP="00CE295C">
      <w:pPr>
        <w:spacing w:line="360" w:lineRule="auto"/>
      </w:pPr>
      <w:r w:rsidRPr="00885184">
        <w:t xml:space="preserve">However, several limitations must be acknowledged. First, ICA is only reliable as its weakest sensor. </w:t>
      </w:r>
      <w:proofErr w:type="spellStart"/>
      <w:r w:rsidRPr="00885184">
        <w:t>Vanrolleghem</w:t>
      </w:r>
      <w:proofErr w:type="spellEnd"/>
      <w:r w:rsidRPr="00885184">
        <w:t xml:space="preserve"> and Lee (2003) show that ammonia and phosphate analysers drift rapidly in the mixed liquor environment. This means frequent calibration, so an apparently closed control loop may in fact be following a biased measurement. Second, the move from </w:t>
      </w:r>
      <w:r w:rsidR="00650FF7" w:rsidRPr="00885184">
        <w:t>pneumatic</w:t>
      </w:r>
      <w:r w:rsidRPr="00885184">
        <w:t xml:space="preserve"> to mic</w:t>
      </w:r>
      <w:r w:rsidR="00650FF7" w:rsidRPr="00885184">
        <w:t xml:space="preserve">roprocessor based digital control introduced sampling delays. Quantisation noise and algorithmic complexity that can degrade loop stability if controllers are poorly tuned. Classical </w:t>
      </w:r>
      <w:r w:rsidR="00D24081" w:rsidRPr="00885184">
        <w:t>pole placement analysis becomes more difficult once zero order holds and transport delays are added to the model (</w:t>
      </w:r>
      <w:proofErr w:type="spellStart"/>
      <w:r w:rsidR="00D24081" w:rsidRPr="00885184">
        <w:t>Åström</w:t>
      </w:r>
      <w:proofErr w:type="spellEnd"/>
      <w:r w:rsidR="00D24081" w:rsidRPr="00885184">
        <w:t xml:space="preserve"> and </w:t>
      </w:r>
      <w:proofErr w:type="spellStart"/>
      <w:r w:rsidR="00013AD5">
        <w:t>W</w:t>
      </w:r>
      <w:r w:rsidR="00D24081" w:rsidRPr="00885184">
        <w:t>ittenmark</w:t>
      </w:r>
      <w:proofErr w:type="spellEnd"/>
      <w:r w:rsidR="00D24081" w:rsidRPr="00885184">
        <w:t xml:space="preserve">, 2011). Third, the same connectivity that underpins SCADA and </w:t>
      </w:r>
      <w:proofErr w:type="spellStart"/>
      <w:r w:rsidR="00D24081" w:rsidRPr="00885184">
        <w:t>IIoT</w:t>
      </w:r>
      <w:proofErr w:type="spellEnd"/>
      <w:r w:rsidR="00D24081" w:rsidRPr="00885184">
        <w:t xml:space="preserve"> creates an attack surface that simply did not exist for isolated pneumatic plants. </w:t>
      </w:r>
      <w:r w:rsidR="00E03CC9">
        <w:t xml:space="preserve">For example, </w:t>
      </w:r>
      <w:r w:rsidR="00013AD5">
        <w:t xml:space="preserve">in </w:t>
      </w:r>
      <w:r w:rsidR="00E03CC9">
        <w:t>t</w:t>
      </w:r>
      <w:r w:rsidR="00E03CC9" w:rsidRPr="00E03CC9">
        <w:t xml:space="preserve">he 2000 </w:t>
      </w:r>
      <w:proofErr w:type="spellStart"/>
      <w:r w:rsidR="00E03CC9" w:rsidRPr="00E03CC9">
        <w:t>Maroochy</w:t>
      </w:r>
      <w:proofErr w:type="spellEnd"/>
      <w:r w:rsidR="00E03CC9" w:rsidRPr="00E03CC9">
        <w:t xml:space="preserve"> Shire incident in Australia, a disgruntled contractor used radio commands to release ~800,000 litres of raw sewage into local watercourses (Slay and Miller, 2007)</w:t>
      </w:r>
      <w:r w:rsidR="00E03CC9">
        <w:t xml:space="preserve">. </w:t>
      </w:r>
      <w:r w:rsidR="00363248">
        <w:t>I</w:t>
      </w:r>
      <w:r w:rsidR="00E03CC9">
        <w:t>ncidents</w:t>
      </w:r>
      <w:r w:rsidR="00363248">
        <w:t xml:space="preserve"> like these</w:t>
      </w:r>
      <w:r w:rsidR="00E03CC9" w:rsidRPr="00E03CC9">
        <w:t xml:space="preserve"> demonstrate that operational technology cyber risk is now a material operational hazard for the water sector.</w:t>
      </w:r>
      <w:r w:rsidR="00D24081" w:rsidRPr="00E03CC9">
        <w:t xml:space="preserve"> </w:t>
      </w:r>
    </w:p>
    <w:p w14:paraId="37E27A02" w14:textId="74B94210" w:rsidR="00BF7D49" w:rsidRPr="009206B3" w:rsidRDefault="00885184" w:rsidP="00885184">
      <w:pPr>
        <w:spacing w:line="360" w:lineRule="auto"/>
      </w:pPr>
      <w:r w:rsidRPr="009206B3">
        <w:t>Balanced against these drawbacks, machine learning supervisors and digital twins offer genuinely new capability but remain poorly validated in industrial settings. Most published case studies cover pilots rather than fully instrumented long-term deployments. Moreover, regulators are understandably cautious about allowing ML algorithms to control variables that have statutory discharge limits (Ingildsen and Olsson, 2016). A realistic assessment is that the industry has reached a point of diminishing returns on basic loop automation</w:t>
      </w:r>
      <w:r w:rsidR="00BF7D49" w:rsidRPr="009206B3">
        <w:t>. However, there is substantial headroom on the supervisory, energy optimi</w:t>
      </w:r>
      <w:r w:rsidR="00013AD5" w:rsidRPr="009206B3">
        <w:t>s</w:t>
      </w:r>
      <w:r w:rsidR="00BF7D49" w:rsidRPr="009206B3">
        <w:t xml:space="preserve">ation and cyber resilience front. </w:t>
      </w:r>
    </w:p>
    <w:p w14:paraId="15ED6C6E" w14:textId="77777777" w:rsidR="00BF7D49" w:rsidRPr="009206B3" w:rsidRDefault="00BF7D49" w:rsidP="00BF7D49">
      <w:pPr>
        <w:spacing w:line="240" w:lineRule="auto"/>
      </w:pPr>
      <w:r w:rsidRPr="009206B3">
        <w:t>The highest value interventions for the next AMP cycle are likely to be:</w:t>
      </w:r>
    </w:p>
    <w:p w14:paraId="6F53F929" w14:textId="2BE21E7D" w:rsidR="00BF7D49" w:rsidRPr="009206B3" w:rsidRDefault="00BF7D49" w:rsidP="00BF7D49">
      <w:pPr>
        <w:pStyle w:val="ListParagraph"/>
        <w:numPr>
          <w:ilvl w:val="0"/>
          <w:numId w:val="25"/>
        </w:numPr>
        <w:spacing w:line="240" w:lineRule="auto"/>
      </w:pPr>
      <w:r w:rsidRPr="009206B3">
        <w:t>Better sensor reliability</w:t>
      </w:r>
    </w:p>
    <w:p w14:paraId="79D92269" w14:textId="3760EEE5" w:rsidR="00885184" w:rsidRPr="009206B3" w:rsidRDefault="00BF7D49" w:rsidP="00BF7D49">
      <w:pPr>
        <w:pStyle w:val="ListParagraph"/>
        <w:numPr>
          <w:ilvl w:val="0"/>
          <w:numId w:val="25"/>
        </w:numPr>
        <w:spacing w:line="240" w:lineRule="auto"/>
      </w:pPr>
      <w:r w:rsidRPr="009206B3">
        <w:t>Robust MPC of aeration</w:t>
      </w:r>
    </w:p>
    <w:p w14:paraId="00C72D00" w14:textId="0D70264A" w:rsidR="00BF7D49" w:rsidRPr="009206B3" w:rsidRDefault="00BF7D49" w:rsidP="00BF7D49">
      <w:pPr>
        <w:pStyle w:val="ListParagraph"/>
        <w:numPr>
          <w:ilvl w:val="0"/>
          <w:numId w:val="25"/>
        </w:numPr>
        <w:spacing w:line="240" w:lineRule="auto"/>
      </w:pPr>
      <w:r w:rsidRPr="009206B3">
        <w:t>Systematic cyber hardening of the existing SCADA estate</w:t>
      </w:r>
    </w:p>
    <w:p w14:paraId="2C1F06E2" w14:textId="15A94051" w:rsidR="00BF7D49" w:rsidRPr="009206B3" w:rsidRDefault="00BF7D49" w:rsidP="00BF7D49">
      <w:pPr>
        <w:spacing w:line="240" w:lineRule="auto"/>
      </w:pPr>
      <w:r w:rsidRPr="009206B3">
        <w:t xml:space="preserve">This would be the way forward opposed to additional field instrumentation. </w:t>
      </w:r>
    </w:p>
    <w:p w14:paraId="35C7BC8A" w14:textId="32C2E60C" w:rsidR="004B1C3C" w:rsidRPr="009206B3" w:rsidRDefault="00BF7D49" w:rsidP="00BF7D49">
      <w:pPr>
        <w:pStyle w:val="Heading1"/>
      </w:pPr>
      <w:bookmarkStart w:id="17" w:name="_Toc228120040"/>
      <w:r w:rsidRPr="009206B3">
        <w:lastRenderedPageBreak/>
        <w:t>11. Conclusion</w:t>
      </w:r>
      <w:bookmarkEnd w:id="17"/>
      <w:r w:rsidRPr="009206B3">
        <w:t xml:space="preserve"> </w:t>
      </w:r>
    </w:p>
    <w:p w14:paraId="4A643543" w14:textId="0551BF35" w:rsidR="00B77B73" w:rsidRPr="009206B3" w:rsidRDefault="00B77B73" w:rsidP="00B77B73">
      <w:pPr>
        <w:spacing w:line="360" w:lineRule="auto"/>
      </w:pPr>
      <w:r w:rsidRPr="009206B3">
        <w:t xml:space="preserve">Automation has become an indispensable element of wastewater treatment. It has enabled the sector </w:t>
      </w:r>
      <w:r w:rsidR="00013AD5" w:rsidRPr="009206B3">
        <w:t xml:space="preserve">to </w:t>
      </w:r>
      <w:r w:rsidRPr="009206B3">
        <w:t xml:space="preserve">achieve levels of process stability, efficiency and regulatory compliance that would not have been possible through manual operation alone. The integration of sensors, control systems, and supervisory platforms has </w:t>
      </w:r>
      <w:r w:rsidR="00363248" w:rsidRPr="009206B3">
        <w:t>allowed treatment plants to respond dynamically to fluctuating influent conditions</w:t>
      </w:r>
      <w:r w:rsidRPr="009206B3">
        <w:t xml:space="preserve"> and maintai</w:t>
      </w:r>
      <w:r w:rsidR="00363248" w:rsidRPr="009206B3">
        <w:t>n</w:t>
      </w:r>
      <w:r w:rsidRPr="009206B3">
        <w:t xml:space="preserve"> consistent effluent quality. In particular, the widespread use of PID control, supported by SCADA and DCS architectures. This extra layer has provided a robust foundation for reliable plant operation. </w:t>
      </w:r>
    </w:p>
    <w:p w14:paraId="372B4965" w14:textId="72471FB7" w:rsidR="00DD792B" w:rsidRPr="009206B3" w:rsidRDefault="00B77B73" w:rsidP="00B77B73">
      <w:pPr>
        <w:spacing w:line="360" w:lineRule="auto"/>
      </w:pPr>
      <w:r w:rsidRPr="009206B3">
        <w:t>However, this report has shown that the effectiveness of automation is not without limitations. The dependency on accurate and reliable instrumentation remains a critical weakness. As sensor drift and maintenance issues can compromise control</w:t>
      </w:r>
      <w:r w:rsidR="00A95CE9" w:rsidRPr="009206B3">
        <w:t xml:space="preserve"> performance. Additionally, increasing system complexity, digitalisation, and connectivity introduce new challenges. </w:t>
      </w:r>
      <w:r w:rsidR="00363248" w:rsidRPr="009206B3">
        <w:t>This is especially true when it comes to cybersecurity</w:t>
      </w:r>
      <w:r w:rsidR="00A95CE9" w:rsidRPr="009206B3">
        <w:t xml:space="preserve"> and system stability. While advanced approaches such as Model Predictive Control, machine learning, and digital twins offer significant potential, their implementation is still evolving. Moreover, these methods require further validation in full scale industrial environments. </w:t>
      </w:r>
    </w:p>
    <w:p w14:paraId="05604DD6" w14:textId="65E9873D" w:rsidR="00A95CE9" w:rsidRPr="009206B3" w:rsidRDefault="00A95CE9" w:rsidP="00B77B73">
      <w:pPr>
        <w:spacing w:line="360" w:lineRule="auto"/>
      </w:pPr>
      <w:r w:rsidRPr="009206B3">
        <w:t xml:space="preserve">Overall, the future of automation in wastewater treatment lies not in simply increasing the level of instrumentation but in improving a multitude of factors. Such as, reliability, integration and intelligence of existing systems. Greater emphasis on sensor accuracy, energy optimisation, and cyber resilience will be essential to meet future regulatory and sustainability targets. </w:t>
      </w:r>
      <w:r w:rsidR="00043063" w:rsidRPr="009206B3">
        <w:t xml:space="preserve">Automation will continue to play a central role in supporting the industry’s transition towards more efficient and environmentally responsible operation. However, its success will depend on a balanced and well-engineered application of both established and emerging technologies. </w:t>
      </w:r>
    </w:p>
    <w:p w14:paraId="4DAF9C5E" w14:textId="1509D145" w:rsidR="003531C9" w:rsidRPr="008A4667" w:rsidRDefault="003531C9" w:rsidP="00AE57E6">
      <w:pPr>
        <w:spacing w:line="360" w:lineRule="auto"/>
        <w:rPr>
          <w:lang w:eastAsia="en-GB"/>
        </w:rPr>
      </w:pPr>
      <w:r w:rsidRPr="008A4667">
        <w:rPr>
          <w:lang w:eastAsia="en-GB"/>
        </w:rPr>
        <w:br w:type="page"/>
      </w:r>
    </w:p>
    <w:p w14:paraId="7EADE7BC" w14:textId="052A9555" w:rsidR="00B73EA1" w:rsidRPr="008A4667" w:rsidRDefault="00B73EA1" w:rsidP="00B73EA1">
      <w:pPr>
        <w:pStyle w:val="Heading1"/>
        <w:rPr>
          <w:rFonts w:eastAsia="Times New Roman"/>
          <w:lang w:eastAsia="en-GB"/>
        </w:rPr>
      </w:pPr>
      <w:bookmarkStart w:id="18" w:name="_Toc228120041"/>
      <w:r w:rsidRPr="008A4667">
        <w:rPr>
          <w:rFonts w:eastAsia="Times New Roman"/>
          <w:lang w:eastAsia="en-GB"/>
        </w:rPr>
        <w:lastRenderedPageBreak/>
        <w:t>Reference list</w:t>
      </w:r>
      <w:bookmarkEnd w:id="18"/>
    </w:p>
    <w:p w14:paraId="63B84988"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proofErr w:type="spellStart"/>
      <w:r w:rsidRPr="008B5B3E">
        <w:rPr>
          <w:rFonts w:eastAsia="Times New Roman" w:cstheme="minorHAnsi"/>
          <w:kern w:val="0"/>
          <w:sz w:val="24"/>
          <w:szCs w:val="24"/>
          <w:lang w:val="en-US" w:eastAsia="en-GB"/>
          <w14:ligatures w14:val="none"/>
        </w:rPr>
        <w:t>Åmand</w:t>
      </w:r>
      <w:proofErr w:type="spellEnd"/>
      <w:r w:rsidRPr="008B5B3E">
        <w:rPr>
          <w:rFonts w:eastAsia="Times New Roman" w:cstheme="minorHAnsi"/>
          <w:kern w:val="0"/>
          <w:sz w:val="24"/>
          <w:szCs w:val="24"/>
          <w:lang w:val="en-US" w:eastAsia="en-GB"/>
          <w14:ligatures w14:val="none"/>
        </w:rPr>
        <w:t>, L. and Carlsson, B. (2012) 'Optimal aeration control in a nitrifying activated sludge process', </w:t>
      </w:r>
      <w:r w:rsidRPr="008B5B3E">
        <w:rPr>
          <w:rFonts w:eastAsia="Times New Roman" w:cstheme="minorHAnsi"/>
          <w:i/>
          <w:iCs/>
          <w:kern w:val="0"/>
          <w:sz w:val="24"/>
          <w:szCs w:val="24"/>
          <w:lang w:val="en-US" w:eastAsia="en-GB"/>
          <w14:ligatures w14:val="none"/>
        </w:rPr>
        <w:t>Water Research</w:t>
      </w:r>
      <w:r w:rsidRPr="008B5B3E">
        <w:rPr>
          <w:rFonts w:eastAsia="Times New Roman" w:cstheme="minorHAnsi"/>
          <w:kern w:val="0"/>
          <w:sz w:val="24"/>
          <w:szCs w:val="24"/>
          <w:lang w:val="en-US" w:eastAsia="en-GB"/>
          <w14:ligatures w14:val="none"/>
        </w:rPr>
        <w:t xml:space="preserve">, 46(7), pp. 2101–2110. </w:t>
      </w:r>
      <w:proofErr w:type="spellStart"/>
      <w:r w:rsidRPr="008B5B3E">
        <w:rPr>
          <w:rFonts w:eastAsia="Times New Roman" w:cstheme="minorHAnsi"/>
          <w:kern w:val="0"/>
          <w:sz w:val="24"/>
          <w:szCs w:val="24"/>
          <w:lang w:val="en-US" w:eastAsia="en-GB"/>
          <w14:ligatures w14:val="none"/>
        </w:rPr>
        <w:t>doi</w:t>
      </w:r>
      <w:proofErr w:type="spellEnd"/>
      <w:r w:rsidRPr="008B5B3E">
        <w:rPr>
          <w:rFonts w:eastAsia="Times New Roman" w:cstheme="minorHAnsi"/>
          <w:kern w:val="0"/>
          <w:sz w:val="24"/>
          <w:szCs w:val="24"/>
          <w:lang w:val="en-US" w:eastAsia="en-GB"/>
          <w14:ligatures w14:val="none"/>
        </w:rPr>
        <w:t>: 10.1016/j.watres.2012.01.023.</w:t>
      </w:r>
    </w:p>
    <w:p w14:paraId="2FE9D454"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Åström, K.J. and Hägglund, T. (2006) </w:t>
      </w:r>
      <w:r w:rsidRPr="008B5B3E">
        <w:rPr>
          <w:rFonts w:eastAsia="Times New Roman" w:cstheme="minorHAnsi"/>
          <w:i/>
          <w:iCs/>
          <w:kern w:val="0"/>
          <w:sz w:val="24"/>
          <w:szCs w:val="24"/>
          <w:lang w:val="en-US" w:eastAsia="en-GB"/>
          <w14:ligatures w14:val="none"/>
        </w:rPr>
        <w:t>Advanced PID Control</w:t>
      </w:r>
      <w:r w:rsidRPr="008B5B3E">
        <w:rPr>
          <w:rFonts w:eastAsia="Times New Roman" w:cstheme="minorHAnsi"/>
          <w:kern w:val="0"/>
          <w:sz w:val="24"/>
          <w:szCs w:val="24"/>
          <w:lang w:val="en-US" w:eastAsia="en-GB"/>
          <w14:ligatures w14:val="none"/>
        </w:rPr>
        <w:t>. Research Triangle Park, NC: ISA — The Instrumentation, Systems, and Automation Society.</w:t>
      </w:r>
    </w:p>
    <w:p w14:paraId="38835FE6"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Åström, K.J. and Murray, R.M. (2008) </w:t>
      </w:r>
      <w:r w:rsidRPr="008B5B3E">
        <w:rPr>
          <w:rFonts w:eastAsia="Times New Roman" w:cstheme="minorHAnsi"/>
          <w:i/>
          <w:iCs/>
          <w:kern w:val="0"/>
          <w:sz w:val="24"/>
          <w:szCs w:val="24"/>
          <w:lang w:val="en-US" w:eastAsia="en-GB"/>
          <w14:ligatures w14:val="none"/>
        </w:rPr>
        <w:t>Feedback Systems: An Introduction for Scientists and Engineers</w:t>
      </w:r>
      <w:r w:rsidRPr="008B5B3E">
        <w:rPr>
          <w:rFonts w:eastAsia="Times New Roman" w:cstheme="minorHAnsi"/>
          <w:kern w:val="0"/>
          <w:sz w:val="24"/>
          <w:szCs w:val="24"/>
          <w:lang w:val="en-US" w:eastAsia="en-GB"/>
          <w14:ligatures w14:val="none"/>
        </w:rPr>
        <w:t>. Princeton, NJ: Princeton University Press.</w:t>
      </w:r>
    </w:p>
    <w:p w14:paraId="2302DC0A"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 xml:space="preserve">Åström, K.J. and </w:t>
      </w:r>
      <w:proofErr w:type="spellStart"/>
      <w:r w:rsidRPr="008B5B3E">
        <w:rPr>
          <w:rFonts w:eastAsia="Times New Roman" w:cstheme="minorHAnsi"/>
          <w:kern w:val="0"/>
          <w:sz w:val="24"/>
          <w:szCs w:val="24"/>
          <w:lang w:val="en-US" w:eastAsia="en-GB"/>
          <w14:ligatures w14:val="none"/>
        </w:rPr>
        <w:t>Wittenmark</w:t>
      </w:r>
      <w:proofErr w:type="spellEnd"/>
      <w:r w:rsidRPr="008B5B3E">
        <w:rPr>
          <w:rFonts w:eastAsia="Times New Roman" w:cstheme="minorHAnsi"/>
          <w:kern w:val="0"/>
          <w:sz w:val="24"/>
          <w:szCs w:val="24"/>
          <w:lang w:val="en-US" w:eastAsia="en-GB"/>
          <w14:ligatures w14:val="none"/>
        </w:rPr>
        <w:t>, B. (2011) </w:t>
      </w:r>
      <w:r w:rsidRPr="008B5B3E">
        <w:rPr>
          <w:rFonts w:eastAsia="Times New Roman" w:cstheme="minorHAnsi"/>
          <w:i/>
          <w:iCs/>
          <w:kern w:val="0"/>
          <w:sz w:val="24"/>
          <w:szCs w:val="24"/>
          <w:lang w:val="en-US" w:eastAsia="en-GB"/>
          <w14:ligatures w14:val="none"/>
        </w:rPr>
        <w:t>Computer-Controlled Systems: Theory and Design</w:t>
      </w:r>
      <w:r w:rsidRPr="008B5B3E">
        <w:rPr>
          <w:rFonts w:eastAsia="Times New Roman" w:cstheme="minorHAnsi"/>
          <w:kern w:val="0"/>
          <w:sz w:val="24"/>
          <w:szCs w:val="24"/>
          <w:lang w:val="en-US" w:eastAsia="en-GB"/>
          <w14:ligatures w14:val="none"/>
        </w:rPr>
        <w:t xml:space="preserve">. 3rd </w:t>
      </w:r>
      <w:proofErr w:type="spellStart"/>
      <w:r w:rsidRPr="008B5B3E">
        <w:rPr>
          <w:rFonts w:eastAsia="Times New Roman" w:cstheme="minorHAnsi"/>
          <w:kern w:val="0"/>
          <w:sz w:val="24"/>
          <w:szCs w:val="24"/>
          <w:lang w:val="en-US" w:eastAsia="en-GB"/>
          <w14:ligatures w14:val="none"/>
        </w:rPr>
        <w:t>edn</w:t>
      </w:r>
      <w:proofErr w:type="spellEnd"/>
      <w:r w:rsidRPr="008B5B3E">
        <w:rPr>
          <w:rFonts w:eastAsia="Times New Roman" w:cstheme="minorHAnsi"/>
          <w:kern w:val="0"/>
          <w:sz w:val="24"/>
          <w:szCs w:val="24"/>
          <w:lang w:val="en-US" w:eastAsia="en-GB"/>
          <w14:ligatures w14:val="none"/>
        </w:rPr>
        <w:t>. Mineola, NY: Dover Publications.</w:t>
      </w:r>
    </w:p>
    <w:p w14:paraId="3FC02B2C"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Bolton, W. (2015) </w:t>
      </w:r>
      <w:r w:rsidRPr="008B5B3E">
        <w:rPr>
          <w:rFonts w:eastAsia="Times New Roman" w:cstheme="minorHAnsi"/>
          <w:i/>
          <w:iCs/>
          <w:kern w:val="0"/>
          <w:sz w:val="24"/>
          <w:szCs w:val="24"/>
          <w:lang w:val="en-US" w:eastAsia="en-GB"/>
          <w14:ligatures w14:val="none"/>
        </w:rPr>
        <w:t>Programmable Logic Controllers</w:t>
      </w:r>
      <w:r w:rsidRPr="008B5B3E">
        <w:rPr>
          <w:rFonts w:eastAsia="Times New Roman" w:cstheme="minorHAnsi"/>
          <w:kern w:val="0"/>
          <w:sz w:val="24"/>
          <w:szCs w:val="24"/>
          <w:lang w:val="en-US" w:eastAsia="en-GB"/>
          <w14:ligatures w14:val="none"/>
        </w:rPr>
        <w:t xml:space="preserve">. 6th </w:t>
      </w:r>
      <w:proofErr w:type="spellStart"/>
      <w:r w:rsidRPr="008B5B3E">
        <w:rPr>
          <w:rFonts w:eastAsia="Times New Roman" w:cstheme="minorHAnsi"/>
          <w:kern w:val="0"/>
          <w:sz w:val="24"/>
          <w:szCs w:val="24"/>
          <w:lang w:val="en-US" w:eastAsia="en-GB"/>
          <w14:ligatures w14:val="none"/>
        </w:rPr>
        <w:t>edn</w:t>
      </w:r>
      <w:proofErr w:type="spellEnd"/>
      <w:r w:rsidRPr="008B5B3E">
        <w:rPr>
          <w:rFonts w:eastAsia="Times New Roman" w:cstheme="minorHAnsi"/>
          <w:kern w:val="0"/>
          <w:sz w:val="24"/>
          <w:szCs w:val="24"/>
          <w:lang w:val="en-US" w:eastAsia="en-GB"/>
          <w14:ligatures w14:val="none"/>
        </w:rPr>
        <w:t xml:space="preserve">. Oxford: </w:t>
      </w:r>
      <w:proofErr w:type="spellStart"/>
      <w:r w:rsidRPr="008B5B3E">
        <w:rPr>
          <w:rFonts w:eastAsia="Times New Roman" w:cstheme="minorHAnsi"/>
          <w:kern w:val="0"/>
          <w:sz w:val="24"/>
          <w:szCs w:val="24"/>
          <w:lang w:val="en-US" w:eastAsia="en-GB"/>
          <w14:ligatures w14:val="none"/>
        </w:rPr>
        <w:t>Newnes</w:t>
      </w:r>
      <w:proofErr w:type="spellEnd"/>
      <w:r w:rsidRPr="008B5B3E">
        <w:rPr>
          <w:rFonts w:eastAsia="Times New Roman" w:cstheme="minorHAnsi"/>
          <w:kern w:val="0"/>
          <w:sz w:val="24"/>
          <w:szCs w:val="24"/>
          <w:lang w:val="en-US" w:eastAsia="en-GB"/>
          <w14:ligatures w14:val="none"/>
        </w:rPr>
        <w:t>.</w:t>
      </w:r>
    </w:p>
    <w:p w14:paraId="4A451206"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Carlson, S. and Walburger, A. (2007) </w:t>
      </w:r>
      <w:r w:rsidRPr="008B5B3E">
        <w:rPr>
          <w:rFonts w:eastAsia="Times New Roman" w:cstheme="minorHAnsi"/>
          <w:i/>
          <w:iCs/>
          <w:kern w:val="0"/>
          <w:sz w:val="24"/>
          <w:szCs w:val="24"/>
          <w:lang w:val="en-US" w:eastAsia="en-GB"/>
          <w14:ligatures w14:val="none"/>
        </w:rPr>
        <w:t>Energy Index Development for Benchmarking Water and Wastewater Utilities</w:t>
      </w:r>
      <w:r w:rsidRPr="008B5B3E">
        <w:rPr>
          <w:rFonts w:eastAsia="Times New Roman" w:cstheme="minorHAnsi"/>
          <w:kern w:val="0"/>
          <w:sz w:val="24"/>
          <w:szCs w:val="24"/>
          <w:lang w:val="en-US" w:eastAsia="en-GB"/>
          <w14:ligatures w14:val="none"/>
        </w:rPr>
        <w:t xml:space="preserve">. Denver, CO: </w:t>
      </w:r>
      <w:proofErr w:type="spellStart"/>
      <w:r w:rsidRPr="008B5B3E">
        <w:rPr>
          <w:rFonts w:eastAsia="Times New Roman" w:cstheme="minorHAnsi"/>
          <w:kern w:val="0"/>
          <w:sz w:val="24"/>
          <w:szCs w:val="24"/>
          <w:lang w:val="en-US" w:eastAsia="en-GB"/>
          <w14:ligatures w14:val="none"/>
        </w:rPr>
        <w:t>AwwaRF</w:t>
      </w:r>
      <w:proofErr w:type="spellEnd"/>
      <w:r w:rsidRPr="008B5B3E">
        <w:rPr>
          <w:rFonts w:eastAsia="Times New Roman" w:cstheme="minorHAnsi"/>
          <w:kern w:val="0"/>
          <w:sz w:val="24"/>
          <w:szCs w:val="24"/>
          <w:lang w:val="en-US" w:eastAsia="en-GB"/>
          <w14:ligatures w14:val="none"/>
        </w:rPr>
        <w:t>.</w:t>
      </w:r>
    </w:p>
    <w:p w14:paraId="56D13E41"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DEFRA (2022) </w:t>
      </w:r>
      <w:r w:rsidRPr="008B5B3E">
        <w:rPr>
          <w:rFonts w:eastAsia="Times New Roman" w:cstheme="minorHAnsi"/>
          <w:i/>
          <w:iCs/>
          <w:kern w:val="0"/>
          <w:sz w:val="24"/>
          <w:szCs w:val="24"/>
          <w:lang w:val="en-US" w:eastAsia="en-GB"/>
          <w14:ligatures w14:val="none"/>
        </w:rPr>
        <w:t>Storm Overflows Discharge Reduction Plan</w:t>
      </w:r>
      <w:r w:rsidRPr="008B5B3E">
        <w:rPr>
          <w:rFonts w:eastAsia="Times New Roman" w:cstheme="minorHAnsi"/>
          <w:kern w:val="0"/>
          <w:sz w:val="24"/>
          <w:szCs w:val="24"/>
          <w:lang w:val="en-US" w:eastAsia="en-GB"/>
          <w14:ligatures w14:val="none"/>
        </w:rPr>
        <w:t xml:space="preserve">. London: Department for Environment, Food and Rural Affairs. Available at: </w:t>
      </w:r>
      <w:hyperlink r:id="rId13" w:history="1">
        <w:r w:rsidRPr="008B5B3E">
          <w:rPr>
            <w:rStyle w:val="Hyperlink"/>
            <w:rFonts w:eastAsia="Times New Roman" w:cstheme="minorHAnsi"/>
            <w:kern w:val="0"/>
            <w:sz w:val="24"/>
            <w:szCs w:val="24"/>
            <w:lang w:val="en-US" w:eastAsia="en-GB"/>
            <w14:ligatures w14:val="none"/>
          </w:rPr>
          <w:t>https://assets.publishing.service.gov.uk/media/631063778fa8f5448a3836e4/Storm_Overflows_Discharge_Reduction_Plan.pdf</w:t>
        </w:r>
      </w:hyperlink>
      <w:r w:rsidRPr="008B5B3E">
        <w:rPr>
          <w:rFonts w:eastAsia="Times New Roman" w:cstheme="minorHAnsi"/>
          <w:kern w:val="0"/>
          <w:sz w:val="24"/>
          <w:szCs w:val="24"/>
          <w:lang w:val="en-US" w:eastAsia="en-GB"/>
          <w14:ligatures w14:val="none"/>
        </w:rPr>
        <w:t xml:space="preserve"> (Accessed: 26 April 2026).</w:t>
      </w:r>
    </w:p>
    <w:p w14:paraId="344E27CB"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Environment Agency (2022) </w:t>
      </w:r>
      <w:r w:rsidRPr="008B5B3E">
        <w:rPr>
          <w:rFonts w:eastAsia="Times New Roman" w:cstheme="minorHAnsi"/>
          <w:i/>
          <w:iCs/>
          <w:kern w:val="0"/>
          <w:sz w:val="24"/>
          <w:szCs w:val="24"/>
          <w:lang w:val="en-US" w:eastAsia="en-GB"/>
          <w14:ligatures w14:val="none"/>
        </w:rPr>
        <w:t>Operator Self-Monitoring: Technical Guidance H4</w:t>
      </w:r>
      <w:r w:rsidRPr="008B5B3E">
        <w:rPr>
          <w:rFonts w:eastAsia="Times New Roman" w:cstheme="minorHAnsi"/>
          <w:kern w:val="0"/>
          <w:sz w:val="24"/>
          <w:szCs w:val="24"/>
          <w:lang w:val="en-US" w:eastAsia="en-GB"/>
          <w14:ligatures w14:val="none"/>
        </w:rPr>
        <w:t>. Bristol: Environment Agency.</w:t>
      </w:r>
    </w:p>
    <w:p w14:paraId="35596AF7"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 xml:space="preserve">Henze, M., </w:t>
      </w:r>
      <w:proofErr w:type="spellStart"/>
      <w:r w:rsidRPr="008B5B3E">
        <w:rPr>
          <w:rFonts w:eastAsia="Times New Roman" w:cstheme="minorHAnsi"/>
          <w:kern w:val="0"/>
          <w:sz w:val="24"/>
          <w:szCs w:val="24"/>
          <w:lang w:val="en-US" w:eastAsia="en-GB"/>
          <w14:ligatures w14:val="none"/>
        </w:rPr>
        <w:t>Gujer</w:t>
      </w:r>
      <w:proofErr w:type="spellEnd"/>
      <w:r w:rsidRPr="008B5B3E">
        <w:rPr>
          <w:rFonts w:eastAsia="Times New Roman" w:cstheme="minorHAnsi"/>
          <w:kern w:val="0"/>
          <w:sz w:val="24"/>
          <w:szCs w:val="24"/>
          <w:lang w:val="en-US" w:eastAsia="en-GB"/>
          <w14:ligatures w14:val="none"/>
        </w:rPr>
        <w:t xml:space="preserve">, W., Mino, T. and van </w:t>
      </w:r>
      <w:proofErr w:type="spellStart"/>
      <w:r w:rsidRPr="008B5B3E">
        <w:rPr>
          <w:rFonts w:eastAsia="Times New Roman" w:cstheme="minorHAnsi"/>
          <w:kern w:val="0"/>
          <w:sz w:val="24"/>
          <w:szCs w:val="24"/>
          <w:lang w:val="en-US" w:eastAsia="en-GB"/>
          <w14:ligatures w14:val="none"/>
        </w:rPr>
        <w:t>Loosdrecht</w:t>
      </w:r>
      <w:proofErr w:type="spellEnd"/>
      <w:r w:rsidRPr="008B5B3E">
        <w:rPr>
          <w:rFonts w:eastAsia="Times New Roman" w:cstheme="minorHAnsi"/>
          <w:kern w:val="0"/>
          <w:sz w:val="24"/>
          <w:szCs w:val="24"/>
          <w:lang w:val="en-US" w:eastAsia="en-GB"/>
          <w14:ligatures w14:val="none"/>
        </w:rPr>
        <w:t>, M.C.M. (2000) </w:t>
      </w:r>
      <w:r w:rsidRPr="008B5B3E">
        <w:rPr>
          <w:rFonts w:eastAsia="Times New Roman" w:cstheme="minorHAnsi"/>
          <w:i/>
          <w:iCs/>
          <w:kern w:val="0"/>
          <w:sz w:val="24"/>
          <w:szCs w:val="24"/>
          <w:lang w:val="en-US" w:eastAsia="en-GB"/>
          <w14:ligatures w14:val="none"/>
        </w:rPr>
        <w:t>Activated Sludge Models ASM1, ASM2, ASM2d and ASM3</w:t>
      </w:r>
      <w:r w:rsidRPr="008B5B3E">
        <w:rPr>
          <w:rFonts w:eastAsia="Times New Roman" w:cstheme="minorHAnsi"/>
          <w:kern w:val="0"/>
          <w:sz w:val="24"/>
          <w:szCs w:val="24"/>
          <w:lang w:val="en-US" w:eastAsia="en-GB"/>
          <w14:ligatures w14:val="none"/>
        </w:rPr>
        <w:t>. IWA Scientific and Technical Report No. 9. London: IWA Publishing.</w:t>
      </w:r>
    </w:p>
    <w:p w14:paraId="426965DD"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Ingildsen, P. and Olsson, G. (2016) </w:t>
      </w:r>
      <w:r w:rsidRPr="008B5B3E">
        <w:rPr>
          <w:rFonts w:eastAsia="Times New Roman" w:cstheme="minorHAnsi"/>
          <w:i/>
          <w:iCs/>
          <w:kern w:val="0"/>
          <w:sz w:val="24"/>
          <w:szCs w:val="24"/>
          <w:lang w:val="en-US" w:eastAsia="en-GB"/>
          <w14:ligatures w14:val="none"/>
        </w:rPr>
        <w:t>Smart Water Utilities: Complexity Made Simple</w:t>
      </w:r>
      <w:r w:rsidRPr="008B5B3E">
        <w:rPr>
          <w:rFonts w:eastAsia="Times New Roman" w:cstheme="minorHAnsi"/>
          <w:kern w:val="0"/>
          <w:sz w:val="24"/>
          <w:szCs w:val="24"/>
          <w:lang w:val="en-US" w:eastAsia="en-GB"/>
          <w14:ligatures w14:val="none"/>
        </w:rPr>
        <w:t>. London: IWA Publishing.</w:t>
      </w:r>
    </w:p>
    <w:p w14:paraId="6075AAD9"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lastRenderedPageBreak/>
        <w:t>International Electrotechnical Commission (2022) </w:t>
      </w:r>
      <w:r w:rsidRPr="008B5B3E">
        <w:rPr>
          <w:rFonts w:eastAsia="Times New Roman" w:cstheme="minorHAnsi"/>
          <w:i/>
          <w:iCs/>
          <w:kern w:val="0"/>
          <w:sz w:val="24"/>
          <w:szCs w:val="24"/>
          <w:lang w:val="en-US" w:eastAsia="en-GB"/>
          <w14:ligatures w14:val="none"/>
        </w:rPr>
        <w:t>IEC 62682:2022 Management of Alarm Systems for the Process Industries</w:t>
      </w:r>
      <w:r w:rsidRPr="008B5B3E">
        <w:rPr>
          <w:rFonts w:eastAsia="Times New Roman" w:cstheme="minorHAnsi"/>
          <w:kern w:val="0"/>
          <w:sz w:val="24"/>
          <w:szCs w:val="24"/>
          <w:lang w:val="en-US" w:eastAsia="en-GB"/>
          <w14:ligatures w14:val="none"/>
        </w:rPr>
        <w:t>. Geneva: IEC.</w:t>
      </w:r>
    </w:p>
    <w:p w14:paraId="1D281F53"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Maxwell, J.C. (1868) 'On governors', </w:t>
      </w:r>
      <w:r w:rsidRPr="008B5B3E">
        <w:rPr>
          <w:rFonts w:eastAsia="Times New Roman" w:cstheme="minorHAnsi"/>
          <w:i/>
          <w:iCs/>
          <w:kern w:val="0"/>
          <w:sz w:val="24"/>
          <w:szCs w:val="24"/>
          <w:lang w:val="en-US" w:eastAsia="en-GB"/>
          <w14:ligatures w14:val="none"/>
        </w:rPr>
        <w:t>Proceedings of the Royal Society of London</w:t>
      </w:r>
      <w:r w:rsidRPr="008B5B3E">
        <w:rPr>
          <w:rFonts w:eastAsia="Times New Roman" w:cstheme="minorHAnsi"/>
          <w:kern w:val="0"/>
          <w:sz w:val="24"/>
          <w:szCs w:val="24"/>
          <w:lang w:val="en-US" w:eastAsia="en-GB"/>
          <w14:ligatures w14:val="none"/>
        </w:rPr>
        <w:t xml:space="preserve">, 16, pp. 270–283. </w:t>
      </w:r>
      <w:proofErr w:type="spellStart"/>
      <w:r w:rsidRPr="008B5B3E">
        <w:rPr>
          <w:rFonts w:eastAsia="Times New Roman" w:cstheme="minorHAnsi"/>
          <w:kern w:val="0"/>
          <w:sz w:val="24"/>
          <w:szCs w:val="24"/>
          <w:lang w:val="en-US" w:eastAsia="en-GB"/>
          <w14:ligatures w14:val="none"/>
        </w:rPr>
        <w:t>doi</w:t>
      </w:r>
      <w:proofErr w:type="spellEnd"/>
      <w:r w:rsidRPr="008B5B3E">
        <w:rPr>
          <w:rFonts w:eastAsia="Times New Roman" w:cstheme="minorHAnsi"/>
          <w:kern w:val="0"/>
          <w:sz w:val="24"/>
          <w:szCs w:val="24"/>
          <w:lang w:val="en-US" w:eastAsia="en-GB"/>
          <w14:ligatures w14:val="none"/>
        </w:rPr>
        <w:t>: 10.1098/rspl.1867.0055.</w:t>
      </w:r>
    </w:p>
    <w:p w14:paraId="27467A7C" w14:textId="77777777" w:rsid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Metcalf and Eddy (2013) </w:t>
      </w:r>
      <w:r w:rsidRPr="008B5B3E">
        <w:rPr>
          <w:rFonts w:eastAsia="Times New Roman" w:cstheme="minorHAnsi"/>
          <w:i/>
          <w:iCs/>
          <w:kern w:val="0"/>
          <w:sz w:val="24"/>
          <w:szCs w:val="24"/>
          <w:lang w:val="en-US" w:eastAsia="en-GB"/>
          <w14:ligatures w14:val="none"/>
        </w:rPr>
        <w:t>Wastewater Engineering: Treatment and Resource Recovery</w:t>
      </w:r>
      <w:r w:rsidRPr="008B5B3E">
        <w:rPr>
          <w:rFonts w:eastAsia="Times New Roman" w:cstheme="minorHAnsi"/>
          <w:kern w:val="0"/>
          <w:sz w:val="24"/>
          <w:szCs w:val="24"/>
          <w:lang w:val="en-US" w:eastAsia="en-GB"/>
          <w14:ligatures w14:val="none"/>
        </w:rPr>
        <w:t xml:space="preserve">. 5th </w:t>
      </w:r>
      <w:proofErr w:type="spellStart"/>
      <w:r w:rsidRPr="008B5B3E">
        <w:rPr>
          <w:rFonts w:eastAsia="Times New Roman" w:cstheme="minorHAnsi"/>
          <w:kern w:val="0"/>
          <w:sz w:val="24"/>
          <w:szCs w:val="24"/>
          <w:lang w:val="en-US" w:eastAsia="en-GB"/>
          <w14:ligatures w14:val="none"/>
        </w:rPr>
        <w:t>edn</w:t>
      </w:r>
      <w:proofErr w:type="spellEnd"/>
      <w:r w:rsidRPr="008B5B3E">
        <w:rPr>
          <w:rFonts w:eastAsia="Times New Roman" w:cstheme="minorHAnsi"/>
          <w:kern w:val="0"/>
          <w:sz w:val="24"/>
          <w:szCs w:val="24"/>
          <w:lang w:val="en-US" w:eastAsia="en-GB"/>
          <w14:ligatures w14:val="none"/>
        </w:rPr>
        <w:t>. New York: McGraw-Hill.</w:t>
      </w:r>
    </w:p>
    <w:p w14:paraId="55D5BDE3"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Ofwat (2024) </w:t>
      </w:r>
      <w:r w:rsidRPr="008B5B3E">
        <w:rPr>
          <w:rFonts w:eastAsia="Times New Roman" w:cstheme="minorHAnsi"/>
          <w:i/>
          <w:iCs/>
          <w:kern w:val="0"/>
          <w:sz w:val="24"/>
          <w:szCs w:val="24"/>
          <w:lang w:val="en-US" w:eastAsia="en-GB"/>
          <w14:ligatures w14:val="none"/>
        </w:rPr>
        <w:t>2024 Price Review (PR24)</w:t>
      </w:r>
      <w:r w:rsidRPr="008B5B3E">
        <w:rPr>
          <w:rFonts w:eastAsia="Times New Roman" w:cstheme="minorHAnsi"/>
          <w:kern w:val="0"/>
          <w:sz w:val="24"/>
          <w:szCs w:val="24"/>
          <w:lang w:val="en-US" w:eastAsia="en-GB"/>
          <w14:ligatures w14:val="none"/>
        </w:rPr>
        <w:t xml:space="preserve">. Birmingham: Water Services Regulation Authority. Available at: </w:t>
      </w:r>
      <w:hyperlink r:id="rId14" w:history="1">
        <w:r w:rsidRPr="008B5B3E">
          <w:rPr>
            <w:rStyle w:val="Hyperlink"/>
            <w:rFonts w:eastAsia="Times New Roman" w:cstheme="minorHAnsi"/>
            <w:kern w:val="0"/>
            <w:sz w:val="24"/>
            <w:szCs w:val="24"/>
            <w:lang w:val="en-US" w:eastAsia="en-GB"/>
            <w14:ligatures w14:val="none"/>
          </w:rPr>
          <w:t>https://www.ofwat.gov.uk/regulated-companies/price-review/2024-price-review/</w:t>
        </w:r>
      </w:hyperlink>
      <w:r w:rsidRPr="008B5B3E">
        <w:rPr>
          <w:rFonts w:eastAsia="Times New Roman" w:cstheme="minorHAnsi"/>
          <w:kern w:val="0"/>
          <w:sz w:val="24"/>
          <w:szCs w:val="24"/>
          <w:lang w:val="en-US" w:eastAsia="en-GB"/>
          <w14:ligatures w14:val="none"/>
        </w:rPr>
        <w:t xml:space="preserve"> (Accessed: 26 April 2026).</w:t>
      </w:r>
    </w:p>
    <w:p w14:paraId="03E29B50"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Olsson, G. (2012) 'ICA and me — A subjective review', </w:t>
      </w:r>
      <w:r w:rsidRPr="008B5B3E">
        <w:rPr>
          <w:rFonts w:eastAsia="Times New Roman" w:cstheme="minorHAnsi"/>
          <w:i/>
          <w:iCs/>
          <w:kern w:val="0"/>
          <w:sz w:val="24"/>
          <w:szCs w:val="24"/>
          <w:lang w:val="en-US" w:eastAsia="en-GB"/>
          <w14:ligatures w14:val="none"/>
        </w:rPr>
        <w:t>Water Research</w:t>
      </w:r>
      <w:r w:rsidRPr="008B5B3E">
        <w:rPr>
          <w:rFonts w:eastAsia="Times New Roman" w:cstheme="minorHAnsi"/>
          <w:kern w:val="0"/>
          <w:sz w:val="24"/>
          <w:szCs w:val="24"/>
          <w:lang w:val="en-US" w:eastAsia="en-GB"/>
          <w14:ligatures w14:val="none"/>
        </w:rPr>
        <w:t xml:space="preserve">, 46(6), pp. 1585–1624. </w:t>
      </w:r>
      <w:proofErr w:type="spellStart"/>
      <w:r w:rsidRPr="008B5B3E">
        <w:rPr>
          <w:rFonts w:eastAsia="Times New Roman" w:cstheme="minorHAnsi"/>
          <w:kern w:val="0"/>
          <w:sz w:val="24"/>
          <w:szCs w:val="24"/>
          <w:lang w:val="en-US" w:eastAsia="en-GB"/>
          <w14:ligatures w14:val="none"/>
        </w:rPr>
        <w:t>doi</w:t>
      </w:r>
      <w:proofErr w:type="spellEnd"/>
      <w:r w:rsidRPr="008B5B3E">
        <w:rPr>
          <w:rFonts w:eastAsia="Times New Roman" w:cstheme="minorHAnsi"/>
          <w:kern w:val="0"/>
          <w:sz w:val="24"/>
          <w:szCs w:val="24"/>
          <w:lang w:val="en-US" w:eastAsia="en-GB"/>
          <w14:ligatures w14:val="none"/>
        </w:rPr>
        <w:t>: 10.1016/j.watres.2011.12.054.</w:t>
      </w:r>
    </w:p>
    <w:p w14:paraId="276D0A7B"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Olsson, G., Nielsen, M., Yuan, Z., Lynggaard-Jensen, A. and Steyer, J.-P. (2005) </w:t>
      </w:r>
      <w:r w:rsidRPr="008B5B3E">
        <w:rPr>
          <w:rFonts w:eastAsia="Times New Roman" w:cstheme="minorHAnsi"/>
          <w:i/>
          <w:iCs/>
          <w:kern w:val="0"/>
          <w:sz w:val="24"/>
          <w:szCs w:val="24"/>
          <w:lang w:val="en-US" w:eastAsia="en-GB"/>
          <w14:ligatures w14:val="none"/>
        </w:rPr>
        <w:t>Instrumentation, Control and Automation in Wastewater Systems</w:t>
      </w:r>
      <w:r w:rsidRPr="008B5B3E">
        <w:rPr>
          <w:rFonts w:eastAsia="Times New Roman" w:cstheme="minorHAnsi"/>
          <w:kern w:val="0"/>
          <w:sz w:val="24"/>
          <w:szCs w:val="24"/>
          <w:lang w:val="en-US" w:eastAsia="en-GB"/>
          <w14:ligatures w14:val="none"/>
        </w:rPr>
        <w:t>. London: IWA Publishing.</w:t>
      </w:r>
    </w:p>
    <w:p w14:paraId="1D37CFED" w14:textId="77777777" w:rsid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t xml:space="preserve">Slay, J. and Miller, M. (2007) 'Lessons learned from the </w:t>
      </w:r>
      <w:proofErr w:type="spellStart"/>
      <w:r w:rsidRPr="008B5B3E">
        <w:rPr>
          <w:rFonts w:eastAsia="Times New Roman" w:cstheme="minorHAnsi"/>
          <w:kern w:val="0"/>
          <w:sz w:val="24"/>
          <w:szCs w:val="24"/>
          <w:lang w:val="en-US" w:eastAsia="en-GB"/>
          <w14:ligatures w14:val="none"/>
        </w:rPr>
        <w:t>Maroochy</w:t>
      </w:r>
      <w:proofErr w:type="spellEnd"/>
      <w:r w:rsidRPr="008B5B3E">
        <w:rPr>
          <w:rFonts w:eastAsia="Times New Roman" w:cstheme="minorHAnsi"/>
          <w:kern w:val="0"/>
          <w:sz w:val="24"/>
          <w:szCs w:val="24"/>
          <w:lang w:val="en-US" w:eastAsia="en-GB"/>
          <w14:ligatures w14:val="none"/>
        </w:rPr>
        <w:t xml:space="preserve"> water breach', in Goetz, E. and </w:t>
      </w:r>
      <w:proofErr w:type="spellStart"/>
      <w:r w:rsidRPr="008B5B3E">
        <w:rPr>
          <w:rFonts w:eastAsia="Times New Roman" w:cstheme="minorHAnsi"/>
          <w:kern w:val="0"/>
          <w:sz w:val="24"/>
          <w:szCs w:val="24"/>
          <w:lang w:val="en-US" w:eastAsia="en-GB"/>
          <w14:ligatures w14:val="none"/>
        </w:rPr>
        <w:t>Shenoi</w:t>
      </w:r>
      <w:proofErr w:type="spellEnd"/>
      <w:r w:rsidRPr="008B5B3E">
        <w:rPr>
          <w:rFonts w:eastAsia="Times New Roman" w:cstheme="minorHAnsi"/>
          <w:kern w:val="0"/>
          <w:sz w:val="24"/>
          <w:szCs w:val="24"/>
          <w:lang w:val="en-US" w:eastAsia="en-GB"/>
          <w14:ligatures w14:val="none"/>
        </w:rPr>
        <w:t>, S. (eds) </w:t>
      </w:r>
      <w:r w:rsidRPr="008B5B3E">
        <w:rPr>
          <w:rFonts w:eastAsia="Times New Roman" w:cstheme="minorHAnsi"/>
          <w:i/>
          <w:iCs/>
          <w:kern w:val="0"/>
          <w:sz w:val="24"/>
          <w:szCs w:val="24"/>
          <w:lang w:val="en-US" w:eastAsia="en-GB"/>
          <w14:ligatures w14:val="none"/>
        </w:rPr>
        <w:t>Critical Infrastructure Protection</w:t>
      </w:r>
      <w:r w:rsidRPr="008B5B3E">
        <w:rPr>
          <w:rFonts w:eastAsia="Times New Roman" w:cstheme="minorHAnsi"/>
          <w:kern w:val="0"/>
          <w:sz w:val="24"/>
          <w:szCs w:val="24"/>
          <w:lang w:val="en-US" w:eastAsia="en-GB"/>
          <w14:ligatures w14:val="none"/>
        </w:rPr>
        <w:t xml:space="preserve">. Boston, MA: Springer, pp. 73–82. </w:t>
      </w:r>
      <w:proofErr w:type="spellStart"/>
      <w:r w:rsidRPr="008B5B3E">
        <w:rPr>
          <w:rFonts w:eastAsia="Times New Roman" w:cstheme="minorHAnsi"/>
          <w:kern w:val="0"/>
          <w:sz w:val="24"/>
          <w:szCs w:val="24"/>
          <w:lang w:val="en-US" w:eastAsia="en-GB"/>
          <w14:ligatures w14:val="none"/>
        </w:rPr>
        <w:t>doi</w:t>
      </w:r>
      <w:proofErr w:type="spellEnd"/>
      <w:r w:rsidRPr="008B5B3E">
        <w:rPr>
          <w:rFonts w:eastAsia="Times New Roman" w:cstheme="minorHAnsi"/>
          <w:kern w:val="0"/>
          <w:sz w:val="24"/>
          <w:szCs w:val="24"/>
          <w:lang w:val="en-US" w:eastAsia="en-GB"/>
          <w14:ligatures w14:val="none"/>
        </w:rPr>
        <w:t>: 10.1007/978-0-387-75462-8_6.</w:t>
      </w:r>
    </w:p>
    <w:p w14:paraId="367E8FBC" w14:textId="77777777" w:rsidR="00FA6338" w:rsidRPr="00FA6338" w:rsidRDefault="00FA6338" w:rsidP="00FA6338">
      <w:pPr>
        <w:spacing w:before="100" w:beforeAutospacing="1" w:after="100" w:afterAutospacing="1" w:line="360" w:lineRule="auto"/>
        <w:rPr>
          <w:rFonts w:eastAsia="Times New Roman" w:cstheme="minorHAnsi"/>
          <w:kern w:val="0"/>
          <w:sz w:val="24"/>
          <w:szCs w:val="24"/>
          <w:lang w:val="en-US" w:eastAsia="en-GB"/>
          <w14:ligatures w14:val="none"/>
        </w:rPr>
      </w:pPr>
      <w:r w:rsidRPr="00FA6338">
        <w:rPr>
          <w:rFonts w:eastAsia="Times New Roman" w:cstheme="minorHAnsi"/>
          <w:kern w:val="0"/>
          <w:sz w:val="24"/>
          <w:szCs w:val="24"/>
          <w:lang w:val="en-US" w:eastAsia="en-GB"/>
          <w14:ligatures w14:val="none"/>
        </w:rPr>
        <w:t xml:space="preserve">Stouffer, K., Pease, M., Tang, C., Zimmerman, T., Pillitteri, V., Lightman, S., Hahn, A., Saravia, S., </w:t>
      </w:r>
      <w:proofErr w:type="spellStart"/>
      <w:r w:rsidRPr="00FA6338">
        <w:rPr>
          <w:rFonts w:eastAsia="Times New Roman" w:cstheme="minorHAnsi"/>
          <w:kern w:val="0"/>
          <w:sz w:val="24"/>
          <w:szCs w:val="24"/>
          <w:lang w:val="en-US" w:eastAsia="en-GB"/>
          <w14:ligatures w14:val="none"/>
        </w:rPr>
        <w:t>Sherule</w:t>
      </w:r>
      <w:proofErr w:type="spellEnd"/>
      <w:r w:rsidRPr="00FA6338">
        <w:rPr>
          <w:rFonts w:eastAsia="Times New Roman" w:cstheme="minorHAnsi"/>
          <w:kern w:val="0"/>
          <w:sz w:val="24"/>
          <w:szCs w:val="24"/>
          <w:lang w:val="en-US" w:eastAsia="en-GB"/>
          <w14:ligatures w14:val="none"/>
        </w:rPr>
        <w:t>, A. and Thompson, M. (2023) </w:t>
      </w:r>
      <w:r w:rsidRPr="00FA6338">
        <w:rPr>
          <w:rFonts w:eastAsia="Times New Roman" w:cstheme="minorHAnsi"/>
          <w:i/>
          <w:iCs/>
          <w:kern w:val="0"/>
          <w:sz w:val="24"/>
          <w:szCs w:val="24"/>
          <w:lang w:val="en-US" w:eastAsia="en-GB"/>
          <w14:ligatures w14:val="none"/>
        </w:rPr>
        <w:t>NIST Special Publication 800-82 Revision 3: Guide to Operational Technology (OT) Security</w:t>
      </w:r>
      <w:r w:rsidRPr="00FA6338">
        <w:rPr>
          <w:rFonts w:eastAsia="Times New Roman" w:cstheme="minorHAnsi"/>
          <w:kern w:val="0"/>
          <w:sz w:val="24"/>
          <w:szCs w:val="24"/>
          <w:lang w:val="en-US" w:eastAsia="en-GB"/>
          <w14:ligatures w14:val="none"/>
        </w:rPr>
        <w:t xml:space="preserve">. Gaithersburg, MD: National Institute of Standards and Technology. </w:t>
      </w:r>
      <w:proofErr w:type="spellStart"/>
      <w:r w:rsidRPr="00FA6338">
        <w:rPr>
          <w:rFonts w:eastAsia="Times New Roman" w:cstheme="minorHAnsi"/>
          <w:kern w:val="0"/>
          <w:sz w:val="24"/>
          <w:szCs w:val="24"/>
          <w:lang w:val="en-US" w:eastAsia="en-GB"/>
          <w14:ligatures w14:val="none"/>
        </w:rPr>
        <w:t>doi</w:t>
      </w:r>
      <w:proofErr w:type="spellEnd"/>
      <w:r w:rsidRPr="00FA6338">
        <w:rPr>
          <w:rFonts w:eastAsia="Times New Roman" w:cstheme="minorHAnsi"/>
          <w:kern w:val="0"/>
          <w:sz w:val="24"/>
          <w:szCs w:val="24"/>
          <w:lang w:val="en-US" w:eastAsia="en-GB"/>
          <w14:ligatures w14:val="none"/>
        </w:rPr>
        <w:t>: 10.6028/NIST.SP.800-82r3.</w:t>
      </w:r>
    </w:p>
    <w:p w14:paraId="01307644"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proofErr w:type="spellStart"/>
      <w:r w:rsidRPr="008B5B3E">
        <w:rPr>
          <w:rFonts w:eastAsia="Times New Roman" w:cstheme="minorHAnsi"/>
          <w:kern w:val="0"/>
          <w:sz w:val="24"/>
          <w:szCs w:val="24"/>
          <w:lang w:val="en-US" w:eastAsia="en-GB"/>
          <w14:ligatures w14:val="none"/>
        </w:rPr>
        <w:t>Vanrolleghem</w:t>
      </w:r>
      <w:proofErr w:type="spellEnd"/>
      <w:r w:rsidRPr="008B5B3E">
        <w:rPr>
          <w:rFonts w:eastAsia="Times New Roman" w:cstheme="minorHAnsi"/>
          <w:kern w:val="0"/>
          <w:sz w:val="24"/>
          <w:szCs w:val="24"/>
          <w:lang w:val="en-US" w:eastAsia="en-GB"/>
          <w14:ligatures w14:val="none"/>
        </w:rPr>
        <w:t>, P.A. and Lee, D.S. (2003) 'On-line monitoring equipment for wastewater treatment processes: state of the art', </w:t>
      </w:r>
      <w:r w:rsidRPr="008B5B3E">
        <w:rPr>
          <w:rFonts w:eastAsia="Times New Roman" w:cstheme="minorHAnsi"/>
          <w:i/>
          <w:iCs/>
          <w:kern w:val="0"/>
          <w:sz w:val="24"/>
          <w:szCs w:val="24"/>
          <w:lang w:val="en-US" w:eastAsia="en-GB"/>
          <w14:ligatures w14:val="none"/>
        </w:rPr>
        <w:t>Water Science and Technology</w:t>
      </w:r>
      <w:r w:rsidRPr="008B5B3E">
        <w:rPr>
          <w:rFonts w:eastAsia="Times New Roman" w:cstheme="minorHAnsi"/>
          <w:kern w:val="0"/>
          <w:sz w:val="24"/>
          <w:szCs w:val="24"/>
          <w:lang w:val="en-US" w:eastAsia="en-GB"/>
          <w14:ligatures w14:val="none"/>
        </w:rPr>
        <w:t xml:space="preserve">, 47(2), pp. 1–34. </w:t>
      </w:r>
      <w:proofErr w:type="spellStart"/>
      <w:r w:rsidRPr="008B5B3E">
        <w:rPr>
          <w:rFonts w:eastAsia="Times New Roman" w:cstheme="minorHAnsi"/>
          <w:kern w:val="0"/>
          <w:sz w:val="24"/>
          <w:szCs w:val="24"/>
          <w:lang w:val="en-US" w:eastAsia="en-GB"/>
          <w14:ligatures w14:val="none"/>
        </w:rPr>
        <w:t>doi</w:t>
      </w:r>
      <w:proofErr w:type="spellEnd"/>
      <w:r w:rsidRPr="008B5B3E">
        <w:rPr>
          <w:rFonts w:eastAsia="Times New Roman" w:cstheme="minorHAnsi"/>
          <w:kern w:val="0"/>
          <w:sz w:val="24"/>
          <w:szCs w:val="24"/>
          <w:lang w:val="en-US" w:eastAsia="en-GB"/>
          <w14:ligatures w14:val="none"/>
        </w:rPr>
        <w:t>: 10.2166/wst.2003.0074.</w:t>
      </w:r>
    </w:p>
    <w:p w14:paraId="3B35C6E6" w14:textId="77777777" w:rsidR="008B5B3E" w:rsidRPr="008B5B3E" w:rsidRDefault="008B5B3E" w:rsidP="008B5B3E">
      <w:pPr>
        <w:spacing w:before="100" w:beforeAutospacing="1" w:after="100" w:afterAutospacing="1" w:line="360" w:lineRule="auto"/>
        <w:rPr>
          <w:rFonts w:eastAsia="Times New Roman" w:cstheme="minorHAnsi"/>
          <w:kern w:val="0"/>
          <w:sz w:val="24"/>
          <w:szCs w:val="24"/>
          <w:lang w:val="en-US" w:eastAsia="en-GB"/>
          <w14:ligatures w14:val="none"/>
        </w:rPr>
      </w:pPr>
      <w:r w:rsidRPr="008B5B3E">
        <w:rPr>
          <w:rFonts w:eastAsia="Times New Roman" w:cstheme="minorHAnsi"/>
          <w:kern w:val="0"/>
          <w:sz w:val="24"/>
          <w:szCs w:val="24"/>
          <w:lang w:val="en-US" w:eastAsia="en-GB"/>
          <w14:ligatures w14:val="none"/>
        </w:rPr>
        <w:lastRenderedPageBreak/>
        <w:t>Zhou, X., Wang, J., Zhang, H. and Duan, Q. (2022) 'Application of a hybrid improved sparrow search algorithm for the prediction and control of dissolved oxygen in the aquaculture industry', </w:t>
      </w:r>
      <w:r w:rsidRPr="008B5B3E">
        <w:rPr>
          <w:rFonts w:eastAsia="Times New Roman" w:cstheme="minorHAnsi"/>
          <w:i/>
          <w:iCs/>
          <w:kern w:val="0"/>
          <w:sz w:val="24"/>
          <w:szCs w:val="24"/>
          <w:lang w:val="en-US" w:eastAsia="en-GB"/>
          <w14:ligatures w14:val="none"/>
        </w:rPr>
        <w:t>Applied Intelligence</w:t>
      </w:r>
      <w:r w:rsidRPr="008B5B3E">
        <w:rPr>
          <w:rFonts w:eastAsia="Times New Roman" w:cstheme="minorHAnsi"/>
          <w:kern w:val="0"/>
          <w:sz w:val="24"/>
          <w:szCs w:val="24"/>
          <w:lang w:val="en-US" w:eastAsia="en-GB"/>
          <w14:ligatures w14:val="none"/>
        </w:rPr>
        <w:t xml:space="preserve">, 53(7), pp. 8482–8502. </w:t>
      </w:r>
      <w:proofErr w:type="spellStart"/>
      <w:r w:rsidRPr="008B5B3E">
        <w:rPr>
          <w:rFonts w:eastAsia="Times New Roman" w:cstheme="minorHAnsi"/>
          <w:kern w:val="0"/>
          <w:sz w:val="24"/>
          <w:szCs w:val="24"/>
          <w:lang w:val="en-US" w:eastAsia="en-GB"/>
          <w14:ligatures w14:val="none"/>
        </w:rPr>
        <w:t>doi</w:t>
      </w:r>
      <w:proofErr w:type="spellEnd"/>
      <w:r w:rsidRPr="008B5B3E">
        <w:rPr>
          <w:rFonts w:eastAsia="Times New Roman" w:cstheme="minorHAnsi"/>
          <w:kern w:val="0"/>
          <w:sz w:val="24"/>
          <w:szCs w:val="24"/>
          <w:lang w:val="en-US" w:eastAsia="en-GB"/>
          <w14:ligatures w14:val="none"/>
        </w:rPr>
        <w:t>: 10.1007/s10489-022-03870-0.</w:t>
      </w:r>
    </w:p>
    <w:sectPr w:rsidR="008B5B3E" w:rsidRPr="008B5B3E" w:rsidSect="00437076">
      <w:headerReference w:type="default"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BCB93" w14:textId="77777777" w:rsidR="005E37AD" w:rsidRDefault="005E37AD" w:rsidP="00437076">
      <w:pPr>
        <w:spacing w:after="0" w:line="240" w:lineRule="auto"/>
      </w:pPr>
      <w:r>
        <w:separator/>
      </w:r>
    </w:p>
  </w:endnote>
  <w:endnote w:type="continuationSeparator" w:id="0">
    <w:p w14:paraId="6B58EC46" w14:textId="77777777" w:rsidR="005E37AD" w:rsidRDefault="005E37AD" w:rsidP="00437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5653350"/>
      <w:docPartObj>
        <w:docPartGallery w:val="Page Numbers (Bottom of Page)"/>
        <w:docPartUnique/>
      </w:docPartObj>
    </w:sdtPr>
    <w:sdtEndPr>
      <w:rPr>
        <w:noProof/>
      </w:rPr>
    </w:sdtEndPr>
    <w:sdtContent>
      <w:p w14:paraId="4701CB43" w14:textId="5FE014C1" w:rsidR="00437076" w:rsidRDefault="00437076" w:rsidP="0043707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8994DE5" w14:textId="77777777" w:rsidR="00437076" w:rsidRDefault="00437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BCC23" w14:textId="77777777" w:rsidR="005E37AD" w:rsidRDefault="005E37AD" w:rsidP="00437076">
      <w:pPr>
        <w:spacing w:after="0" w:line="240" w:lineRule="auto"/>
      </w:pPr>
      <w:r>
        <w:separator/>
      </w:r>
    </w:p>
  </w:footnote>
  <w:footnote w:type="continuationSeparator" w:id="0">
    <w:p w14:paraId="26A8078D" w14:textId="77777777" w:rsidR="005E37AD" w:rsidRDefault="005E37AD" w:rsidP="00437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A3217" w14:textId="32A1F29A" w:rsidR="00437076" w:rsidRDefault="00D16038">
    <w:pPr>
      <w:pStyle w:val="Header"/>
    </w:pPr>
    <w:r w:rsidRPr="00D16038">
      <w:rPr>
        <w:bCs/>
      </w:rPr>
      <w:t>ACMA5001</w:t>
    </w:r>
    <w:r w:rsidR="004715E2" w:rsidRPr="004715E2">
      <w:t xml:space="preserve"> – </w:t>
    </w:r>
    <w:r w:rsidRPr="00D16038">
      <w:rPr>
        <w:bCs/>
      </w:rPr>
      <w:t>Control &amp; Automation</w:t>
    </w:r>
    <w:r>
      <w:t xml:space="preserve">                                                                           </w:t>
    </w:r>
    <w:r w:rsidR="00437076">
      <w:t>Antony Pugh - 2221728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11A50"/>
    <w:multiLevelType w:val="hybridMultilevel"/>
    <w:tmpl w:val="2ADA42EC"/>
    <w:lvl w:ilvl="0" w:tplc="08090001">
      <w:start w:val="1"/>
      <w:numFmt w:val="bullet"/>
      <w:lvlText w:val=""/>
      <w:lvlJc w:val="left"/>
      <w:pPr>
        <w:ind w:left="720" w:hanging="360"/>
      </w:pPr>
      <w:rPr>
        <w:rFonts w:ascii="Symbol" w:hAnsi="Symbol" w:hint="default"/>
      </w:rPr>
    </w:lvl>
    <w:lvl w:ilvl="1" w:tplc="DF044BF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5FA1"/>
    <w:multiLevelType w:val="hybridMultilevel"/>
    <w:tmpl w:val="E1ECB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813A0"/>
    <w:multiLevelType w:val="hybridMultilevel"/>
    <w:tmpl w:val="00C25986"/>
    <w:lvl w:ilvl="0" w:tplc="5C047B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D60117"/>
    <w:multiLevelType w:val="hybridMultilevel"/>
    <w:tmpl w:val="3DC06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B37AC0"/>
    <w:multiLevelType w:val="hybridMultilevel"/>
    <w:tmpl w:val="D8BA1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72479"/>
    <w:multiLevelType w:val="multilevel"/>
    <w:tmpl w:val="D49E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855CA8"/>
    <w:multiLevelType w:val="hybridMultilevel"/>
    <w:tmpl w:val="ACD28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CA2971"/>
    <w:multiLevelType w:val="multilevel"/>
    <w:tmpl w:val="FB8CB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D78F1"/>
    <w:multiLevelType w:val="hybridMultilevel"/>
    <w:tmpl w:val="F5320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B418B"/>
    <w:multiLevelType w:val="hybridMultilevel"/>
    <w:tmpl w:val="4504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51737"/>
    <w:multiLevelType w:val="hybridMultilevel"/>
    <w:tmpl w:val="BC908FD0"/>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1" w15:restartNumberingAfterBreak="0">
    <w:nsid w:val="53622F60"/>
    <w:multiLevelType w:val="hybridMultilevel"/>
    <w:tmpl w:val="487653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3F2409"/>
    <w:multiLevelType w:val="hybridMultilevel"/>
    <w:tmpl w:val="C8C02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EE13700"/>
    <w:multiLevelType w:val="multilevel"/>
    <w:tmpl w:val="8586D0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4" w15:restartNumberingAfterBreak="0">
    <w:nsid w:val="5F212EF2"/>
    <w:multiLevelType w:val="hybridMultilevel"/>
    <w:tmpl w:val="8F0AF67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1AD7EC7"/>
    <w:multiLevelType w:val="hybridMultilevel"/>
    <w:tmpl w:val="E1421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D3437"/>
    <w:multiLevelType w:val="hybridMultilevel"/>
    <w:tmpl w:val="E1147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2ED71A5"/>
    <w:multiLevelType w:val="hybridMultilevel"/>
    <w:tmpl w:val="0FAED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1C2B36"/>
    <w:multiLevelType w:val="hybridMultilevel"/>
    <w:tmpl w:val="C756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E1014D"/>
    <w:multiLevelType w:val="hybridMultilevel"/>
    <w:tmpl w:val="5BCC27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71D2048"/>
    <w:multiLevelType w:val="multilevel"/>
    <w:tmpl w:val="8586D0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1" w15:restartNumberingAfterBreak="0">
    <w:nsid w:val="6E482240"/>
    <w:multiLevelType w:val="hybridMultilevel"/>
    <w:tmpl w:val="57C6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4C5839"/>
    <w:multiLevelType w:val="hybridMultilevel"/>
    <w:tmpl w:val="2700B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734260"/>
    <w:multiLevelType w:val="hybridMultilevel"/>
    <w:tmpl w:val="5F468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C56D4E"/>
    <w:multiLevelType w:val="hybridMultilevel"/>
    <w:tmpl w:val="1008836C"/>
    <w:lvl w:ilvl="0" w:tplc="381295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77232">
    <w:abstractNumId w:val="6"/>
  </w:num>
  <w:num w:numId="2" w16cid:durableId="1042752728">
    <w:abstractNumId w:val="3"/>
  </w:num>
  <w:num w:numId="3" w16cid:durableId="406928874">
    <w:abstractNumId w:val="13"/>
  </w:num>
  <w:num w:numId="4" w16cid:durableId="231693675">
    <w:abstractNumId w:val="7"/>
  </w:num>
  <w:num w:numId="5" w16cid:durableId="1282036581">
    <w:abstractNumId w:val="4"/>
  </w:num>
  <w:num w:numId="6" w16cid:durableId="725030135">
    <w:abstractNumId w:val="0"/>
  </w:num>
  <w:num w:numId="7" w16cid:durableId="754210420">
    <w:abstractNumId w:val="22"/>
  </w:num>
  <w:num w:numId="8" w16cid:durableId="1220628749">
    <w:abstractNumId w:val="24"/>
  </w:num>
  <w:num w:numId="9" w16cid:durableId="742529023">
    <w:abstractNumId w:val="5"/>
  </w:num>
  <w:num w:numId="10" w16cid:durableId="412892011">
    <w:abstractNumId w:val="20"/>
  </w:num>
  <w:num w:numId="11" w16cid:durableId="1502350874">
    <w:abstractNumId w:val="8"/>
  </w:num>
  <w:num w:numId="12" w16cid:durableId="1853644858">
    <w:abstractNumId w:val="9"/>
  </w:num>
  <w:num w:numId="13" w16cid:durableId="1980381710">
    <w:abstractNumId w:val="23"/>
  </w:num>
  <w:num w:numId="14" w16cid:durableId="871573341">
    <w:abstractNumId w:val="16"/>
  </w:num>
  <w:num w:numId="15" w16cid:durableId="1391348839">
    <w:abstractNumId w:val="15"/>
  </w:num>
  <w:num w:numId="16" w16cid:durableId="1004552051">
    <w:abstractNumId w:val="14"/>
  </w:num>
  <w:num w:numId="17" w16cid:durableId="1886871967">
    <w:abstractNumId w:val="11"/>
  </w:num>
  <w:num w:numId="18" w16cid:durableId="1075124565">
    <w:abstractNumId w:val="1"/>
  </w:num>
  <w:num w:numId="19" w16cid:durableId="512186282">
    <w:abstractNumId w:val="21"/>
  </w:num>
  <w:num w:numId="20" w16cid:durableId="1359504469">
    <w:abstractNumId w:val="18"/>
  </w:num>
  <w:num w:numId="21" w16cid:durableId="643580065">
    <w:abstractNumId w:val="2"/>
  </w:num>
  <w:num w:numId="22" w16cid:durableId="1345979909">
    <w:abstractNumId w:val="19"/>
  </w:num>
  <w:num w:numId="23" w16cid:durableId="1667322403">
    <w:abstractNumId w:val="12"/>
  </w:num>
  <w:num w:numId="24" w16cid:durableId="990137140">
    <w:abstractNumId w:val="10"/>
  </w:num>
  <w:num w:numId="25" w16cid:durableId="15512609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076"/>
    <w:rsid w:val="00003AE4"/>
    <w:rsid w:val="000076F7"/>
    <w:rsid w:val="00013AD5"/>
    <w:rsid w:val="00016CD8"/>
    <w:rsid w:val="000219E1"/>
    <w:rsid w:val="0002303C"/>
    <w:rsid w:val="00026813"/>
    <w:rsid w:val="00026ED4"/>
    <w:rsid w:val="00034ED9"/>
    <w:rsid w:val="00035722"/>
    <w:rsid w:val="00037505"/>
    <w:rsid w:val="000405E5"/>
    <w:rsid w:val="0004068D"/>
    <w:rsid w:val="00043063"/>
    <w:rsid w:val="00045CAF"/>
    <w:rsid w:val="00052A0A"/>
    <w:rsid w:val="00056CB4"/>
    <w:rsid w:val="00060A4D"/>
    <w:rsid w:val="000643EB"/>
    <w:rsid w:val="0006605E"/>
    <w:rsid w:val="00066E23"/>
    <w:rsid w:val="00071F70"/>
    <w:rsid w:val="00072CC7"/>
    <w:rsid w:val="00082124"/>
    <w:rsid w:val="00085A4C"/>
    <w:rsid w:val="000915B7"/>
    <w:rsid w:val="000920EC"/>
    <w:rsid w:val="000948E5"/>
    <w:rsid w:val="00094FF2"/>
    <w:rsid w:val="000958FD"/>
    <w:rsid w:val="000960E5"/>
    <w:rsid w:val="00097BDA"/>
    <w:rsid w:val="000B15B0"/>
    <w:rsid w:val="000B59A5"/>
    <w:rsid w:val="000C56AB"/>
    <w:rsid w:val="000C5FC6"/>
    <w:rsid w:val="000C7A07"/>
    <w:rsid w:val="000D0D07"/>
    <w:rsid w:val="000D25E4"/>
    <w:rsid w:val="000D2A74"/>
    <w:rsid w:val="000D5E27"/>
    <w:rsid w:val="000D607C"/>
    <w:rsid w:val="000E04B6"/>
    <w:rsid w:val="000E0DCB"/>
    <w:rsid w:val="000E1743"/>
    <w:rsid w:val="000E3415"/>
    <w:rsid w:val="000E3866"/>
    <w:rsid w:val="000E7C42"/>
    <w:rsid w:val="000F1140"/>
    <w:rsid w:val="000F27CD"/>
    <w:rsid w:val="000F5812"/>
    <w:rsid w:val="000F6442"/>
    <w:rsid w:val="00102FE6"/>
    <w:rsid w:val="00103B61"/>
    <w:rsid w:val="00103EAC"/>
    <w:rsid w:val="00105644"/>
    <w:rsid w:val="001104D1"/>
    <w:rsid w:val="00110533"/>
    <w:rsid w:val="001114C3"/>
    <w:rsid w:val="0011222D"/>
    <w:rsid w:val="00122DD1"/>
    <w:rsid w:val="001241A8"/>
    <w:rsid w:val="00127D5B"/>
    <w:rsid w:val="00127F62"/>
    <w:rsid w:val="001308BF"/>
    <w:rsid w:val="0013094A"/>
    <w:rsid w:val="001327D8"/>
    <w:rsid w:val="0013410F"/>
    <w:rsid w:val="00136C7E"/>
    <w:rsid w:val="00136EFF"/>
    <w:rsid w:val="001373EC"/>
    <w:rsid w:val="00137D62"/>
    <w:rsid w:val="0014002C"/>
    <w:rsid w:val="0014085F"/>
    <w:rsid w:val="00142434"/>
    <w:rsid w:val="00143ED9"/>
    <w:rsid w:val="00151FAC"/>
    <w:rsid w:val="00151FBE"/>
    <w:rsid w:val="0015308F"/>
    <w:rsid w:val="00162E05"/>
    <w:rsid w:val="00174284"/>
    <w:rsid w:val="0017681F"/>
    <w:rsid w:val="00176DA9"/>
    <w:rsid w:val="0018147A"/>
    <w:rsid w:val="00182852"/>
    <w:rsid w:val="0018287E"/>
    <w:rsid w:val="00182D2F"/>
    <w:rsid w:val="001846A4"/>
    <w:rsid w:val="001923C8"/>
    <w:rsid w:val="00194A4F"/>
    <w:rsid w:val="001964EF"/>
    <w:rsid w:val="001976C3"/>
    <w:rsid w:val="001A33EE"/>
    <w:rsid w:val="001A559D"/>
    <w:rsid w:val="001B61D4"/>
    <w:rsid w:val="001B702E"/>
    <w:rsid w:val="001C324D"/>
    <w:rsid w:val="001C652C"/>
    <w:rsid w:val="001C68A2"/>
    <w:rsid w:val="001D260C"/>
    <w:rsid w:val="001E0FE7"/>
    <w:rsid w:val="001E3737"/>
    <w:rsid w:val="001E6B89"/>
    <w:rsid w:val="001F1B61"/>
    <w:rsid w:val="001F377E"/>
    <w:rsid w:val="001F3CB4"/>
    <w:rsid w:val="001F4A1E"/>
    <w:rsid w:val="001F6B50"/>
    <w:rsid w:val="001F748E"/>
    <w:rsid w:val="00204315"/>
    <w:rsid w:val="002048DA"/>
    <w:rsid w:val="0020526B"/>
    <w:rsid w:val="00213AAB"/>
    <w:rsid w:val="002145E6"/>
    <w:rsid w:val="00214A9B"/>
    <w:rsid w:val="00216383"/>
    <w:rsid w:val="0021742F"/>
    <w:rsid w:val="00224129"/>
    <w:rsid w:val="00225179"/>
    <w:rsid w:val="002252A9"/>
    <w:rsid w:val="002267D3"/>
    <w:rsid w:val="0023055B"/>
    <w:rsid w:val="00232A1B"/>
    <w:rsid w:val="00237022"/>
    <w:rsid w:val="00240BB0"/>
    <w:rsid w:val="0024333F"/>
    <w:rsid w:val="00244C16"/>
    <w:rsid w:val="00245AE2"/>
    <w:rsid w:val="00250C22"/>
    <w:rsid w:val="002555F0"/>
    <w:rsid w:val="002574B2"/>
    <w:rsid w:val="00262DF0"/>
    <w:rsid w:val="00264B00"/>
    <w:rsid w:val="00271582"/>
    <w:rsid w:val="002731AD"/>
    <w:rsid w:val="00273A9E"/>
    <w:rsid w:val="00281767"/>
    <w:rsid w:val="002879DE"/>
    <w:rsid w:val="00290DCC"/>
    <w:rsid w:val="00293A9C"/>
    <w:rsid w:val="002A04F1"/>
    <w:rsid w:val="002A1597"/>
    <w:rsid w:val="002A596C"/>
    <w:rsid w:val="002B1032"/>
    <w:rsid w:val="002B52FA"/>
    <w:rsid w:val="002B756A"/>
    <w:rsid w:val="002B7E52"/>
    <w:rsid w:val="002C20A0"/>
    <w:rsid w:val="002C3F91"/>
    <w:rsid w:val="002D4644"/>
    <w:rsid w:val="002D6D55"/>
    <w:rsid w:val="002E776E"/>
    <w:rsid w:val="002F0A54"/>
    <w:rsid w:val="002F164B"/>
    <w:rsid w:val="002F1A19"/>
    <w:rsid w:val="002F2551"/>
    <w:rsid w:val="002F2629"/>
    <w:rsid w:val="002F6C28"/>
    <w:rsid w:val="002F7B23"/>
    <w:rsid w:val="00301D13"/>
    <w:rsid w:val="00311EBB"/>
    <w:rsid w:val="00312B9B"/>
    <w:rsid w:val="00312DB3"/>
    <w:rsid w:val="00315801"/>
    <w:rsid w:val="00316B9E"/>
    <w:rsid w:val="00321AE7"/>
    <w:rsid w:val="00322053"/>
    <w:rsid w:val="003224F1"/>
    <w:rsid w:val="0032259B"/>
    <w:rsid w:val="00325842"/>
    <w:rsid w:val="00330EE3"/>
    <w:rsid w:val="00331F91"/>
    <w:rsid w:val="003329D2"/>
    <w:rsid w:val="003429A9"/>
    <w:rsid w:val="00343977"/>
    <w:rsid w:val="00344676"/>
    <w:rsid w:val="00344C96"/>
    <w:rsid w:val="003531C9"/>
    <w:rsid w:val="0035550A"/>
    <w:rsid w:val="00355821"/>
    <w:rsid w:val="00363248"/>
    <w:rsid w:val="00366304"/>
    <w:rsid w:val="003703E2"/>
    <w:rsid w:val="003715F9"/>
    <w:rsid w:val="00376573"/>
    <w:rsid w:val="00381DB5"/>
    <w:rsid w:val="0038631D"/>
    <w:rsid w:val="00393C4E"/>
    <w:rsid w:val="0039720B"/>
    <w:rsid w:val="003B0DD5"/>
    <w:rsid w:val="003B3609"/>
    <w:rsid w:val="003B5AF0"/>
    <w:rsid w:val="003C1FD7"/>
    <w:rsid w:val="003C4683"/>
    <w:rsid w:val="003D1131"/>
    <w:rsid w:val="003D5209"/>
    <w:rsid w:val="003E1C46"/>
    <w:rsid w:val="003E393B"/>
    <w:rsid w:val="003E7376"/>
    <w:rsid w:val="003F16BF"/>
    <w:rsid w:val="003F2E7B"/>
    <w:rsid w:val="003F3B3B"/>
    <w:rsid w:val="003F6965"/>
    <w:rsid w:val="00400A0F"/>
    <w:rsid w:val="0040145D"/>
    <w:rsid w:val="0040149A"/>
    <w:rsid w:val="00406B13"/>
    <w:rsid w:val="0041783F"/>
    <w:rsid w:val="0042038C"/>
    <w:rsid w:val="004225B6"/>
    <w:rsid w:val="004232E6"/>
    <w:rsid w:val="004239F0"/>
    <w:rsid w:val="00425254"/>
    <w:rsid w:val="00426670"/>
    <w:rsid w:val="00427F24"/>
    <w:rsid w:val="0043226D"/>
    <w:rsid w:val="00435481"/>
    <w:rsid w:val="00437076"/>
    <w:rsid w:val="0043797A"/>
    <w:rsid w:val="004458FA"/>
    <w:rsid w:val="00450D56"/>
    <w:rsid w:val="00452F2C"/>
    <w:rsid w:val="00454391"/>
    <w:rsid w:val="00454916"/>
    <w:rsid w:val="00455A80"/>
    <w:rsid w:val="0046017B"/>
    <w:rsid w:val="0046217C"/>
    <w:rsid w:val="004642A0"/>
    <w:rsid w:val="004669BB"/>
    <w:rsid w:val="004672B0"/>
    <w:rsid w:val="0047010F"/>
    <w:rsid w:val="004715E2"/>
    <w:rsid w:val="00471E79"/>
    <w:rsid w:val="00472D7E"/>
    <w:rsid w:val="004755F4"/>
    <w:rsid w:val="00475C7B"/>
    <w:rsid w:val="00475DA6"/>
    <w:rsid w:val="00487479"/>
    <w:rsid w:val="00493B3B"/>
    <w:rsid w:val="00494134"/>
    <w:rsid w:val="00495E15"/>
    <w:rsid w:val="00496700"/>
    <w:rsid w:val="004A3AE8"/>
    <w:rsid w:val="004A42D9"/>
    <w:rsid w:val="004A46BA"/>
    <w:rsid w:val="004A6785"/>
    <w:rsid w:val="004B1C3C"/>
    <w:rsid w:val="004B6082"/>
    <w:rsid w:val="004C0625"/>
    <w:rsid w:val="004C0870"/>
    <w:rsid w:val="004C3093"/>
    <w:rsid w:val="004C5E2C"/>
    <w:rsid w:val="004C6BF1"/>
    <w:rsid w:val="004C7D82"/>
    <w:rsid w:val="004D0A9D"/>
    <w:rsid w:val="004D26B2"/>
    <w:rsid w:val="004D3088"/>
    <w:rsid w:val="004D425F"/>
    <w:rsid w:val="004D48E6"/>
    <w:rsid w:val="004D4DD4"/>
    <w:rsid w:val="004D64C7"/>
    <w:rsid w:val="004D7FBE"/>
    <w:rsid w:val="004E176B"/>
    <w:rsid w:val="004E23F3"/>
    <w:rsid w:val="004E5334"/>
    <w:rsid w:val="004E6AD5"/>
    <w:rsid w:val="004F19CB"/>
    <w:rsid w:val="004F3965"/>
    <w:rsid w:val="004F762A"/>
    <w:rsid w:val="00502492"/>
    <w:rsid w:val="00503535"/>
    <w:rsid w:val="005056E6"/>
    <w:rsid w:val="00506CE7"/>
    <w:rsid w:val="0050747D"/>
    <w:rsid w:val="00510C6A"/>
    <w:rsid w:val="00511EAC"/>
    <w:rsid w:val="005124EC"/>
    <w:rsid w:val="005129D4"/>
    <w:rsid w:val="00513516"/>
    <w:rsid w:val="00516FE3"/>
    <w:rsid w:val="00522E5E"/>
    <w:rsid w:val="00526849"/>
    <w:rsid w:val="0052758E"/>
    <w:rsid w:val="00531D25"/>
    <w:rsid w:val="00532839"/>
    <w:rsid w:val="005342D8"/>
    <w:rsid w:val="00535254"/>
    <w:rsid w:val="005441C4"/>
    <w:rsid w:val="00546133"/>
    <w:rsid w:val="00551D99"/>
    <w:rsid w:val="00557F2F"/>
    <w:rsid w:val="005613EC"/>
    <w:rsid w:val="005672DF"/>
    <w:rsid w:val="00572B8B"/>
    <w:rsid w:val="00573AEE"/>
    <w:rsid w:val="005747BF"/>
    <w:rsid w:val="005763A5"/>
    <w:rsid w:val="0057654D"/>
    <w:rsid w:val="00577CA7"/>
    <w:rsid w:val="00580830"/>
    <w:rsid w:val="00583973"/>
    <w:rsid w:val="005867E4"/>
    <w:rsid w:val="005922AF"/>
    <w:rsid w:val="005B0B2F"/>
    <w:rsid w:val="005B0BBD"/>
    <w:rsid w:val="005B0DB5"/>
    <w:rsid w:val="005B0E39"/>
    <w:rsid w:val="005C091A"/>
    <w:rsid w:val="005C0DDD"/>
    <w:rsid w:val="005D1A79"/>
    <w:rsid w:val="005D2E49"/>
    <w:rsid w:val="005D6449"/>
    <w:rsid w:val="005D69FA"/>
    <w:rsid w:val="005D7628"/>
    <w:rsid w:val="005E1585"/>
    <w:rsid w:val="005E37AD"/>
    <w:rsid w:val="005E4F2D"/>
    <w:rsid w:val="005F049E"/>
    <w:rsid w:val="005F25C4"/>
    <w:rsid w:val="005F7220"/>
    <w:rsid w:val="00605223"/>
    <w:rsid w:val="006063D4"/>
    <w:rsid w:val="00617304"/>
    <w:rsid w:val="00617CCB"/>
    <w:rsid w:val="00623E90"/>
    <w:rsid w:val="00627CC4"/>
    <w:rsid w:val="0063196D"/>
    <w:rsid w:val="00633CD0"/>
    <w:rsid w:val="006348B7"/>
    <w:rsid w:val="00637EEE"/>
    <w:rsid w:val="00643503"/>
    <w:rsid w:val="00643CC2"/>
    <w:rsid w:val="00650551"/>
    <w:rsid w:val="00650FBE"/>
    <w:rsid w:val="00650FF7"/>
    <w:rsid w:val="0065409F"/>
    <w:rsid w:val="006573E6"/>
    <w:rsid w:val="00657C85"/>
    <w:rsid w:val="00661F61"/>
    <w:rsid w:val="006633AC"/>
    <w:rsid w:val="006700BC"/>
    <w:rsid w:val="0067091B"/>
    <w:rsid w:val="00671AC4"/>
    <w:rsid w:val="00675BCB"/>
    <w:rsid w:val="00676BB4"/>
    <w:rsid w:val="00680B03"/>
    <w:rsid w:val="00681D69"/>
    <w:rsid w:val="0068218E"/>
    <w:rsid w:val="00682C06"/>
    <w:rsid w:val="00684A6F"/>
    <w:rsid w:val="006876BD"/>
    <w:rsid w:val="00690D7D"/>
    <w:rsid w:val="00693A8C"/>
    <w:rsid w:val="00694244"/>
    <w:rsid w:val="00697E0A"/>
    <w:rsid w:val="006A09FB"/>
    <w:rsid w:val="006A1AEF"/>
    <w:rsid w:val="006A3B02"/>
    <w:rsid w:val="006A53F3"/>
    <w:rsid w:val="006A7930"/>
    <w:rsid w:val="006B001D"/>
    <w:rsid w:val="006B4628"/>
    <w:rsid w:val="006C314D"/>
    <w:rsid w:val="006D0DCD"/>
    <w:rsid w:val="006D2AA5"/>
    <w:rsid w:val="006D3B7F"/>
    <w:rsid w:val="006D53B6"/>
    <w:rsid w:val="006D6C27"/>
    <w:rsid w:val="006E16D9"/>
    <w:rsid w:val="006E25BC"/>
    <w:rsid w:val="006E3B65"/>
    <w:rsid w:val="006E4915"/>
    <w:rsid w:val="006E6304"/>
    <w:rsid w:val="006F07CA"/>
    <w:rsid w:val="006F0A92"/>
    <w:rsid w:val="006F0D4F"/>
    <w:rsid w:val="006F2B6C"/>
    <w:rsid w:val="006F7AFA"/>
    <w:rsid w:val="007047A8"/>
    <w:rsid w:val="00705FA2"/>
    <w:rsid w:val="00706FF9"/>
    <w:rsid w:val="00710B2F"/>
    <w:rsid w:val="00711425"/>
    <w:rsid w:val="00712721"/>
    <w:rsid w:val="007147C6"/>
    <w:rsid w:val="007161FE"/>
    <w:rsid w:val="00717439"/>
    <w:rsid w:val="00721B66"/>
    <w:rsid w:val="00722F15"/>
    <w:rsid w:val="007269FC"/>
    <w:rsid w:val="007305DB"/>
    <w:rsid w:val="00733537"/>
    <w:rsid w:val="00734491"/>
    <w:rsid w:val="00734B49"/>
    <w:rsid w:val="00737BCC"/>
    <w:rsid w:val="00740856"/>
    <w:rsid w:val="00742D27"/>
    <w:rsid w:val="00746441"/>
    <w:rsid w:val="00746FE3"/>
    <w:rsid w:val="0075117C"/>
    <w:rsid w:val="00751DB6"/>
    <w:rsid w:val="00756F4B"/>
    <w:rsid w:val="007637D0"/>
    <w:rsid w:val="00765E50"/>
    <w:rsid w:val="007666B9"/>
    <w:rsid w:val="007708D7"/>
    <w:rsid w:val="0077429E"/>
    <w:rsid w:val="0077566B"/>
    <w:rsid w:val="007777E3"/>
    <w:rsid w:val="00782D05"/>
    <w:rsid w:val="00796574"/>
    <w:rsid w:val="007969DF"/>
    <w:rsid w:val="007975D4"/>
    <w:rsid w:val="007A0557"/>
    <w:rsid w:val="007A18B1"/>
    <w:rsid w:val="007A20DF"/>
    <w:rsid w:val="007A2A2B"/>
    <w:rsid w:val="007A69B7"/>
    <w:rsid w:val="007A7649"/>
    <w:rsid w:val="007B070B"/>
    <w:rsid w:val="007B3241"/>
    <w:rsid w:val="007B52D6"/>
    <w:rsid w:val="007B53CC"/>
    <w:rsid w:val="007B5C36"/>
    <w:rsid w:val="007B7B13"/>
    <w:rsid w:val="007C016C"/>
    <w:rsid w:val="007C64DF"/>
    <w:rsid w:val="007C6AC0"/>
    <w:rsid w:val="007C6F44"/>
    <w:rsid w:val="007C6F98"/>
    <w:rsid w:val="007C7AC1"/>
    <w:rsid w:val="007D1F21"/>
    <w:rsid w:val="007D350C"/>
    <w:rsid w:val="007D6E6B"/>
    <w:rsid w:val="007E738B"/>
    <w:rsid w:val="007F0266"/>
    <w:rsid w:val="007F1815"/>
    <w:rsid w:val="007F2DA4"/>
    <w:rsid w:val="007F3FAD"/>
    <w:rsid w:val="007F4AC1"/>
    <w:rsid w:val="008025E5"/>
    <w:rsid w:val="00804EC1"/>
    <w:rsid w:val="00817D8A"/>
    <w:rsid w:val="00820BDC"/>
    <w:rsid w:val="00830460"/>
    <w:rsid w:val="0083161F"/>
    <w:rsid w:val="00834FE0"/>
    <w:rsid w:val="00837F58"/>
    <w:rsid w:val="00840A2D"/>
    <w:rsid w:val="00840C95"/>
    <w:rsid w:val="0084409D"/>
    <w:rsid w:val="0084573E"/>
    <w:rsid w:val="00851C5E"/>
    <w:rsid w:val="0085379C"/>
    <w:rsid w:val="00862EBC"/>
    <w:rsid w:val="00864940"/>
    <w:rsid w:val="00872342"/>
    <w:rsid w:val="0087235F"/>
    <w:rsid w:val="00880288"/>
    <w:rsid w:val="008810E5"/>
    <w:rsid w:val="00884BFA"/>
    <w:rsid w:val="00885184"/>
    <w:rsid w:val="0088595F"/>
    <w:rsid w:val="008865E1"/>
    <w:rsid w:val="0088773D"/>
    <w:rsid w:val="00892654"/>
    <w:rsid w:val="008942AD"/>
    <w:rsid w:val="00896005"/>
    <w:rsid w:val="008963D0"/>
    <w:rsid w:val="0089690D"/>
    <w:rsid w:val="00896CBD"/>
    <w:rsid w:val="00897562"/>
    <w:rsid w:val="008A2602"/>
    <w:rsid w:val="008A2DB3"/>
    <w:rsid w:val="008A4667"/>
    <w:rsid w:val="008B00FF"/>
    <w:rsid w:val="008B2B69"/>
    <w:rsid w:val="008B5B3E"/>
    <w:rsid w:val="008C1CE7"/>
    <w:rsid w:val="008C3231"/>
    <w:rsid w:val="008C57C4"/>
    <w:rsid w:val="008C6E03"/>
    <w:rsid w:val="008C7F2A"/>
    <w:rsid w:val="008D6157"/>
    <w:rsid w:val="008E3D7C"/>
    <w:rsid w:val="008E55FE"/>
    <w:rsid w:val="008F02F4"/>
    <w:rsid w:val="008F2AA5"/>
    <w:rsid w:val="008F6942"/>
    <w:rsid w:val="008F6A35"/>
    <w:rsid w:val="00905FB8"/>
    <w:rsid w:val="0091023D"/>
    <w:rsid w:val="009120E4"/>
    <w:rsid w:val="0091280F"/>
    <w:rsid w:val="009206B3"/>
    <w:rsid w:val="00922A83"/>
    <w:rsid w:val="00923F3F"/>
    <w:rsid w:val="0092630B"/>
    <w:rsid w:val="00926AE6"/>
    <w:rsid w:val="00926BE1"/>
    <w:rsid w:val="00930F18"/>
    <w:rsid w:val="009311AD"/>
    <w:rsid w:val="00933E8F"/>
    <w:rsid w:val="00941349"/>
    <w:rsid w:val="00943600"/>
    <w:rsid w:val="0094567E"/>
    <w:rsid w:val="00954278"/>
    <w:rsid w:val="0095552A"/>
    <w:rsid w:val="00960C71"/>
    <w:rsid w:val="00977049"/>
    <w:rsid w:val="00983CD7"/>
    <w:rsid w:val="0098683D"/>
    <w:rsid w:val="009902A8"/>
    <w:rsid w:val="0099037A"/>
    <w:rsid w:val="00993B10"/>
    <w:rsid w:val="00997763"/>
    <w:rsid w:val="009A7EB7"/>
    <w:rsid w:val="009B70DD"/>
    <w:rsid w:val="009C5F5D"/>
    <w:rsid w:val="009C7965"/>
    <w:rsid w:val="009D49E5"/>
    <w:rsid w:val="009D4EAB"/>
    <w:rsid w:val="009D62B9"/>
    <w:rsid w:val="009D7E17"/>
    <w:rsid w:val="009E5E8C"/>
    <w:rsid w:val="009E6B67"/>
    <w:rsid w:val="009E7B58"/>
    <w:rsid w:val="009F083D"/>
    <w:rsid w:val="009F3ED0"/>
    <w:rsid w:val="00A01DE3"/>
    <w:rsid w:val="00A0282A"/>
    <w:rsid w:val="00A11CC9"/>
    <w:rsid w:val="00A135DA"/>
    <w:rsid w:val="00A16710"/>
    <w:rsid w:val="00A16BB4"/>
    <w:rsid w:val="00A1720A"/>
    <w:rsid w:val="00A17CA1"/>
    <w:rsid w:val="00A21639"/>
    <w:rsid w:val="00A23FA0"/>
    <w:rsid w:val="00A2417C"/>
    <w:rsid w:val="00A24699"/>
    <w:rsid w:val="00A34474"/>
    <w:rsid w:val="00A345EA"/>
    <w:rsid w:val="00A36E2F"/>
    <w:rsid w:val="00A433E1"/>
    <w:rsid w:val="00A44712"/>
    <w:rsid w:val="00A45B31"/>
    <w:rsid w:val="00A53CD9"/>
    <w:rsid w:val="00A57253"/>
    <w:rsid w:val="00A601B3"/>
    <w:rsid w:val="00A62A54"/>
    <w:rsid w:val="00A6531B"/>
    <w:rsid w:val="00A65E55"/>
    <w:rsid w:val="00A70B51"/>
    <w:rsid w:val="00A714F6"/>
    <w:rsid w:val="00A724DD"/>
    <w:rsid w:val="00A77343"/>
    <w:rsid w:val="00A83EC4"/>
    <w:rsid w:val="00A859BC"/>
    <w:rsid w:val="00A86E7D"/>
    <w:rsid w:val="00A870A0"/>
    <w:rsid w:val="00A87C56"/>
    <w:rsid w:val="00A95CE9"/>
    <w:rsid w:val="00AA3855"/>
    <w:rsid w:val="00AA3CB4"/>
    <w:rsid w:val="00AA4215"/>
    <w:rsid w:val="00AA5603"/>
    <w:rsid w:val="00AA7400"/>
    <w:rsid w:val="00AB1E0A"/>
    <w:rsid w:val="00AB3474"/>
    <w:rsid w:val="00AC3459"/>
    <w:rsid w:val="00AC3D5E"/>
    <w:rsid w:val="00AC402B"/>
    <w:rsid w:val="00AC424F"/>
    <w:rsid w:val="00AD1A65"/>
    <w:rsid w:val="00AD5990"/>
    <w:rsid w:val="00AE0E7C"/>
    <w:rsid w:val="00AE228F"/>
    <w:rsid w:val="00AE4619"/>
    <w:rsid w:val="00AE57E6"/>
    <w:rsid w:val="00B02347"/>
    <w:rsid w:val="00B06AD9"/>
    <w:rsid w:val="00B0784C"/>
    <w:rsid w:val="00B10235"/>
    <w:rsid w:val="00B22A56"/>
    <w:rsid w:val="00B22B70"/>
    <w:rsid w:val="00B2305B"/>
    <w:rsid w:val="00B272BA"/>
    <w:rsid w:val="00B3119D"/>
    <w:rsid w:val="00B31994"/>
    <w:rsid w:val="00B3381D"/>
    <w:rsid w:val="00B40B93"/>
    <w:rsid w:val="00B41976"/>
    <w:rsid w:val="00B51AE4"/>
    <w:rsid w:val="00B533E5"/>
    <w:rsid w:val="00B54739"/>
    <w:rsid w:val="00B5527F"/>
    <w:rsid w:val="00B60C9F"/>
    <w:rsid w:val="00B63A4D"/>
    <w:rsid w:val="00B66FBB"/>
    <w:rsid w:val="00B66FE7"/>
    <w:rsid w:val="00B6792F"/>
    <w:rsid w:val="00B73EA1"/>
    <w:rsid w:val="00B74410"/>
    <w:rsid w:val="00B77B73"/>
    <w:rsid w:val="00B77C5E"/>
    <w:rsid w:val="00B838AC"/>
    <w:rsid w:val="00B85FC1"/>
    <w:rsid w:val="00B91AE6"/>
    <w:rsid w:val="00B91BD0"/>
    <w:rsid w:val="00B92A35"/>
    <w:rsid w:val="00B93907"/>
    <w:rsid w:val="00B94DA3"/>
    <w:rsid w:val="00B95434"/>
    <w:rsid w:val="00B96E88"/>
    <w:rsid w:val="00BA0C57"/>
    <w:rsid w:val="00BA2B34"/>
    <w:rsid w:val="00BB1201"/>
    <w:rsid w:val="00BB1CD4"/>
    <w:rsid w:val="00BB2687"/>
    <w:rsid w:val="00BC0F4E"/>
    <w:rsid w:val="00BD2988"/>
    <w:rsid w:val="00BD3E5E"/>
    <w:rsid w:val="00BD5FFC"/>
    <w:rsid w:val="00BD7B46"/>
    <w:rsid w:val="00BE09FB"/>
    <w:rsid w:val="00BE1CD1"/>
    <w:rsid w:val="00BE331B"/>
    <w:rsid w:val="00BF1919"/>
    <w:rsid w:val="00BF2C32"/>
    <w:rsid w:val="00BF7D49"/>
    <w:rsid w:val="00C0014C"/>
    <w:rsid w:val="00C01F4F"/>
    <w:rsid w:val="00C06343"/>
    <w:rsid w:val="00C07BD2"/>
    <w:rsid w:val="00C07C01"/>
    <w:rsid w:val="00C10843"/>
    <w:rsid w:val="00C1113D"/>
    <w:rsid w:val="00C227DF"/>
    <w:rsid w:val="00C230C3"/>
    <w:rsid w:val="00C2409C"/>
    <w:rsid w:val="00C26638"/>
    <w:rsid w:val="00C27E35"/>
    <w:rsid w:val="00C40F02"/>
    <w:rsid w:val="00C4638F"/>
    <w:rsid w:val="00C50F84"/>
    <w:rsid w:val="00C52653"/>
    <w:rsid w:val="00C539CB"/>
    <w:rsid w:val="00C53DF3"/>
    <w:rsid w:val="00C54B5F"/>
    <w:rsid w:val="00C60C42"/>
    <w:rsid w:val="00C64661"/>
    <w:rsid w:val="00C648F0"/>
    <w:rsid w:val="00C75786"/>
    <w:rsid w:val="00C765C9"/>
    <w:rsid w:val="00C803D9"/>
    <w:rsid w:val="00C84E4C"/>
    <w:rsid w:val="00C85BFB"/>
    <w:rsid w:val="00C90999"/>
    <w:rsid w:val="00C91885"/>
    <w:rsid w:val="00C930B7"/>
    <w:rsid w:val="00C95B9C"/>
    <w:rsid w:val="00CA32D9"/>
    <w:rsid w:val="00CA3444"/>
    <w:rsid w:val="00CA4D0A"/>
    <w:rsid w:val="00CA545B"/>
    <w:rsid w:val="00CB06DE"/>
    <w:rsid w:val="00CB3093"/>
    <w:rsid w:val="00CB4D22"/>
    <w:rsid w:val="00CB7026"/>
    <w:rsid w:val="00CC0E46"/>
    <w:rsid w:val="00CC19A3"/>
    <w:rsid w:val="00CC7913"/>
    <w:rsid w:val="00CD1A44"/>
    <w:rsid w:val="00CD2772"/>
    <w:rsid w:val="00CD32D0"/>
    <w:rsid w:val="00CD3DB7"/>
    <w:rsid w:val="00CD3E41"/>
    <w:rsid w:val="00CD48CC"/>
    <w:rsid w:val="00CD5FFB"/>
    <w:rsid w:val="00CD6825"/>
    <w:rsid w:val="00CD6C0C"/>
    <w:rsid w:val="00CE17F5"/>
    <w:rsid w:val="00CE295C"/>
    <w:rsid w:val="00CE5097"/>
    <w:rsid w:val="00CE5A9A"/>
    <w:rsid w:val="00CE75E0"/>
    <w:rsid w:val="00CE79CA"/>
    <w:rsid w:val="00CF54E2"/>
    <w:rsid w:val="00CF72A1"/>
    <w:rsid w:val="00D013C4"/>
    <w:rsid w:val="00D05B2B"/>
    <w:rsid w:val="00D0741E"/>
    <w:rsid w:val="00D10C9C"/>
    <w:rsid w:val="00D10D7F"/>
    <w:rsid w:val="00D13719"/>
    <w:rsid w:val="00D1415A"/>
    <w:rsid w:val="00D16038"/>
    <w:rsid w:val="00D16CE9"/>
    <w:rsid w:val="00D216C4"/>
    <w:rsid w:val="00D23B57"/>
    <w:rsid w:val="00D24081"/>
    <w:rsid w:val="00D24307"/>
    <w:rsid w:val="00D25BAA"/>
    <w:rsid w:val="00D26081"/>
    <w:rsid w:val="00D31308"/>
    <w:rsid w:val="00D313DD"/>
    <w:rsid w:val="00D36AE0"/>
    <w:rsid w:val="00D3762F"/>
    <w:rsid w:val="00D37A48"/>
    <w:rsid w:val="00D445D2"/>
    <w:rsid w:val="00D50A60"/>
    <w:rsid w:val="00D50DCB"/>
    <w:rsid w:val="00D562EA"/>
    <w:rsid w:val="00D62D68"/>
    <w:rsid w:val="00D62F28"/>
    <w:rsid w:val="00D631BA"/>
    <w:rsid w:val="00D65D6F"/>
    <w:rsid w:val="00D6752D"/>
    <w:rsid w:val="00D71796"/>
    <w:rsid w:val="00D74519"/>
    <w:rsid w:val="00D81C1F"/>
    <w:rsid w:val="00D827DF"/>
    <w:rsid w:val="00D86B39"/>
    <w:rsid w:val="00D91BB9"/>
    <w:rsid w:val="00D91F74"/>
    <w:rsid w:val="00D94089"/>
    <w:rsid w:val="00D95D5D"/>
    <w:rsid w:val="00D96249"/>
    <w:rsid w:val="00D96712"/>
    <w:rsid w:val="00D97281"/>
    <w:rsid w:val="00DA1CE6"/>
    <w:rsid w:val="00DA2AD7"/>
    <w:rsid w:val="00DA63B4"/>
    <w:rsid w:val="00DA7986"/>
    <w:rsid w:val="00DB28EE"/>
    <w:rsid w:val="00DB5339"/>
    <w:rsid w:val="00DB64CE"/>
    <w:rsid w:val="00DB715F"/>
    <w:rsid w:val="00DC0CF8"/>
    <w:rsid w:val="00DC10A5"/>
    <w:rsid w:val="00DC2589"/>
    <w:rsid w:val="00DC47B2"/>
    <w:rsid w:val="00DC48BF"/>
    <w:rsid w:val="00DC59D6"/>
    <w:rsid w:val="00DC5FD0"/>
    <w:rsid w:val="00DD0BC1"/>
    <w:rsid w:val="00DD4222"/>
    <w:rsid w:val="00DD792B"/>
    <w:rsid w:val="00DE03FB"/>
    <w:rsid w:val="00DE33AA"/>
    <w:rsid w:val="00DE3533"/>
    <w:rsid w:val="00DE45C8"/>
    <w:rsid w:val="00DE6813"/>
    <w:rsid w:val="00DE6ECE"/>
    <w:rsid w:val="00DF294E"/>
    <w:rsid w:val="00DF636D"/>
    <w:rsid w:val="00E00635"/>
    <w:rsid w:val="00E03CC9"/>
    <w:rsid w:val="00E04748"/>
    <w:rsid w:val="00E06199"/>
    <w:rsid w:val="00E069D1"/>
    <w:rsid w:val="00E115B6"/>
    <w:rsid w:val="00E1206D"/>
    <w:rsid w:val="00E16521"/>
    <w:rsid w:val="00E21AB1"/>
    <w:rsid w:val="00E23F22"/>
    <w:rsid w:val="00E337E5"/>
    <w:rsid w:val="00E42C75"/>
    <w:rsid w:val="00E44A2B"/>
    <w:rsid w:val="00E45776"/>
    <w:rsid w:val="00E45F4B"/>
    <w:rsid w:val="00E4640C"/>
    <w:rsid w:val="00E5132A"/>
    <w:rsid w:val="00E51955"/>
    <w:rsid w:val="00E57EF6"/>
    <w:rsid w:val="00E61AD5"/>
    <w:rsid w:val="00E635BF"/>
    <w:rsid w:val="00E644BC"/>
    <w:rsid w:val="00E66C2A"/>
    <w:rsid w:val="00E71971"/>
    <w:rsid w:val="00E73371"/>
    <w:rsid w:val="00E748DB"/>
    <w:rsid w:val="00E769F0"/>
    <w:rsid w:val="00E774C5"/>
    <w:rsid w:val="00E77721"/>
    <w:rsid w:val="00E8007D"/>
    <w:rsid w:val="00E80C2A"/>
    <w:rsid w:val="00E81CDF"/>
    <w:rsid w:val="00E822C4"/>
    <w:rsid w:val="00E82E33"/>
    <w:rsid w:val="00E839B4"/>
    <w:rsid w:val="00E84105"/>
    <w:rsid w:val="00E90465"/>
    <w:rsid w:val="00E932CD"/>
    <w:rsid w:val="00E94AFB"/>
    <w:rsid w:val="00E96141"/>
    <w:rsid w:val="00EA1744"/>
    <w:rsid w:val="00EA6032"/>
    <w:rsid w:val="00EB4C60"/>
    <w:rsid w:val="00EC1780"/>
    <w:rsid w:val="00EC7BF0"/>
    <w:rsid w:val="00ED0B84"/>
    <w:rsid w:val="00ED6CB6"/>
    <w:rsid w:val="00ED6E2C"/>
    <w:rsid w:val="00EE1DCF"/>
    <w:rsid w:val="00EE5295"/>
    <w:rsid w:val="00EE7B7D"/>
    <w:rsid w:val="00EF33EC"/>
    <w:rsid w:val="00EF51FE"/>
    <w:rsid w:val="00EF6DE4"/>
    <w:rsid w:val="00EF6F98"/>
    <w:rsid w:val="00F02C10"/>
    <w:rsid w:val="00F077CD"/>
    <w:rsid w:val="00F12C3C"/>
    <w:rsid w:val="00F14339"/>
    <w:rsid w:val="00F16D93"/>
    <w:rsid w:val="00F17347"/>
    <w:rsid w:val="00F17A39"/>
    <w:rsid w:val="00F21AA2"/>
    <w:rsid w:val="00F226CA"/>
    <w:rsid w:val="00F26F61"/>
    <w:rsid w:val="00F279EF"/>
    <w:rsid w:val="00F30DBE"/>
    <w:rsid w:val="00F312E9"/>
    <w:rsid w:val="00F32F28"/>
    <w:rsid w:val="00F440BF"/>
    <w:rsid w:val="00F46117"/>
    <w:rsid w:val="00F5552D"/>
    <w:rsid w:val="00F56C4A"/>
    <w:rsid w:val="00F60898"/>
    <w:rsid w:val="00F63686"/>
    <w:rsid w:val="00F66CFE"/>
    <w:rsid w:val="00F707CE"/>
    <w:rsid w:val="00F71286"/>
    <w:rsid w:val="00F714AC"/>
    <w:rsid w:val="00F75E10"/>
    <w:rsid w:val="00F76246"/>
    <w:rsid w:val="00F838B2"/>
    <w:rsid w:val="00F85737"/>
    <w:rsid w:val="00F862C4"/>
    <w:rsid w:val="00F87070"/>
    <w:rsid w:val="00F8768E"/>
    <w:rsid w:val="00F95635"/>
    <w:rsid w:val="00FA0068"/>
    <w:rsid w:val="00FA01F4"/>
    <w:rsid w:val="00FA16F0"/>
    <w:rsid w:val="00FA19BF"/>
    <w:rsid w:val="00FA23CB"/>
    <w:rsid w:val="00FA3F9D"/>
    <w:rsid w:val="00FA6338"/>
    <w:rsid w:val="00FA6C14"/>
    <w:rsid w:val="00FA6F5E"/>
    <w:rsid w:val="00FB2D73"/>
    <w:rsid w:val="00FB6171"/>
    <w:rsid w:val="00FC0C69"/>
    <w:rsid w:val="00FE0DBC"/>
    <w:rsid w:val="00FE4C59"/>
    <w:rsid w:val="00FE795F"/>
    <w:rsid w:val="00FE7AAF"/>
    <w:rsid w:val="00FF07A0"/>
    <w:rsid w:val="00FF0D5B"/>
    <w:rsid w:val="00FF11DE"/>
    <w:rsid w:val="00FF19D6"/>
    <w:rsid w:val="00FF2A69"/>
    <w:rsid w:val="00FF4CB5"/>
    <w:rsid w:val="00FF4E2C"/>
    <w:rsid w:val="00FF6716"/>
    <w:rsid w:val="00FF6B7F"/>
    <w:rsid w:val="00FF7607"/>
    <w:rsid w:val="00FF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2C5204"/>
  <w15:chartTrackingRefBased/>
  <w15:docId w15:val="{CC5E7899-EC94-4DB4-89FA-B0DCDB89A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2C4"/>
    <w:pPr>
      <w:keepNext/>
      <w:keepLines/>
      <w:spacing w:before="480" w:after="120" w:line="240"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6081"/>
    <w:pPr>
      <w:keepNext/>
      <w:keepLines/>
      <w:spacing w:before="240" w:after="12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370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370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70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70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0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0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0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2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260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370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370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370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370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0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0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076"/>
    <w:rPr>
      <w:rFonts w:eastAsiaTheme="majorEastAsia" w:cstheme="majorBidi"/>
      <w:color w:val="272727" w:themeColor="text1" w:themeTint="D8"/>
    </w:rPr>
  </w:style>
  <w:style w:type="paragraph" w:styleId="Title">
    <w:name w:val="Title"/>
    <w:basedOn w:val="Normal"/>
    <w:next w:val="Normal"/>
    <w:link w:val="TitleChar"/>
    <w:uiPriority w:val="10"/>
    <w:qFormat/>
    <w:rsid w:val="004370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0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0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0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076"/>
    <w:pPr>
      <w:spacing w:before="160"/>
      <w:jc w:val="center"/>
    </w:pPr>
    <w:rPr>
      <w:i/>
      <w:iCs/>
      <w:color w:val="404040" w:themeColor="text1" w:themeTint="BF"/>
    </w:rPr>
  </w:style>
  <w:style w:type="character" w:customStyle="1" w:styleId="QuoteChar">
    <w:name w:val="Quote Char"/>
    <w:basedOn w:val="DefaultParagraphFont"/>
    <w:link w:val="Quote"/>
    <w:uiPriority w:val="29"/>
    <w:rsid w:val="00437076"/>
    <w:rPr>
      <w:i/>
      <w:iCs/>
      <w:color w:val="404040" w:themeColor="text1" w:themeTint="BF"/>
    </w:rPr>
  </w:style>
  <w:style w:type="paragraph" w:styleId="ListParagraph">
    <w:name w:val="List Paragraph"/>
    <w:basedOn w:val="Normal"/>
    <w:uiPriority w:val="34"/>
    <w:qFormat/>
    <w:rsid w:val="00437076"/>
    <w:pPr>
      <w:ind w:left="720"/>
      <w:contextualSpacing/>
    </w:pPr>
  </w:style>
  <w:style w:type="character" w:styleId="IntenseEmphasis">
    <w:name w:val="Intense Emphasis"/>
    <w:basedOn w:val="DefaultParagraphFont"/>
    <w:uiPriority w:val="21"/>
    <w:qFormat/>
    <w:rsid w:val="00437076"/>
    <w:rPr>
      <w:i/>
      <w:iCs/>
      <w:color w:val="2F5496" w:themeColor="accent1" w:themeShade="BF"/>
    </w:rPr>
  </w:style>
  <w:style w:type="paragraph" w:styleId="IntenseQuote">
    <w:name w:val="Intense Quote"/>
    <w:basedOn w:val="Normal"/>
    <w:next w:val="Normal"/>
    <w:link w:val="IntenseQuoteChar"/>
    <w:uiPriority w:val="30"/>
    <w:qFormat/>
    <w:rsid w:val="004370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7076"/>
    <w:rPr>
      <w:i/>
      <w:iCs/>
      <w:color w:val="2F5496" w:themeColor="accent1" w:themeShade="BF"/>
    </w:rPr>
  </w:style>
  <w:style w:type="character" w:styleId="IntenseReference">
    <w:name w:val="Intense Reference"/>
    <w:basedOn w:val="DefaultParagraphFont"/>
    <w:uiPriority w:val="32"/>
    <w:qFormat/>
    <w:rsid w:val="00437076"/>
    <w:rPr>
      <w:b/>
      <w:bCs/>
      <w:smallCaps/>
      <w:color w:val="2F5496" w:themeColor="accent1" w:themeShade="BF"/>
      <w:spacing w:val="5"/>
    </w:rPr>
  </w:style>
  <w:style w:type="paragraph" w:styleId="TOCHeading">
    <w:name w:val="TOC Heading"/>
    <w:basedOn w:val="Heading1"/>
    <w:next w:val="Normal"/>
    <w:uiPriority w:val="39"/>
    <w:unhideWhenUsed/>
    <w:qFormat/>
    <w:rsid w:val="0043707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437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076"/>
  </w:style>
  <w:style w:type="paragraph" w:styleId="Footer">
    <w:name w:val="footer"/>
    <w:basedOn w:val="Normal"/>
    <w:link w:val="FooterChar"/>
    <w:uiPriority w:val="99"/>
    <w:unhideWhenUsed/>
    <w:rsid w:val="00437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076"/>
  </w:style>
  <w:style w:type="table" w:styleId="GridTable4-Accent1">
    <w:name w:val="Grid Table 4 Accent 1"/>
    <w:basedOn w:val="TableNormal"/>
    <w:uiPriority w:val="49"/>
    <w:rsid w:val="00C765C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C765C9"/>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045CAF"/>
    <w:pPr>
      <w:spacing w:after="100"/>
    </w:pPr>
  </w:style>
  <w:style w:type="paragraph" w:styleId="TOC2">
    <w:name w:val="toc 2"/>
    <w:basedOn w:val="Normal"/>
    <w:next w:val="Normal"/>
    <w:autoRedefine/>
    <w:uiPriority w:val="39"/>
    <w:unhideWhenUsed/>
    <w:rsid w:val="00045CAF"/>
    <w:pPr>
      <w:spacing w:after="100"/>
      <w:ind w:left="220"/>
    </w:pPr>
  </w:style>
  <w:style w:type="character" w:styleId="Hyperlink">
    <w:name w:val="Hyperlink"/>
    <w:basedOn w:val="DefaultParagraphFont"/>
    <w:uiPriority w:val="99"/>
    <w:unhideWhenUsed/>
    <w:rsid w:val="00045CAF"/>
    <w:rPr>
      <w:color w:val="0563C1" w:themeColor="hyperlink"/>
      <w:u w:val="single"/>
    </w:rPr>
  </w:style>
  <w:style w:type="table" w:styleId="ListTable4-Accent1">
    <w:name w:val="List Table 4 Accent 1"/>
    <w:basedOn w:val="TableNormal"/>
    <w:uiPriority w:val="49"/>
    <w:rsid w:val="00A1671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PlaceholderText">
    <w:name w:val="Placeholder Text"/>
    <w:basedOn w:val="DefaultParagraphFont"/>
    <w:uiPriority w:val="99"/>
    <w:semiHidden/>
    <w:rsid w:val="00E57EF6"/>
    <w:rPr>
      <w:color w:val="666666"/>
    </w:rPr>
  </w:style>
  <w:style w:type="paragraph" w:styleId="NormalWeb">
    <w:name w:val="Normal (Web)"/>
    <w:basedOn w:val="Normal"/>
    <w:uiPriority w:val="99"/>
    <w:semiHidden/>
    <w:unhideWhenUsed/>
    <w:rsid w:val="00CD2772"/>
    <w:rPr>
      <w:rFonts w:ascii="Times New Roman" w:hAnsi="Times New Roman" w:cs="Times New Roman"/>
      <w:sz w:val="24"/>
      <w:szCs w:val="24"/>
    </w:rPr>
  </w:style>
  <w:style w:type="paragraph" w:styleId="TableofFigures">
    <w:name w:val="table of figures"/>
    <w:basedOn w:val="Normal"/>
    <w:next w:val="Normal"/>
    <w:uiPriority w:val="99"/>
    <w:unhideWhenUsed/>
    <w:rsid w:val="008B00FF"/>
    <w:pPr>
      <w:spacing w:after="0"/>
    </w:pPr>
  </w:style>
  <w:style w:type="table" w:styleId="TableGrid">
    <w:name w:val="Table Grid"/>
    <w:basedOn w:val="TableNormal"/>
    <w:uiPriority w:val="39"/>
    <w:rsid w:val="008B0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147C6"/>
    <w:pPr>
      <w:spacing w:after="100"/>
      <w:ind w:left="440"/>
    </w:pPr>
    <w:rPr>
      <w:rFonts w:eastAsiaTheme="minorEastAsia" w:cs="Times New Roman"/>
      <w:kern w:val="0"/>
      <w:lang w:val="en-US"/>
      <w14:ligatures w14:val="none"/>
    </w:rPr>
  </w:style>
  <w:style w:type="character" w:styleId="Strong">
    <w:name w:val="Strong"/>
    <w:basedOn w:val="DefaultParagraphFont"/>
    <w:uiPriority w:val="22"/>
    <w:qFormat/>
    <w:rsid w:val="0077566B"/>
    <w:rPr>
      <w:b/>
      <w:bCs/>
    </w:rPr>
  </w:style>
  <w:style w:type="character" w:styleId="UnresolvedMention">
    <w:name w:val="Unresolved Mention"/>
    <w:basedOn w:val="DefaultParagraphFont"/>
    <w:uiPriority w:val="99"/>
    <w:semiHidden/>
    <w:unhideWhenUsed/>
    <w:rsid w:val="008B5B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173775">
      <w:bodyDiv w:val="1"/>
      <w:marLeft w:val="0"/>
      <w:marRight w:val="0"/>
      <w:marTop w:val="0"/>
      <w:marBottom w:val="0"/>
      <w:divBdr>
        <w:top w:val="none" w:sz="0" w:space="0" w:color="auto"/>
        <w:left w:val="none" w:sz="0" w:space="0" w:color="auto"/>
        <w:bottom w:val="none" w:sz="0" w:space="0" w:color="auto"/>
        <w:right w:val="none" w:sz="0" w:space="0" w:color="auto"/>
      </w:divBdr>
      <w:divsChild>
        <w:div w:id="389617185">
          <w:marLeft w:val="0"/>
          <w:marRight w:val="0"/>
          <w:marTop w:val="0"/>
          <w:marBottom w:val="0"/>
          <w:divBdr>
            <w:top w:val="none" w:sz="0" w:space="0" w:color="auto"/>
            <w:left w:val="none" w:sz="0" w:space="0" w:color="auto"/>
            <w:bottom w:val="none" w:sz="0" w:space="0" w:color="auto"/>
            <w:right w:val="none" w:sz="0" w:space="0" w:color="auto"/>
          </w:divBdr>
        </w:div>
      </w:divsChild>
    </w:div>
    <w:div w:id="214198867">
      <w:bodyDiv w:val="1"/>
      <w:marLeft w:val="0"/>
      <w:marRight w:val="0"/>
      <w:marTop w:val="0"/>
      <w:marBottom w:val="0"/>
      <w:divBdr>
        <w:top w:val="none" w:sz="0" w:space="0" w:color="auto"/>
        <w:left w:val="none" w:sz="0" w:space="0" w:color="auto"/>
        <w:bottom w:val="none" w:sz="0" w:space="0" w:color="auto"/>
        <w:right w:val="none" w:sz="0" w:space="0" w:color="auto"/>
      </w:divBdr>
    </w:div>
    <w:div w:id="236021696">
      <w:bodyDiv w:val="1"/>
      <w:marLeft w:val="0"/>
      <w:marRight w:val="0"/>
      <w:marTop w:val="0"/>
      <w:marBottom w:val="0"/>
      <w:divBdr>
        <w:top w:val="none" w:sz="0" w:space="0" w:color="auto"/>
        <w:left w:val="none" w:sz="0" w:space="0" w:color="auto"/>
        <w:bottom w:val="none" w:sz="0" w:space="0" w:color="auto"/>
        <w:right w:val="none" w:sz="0" w:space="0" w:color="auto"/>
      </w:divBdr>
    </w:div>
    <w:div w:id="264312942">
      <w:bodyDiv w:val="1"/>
      <w:marLeft w:val="0"/>
      <w:marRight w:val="0"/>
      <w:marTop w:val="0"/>
      <w:marBottom w:val="0"/>
      <w:divBdr>
        <w:top w:val="none" w:sz="0" w:space="0" w:color="auto"/>
        <w:left w:val="none" w:sz="0" w:space="0" w:color="auto"/>
        <w:bottom w:val="none" w:sz="0" w:space="0" w:color="auto"/>
        <w:right w:val="none" w:sz="0" w:space="0" w:color="auto"/>
      </w:divBdr>
    </w:div>
    <w:div w:id="305160668">
      <w:bodyDiv w:val="1"/>
      <w:marLeft w:val="0"/>
      <w:marRight w:val="0"/>
      <w:marTop w:val="0"/>
      <w:marBottom w:val="0"/>
      <w:divBdr>
        <w:top w:val="none" w:sz="0" w:space="0" w:color="auto"/>
        <w:left w:val="none" w:sz="0" w:space="0" w:color="auto"/>
        <w:bottom w:val="none" w:sz="0" w:space="0" w:color="auto"/>
        <w:right w:val="none" w:sz="0" w:space="0" w:color="auto"/>
      </w:divBdr>
    </w:div>
    <w:div w:id="402069360">
      <w:bodyDiv w:val="1"/>
      <w:marLeft w:val="0"/>
      <w:marRight w:val="0"/>
      <w:marTop w:val="0"/>
      <w:marBottom w:val="0"/>
      <w:divBdr>
        <w:top w:val="none" w:sz="0" w:space="0" w:color="auto"/>
        <w:left w:val="none" w:sz="0" w:space="0" w:color="auto"/>
        <w:bottom w:val="none" w:sz="0" w:space="0" w:color="auto"/>
        <w:right w:val="none" w:sz="0" w:space="0" w:color="auto"/>
      </w:divBdr>
    </w:div>
    <w:div w:id="436563361">
      <w:bodyDiv w:val="1"/>
      <w:marLeft w:val="0"/>
      <w:marRight w:val="0"/>
      <w:marTop w:val="0"/>
      <w:marBottom w:val="0"/>
      <w:divBdr>
        <w:top w:val="none" w:sz="0" w:space="0" w:color="auto"/>
        <w:left w:val="none" w:sz="0" w:space="0" w:color="auto"/>
        <w:bottom w:val="none" w:sz="0" w:space="0" w:color="auto"/>
        <w:right w:val="none" w:sz="0" w:space="0" w:color="auto"/>
      </w:divBdr>
    </w:div>
    <w:div w:id="444010155">
      <w:bodyDiv w:val="1"/>
      <w:marLeft w:val="0"/>
      <w:marRight w:val="0"/>
      <w:marTop w:val="0"/>
      <w:marBottom w:val="0"/>
      <w:divBdr>
        <w:top w:val="none" w:sz="0" w:space="0" w:color="auto"/>
        <w:left w:val="none" w:sz="0" w:space="0" w:color="auto"/>
        <w:bottom w:val="none" w:sz="0" w:space="0" w:color="auto"/>
        <w:right w:val="none" w:sz="0" w:space="0" w:color="auto"/>
      </w:divBdr>
    </w:div>
    <w:div w:id="485560079">
      <w:bodyDiv w:val="1"/>
      <w:marLeft w:val="0"/>
      <w:marRight w:val="0"/>
      <w:marTop w:val="0"/>
      <w:marBottom w:val="0"/>
      <w:divBdr>
        <w:top w:val="none" w:sz="0" w:space="0" w:color="auto"/>
        <w:left w:val="none" w:sz="0" w:space="0" w:color="auto"/>
        <w:bottom w:val="none" w:sz="0" w:space="0" w:color="auto"/>
        <w:right w:val="none" w:sz="0" w:space="0" w:color="auto"/>
      </w:divBdr>
    </w:div>
    <w:div w:id="489061960">
      <w:bodyDiv w:val="1"/>
      <w:marLeft w:val="0"/>
      <w:marRight w:val="0"/>
      <w:marTop w:val="0"/>
      <w:marBottom w:val="0"/>
      <w:divBdr>
        <w:top w:val="none" w:sz="0" w:space="0" w:color="auto"/>
        <w:left w:val="none" w:sz="0" w:space="0" w:color="auto"/>
        <w:bottom w:val="none" w:sz="0" w:space="0" w:color="auto"/>
        <w:right w:val="none" w:sz="0" w:space="0" w:color="auto"/>
      </w:divBdr>
    </w:div>
    <w:div w:id="546066274">
      <w:bodyDiv w:val="1"/>
      <w:marLeft w:val="0"/>
      <w:marRight w:val="0"/>
      <w:marTop w:val="0"/>
      <w:marBottom w:val="0"/>
      <w:divBdr>
        <w:top w:val="none" w:sz="0" w:space="0" w:color="auto"/>
        <w:left w:val="none" w:sz="0" w:space="0" w:color="auto"/>
        <w:bottom w:val="none" w:sz="0" w:space="0" w:color="auto"/>
        <w:right w:val="none" w:sz="0" w:space="0" w:color="auto"/>
      </w:divBdr>
    </w:div>
    <w:div w:id="580019807">
      <w:bodyDiv w:val="1"/>
      <w:marLeft w:val="0"/>
      <w:marRight w:val="0"/>
      <w:marTop w:val="0"/>
      <w:marBottom w:val="0"/>
      <w:divBdr>
        <w:top w:val="none" w:sz="0" w:space="0" w:color="auto"/>
        <w:left w:val="none" w:sz="0" w:space="0" w:color="auto"/>
        <w:bottom w:val="none" w:sz="0" w:space="0" w:color="auto"/>
        <w:right w:val="none" w:sz="0" w:space="0" w:color="auto"/>
      </w:divBdr>
    </w:div>
    <w:div w:id="604386879">
      <w:bodyDiv w:val="1"/>
      <w:marLeft w:val="0"/>
      <w:marRight w:val="0"/>
      <w:marTop w:val="0"/>
      <w:marBottom w:val="0"/>
      <w:divBdr>
        <w:top w:val="none" w:sz="0" w:space="0" w:color="auto"/>
        <w:left w:val="none" w:sz="0" w:space="0" w:color="auto"/>
        <w:bottom w:val="none" w:sz="0" w:space="0" w:color="auto"/>
        <w:right w:val="none" w:sz="0" w:space="0" w:color="auto"/>
      </w:divBdr>
    </w:div>
    <w:div w:id="631324113">
      <w:bodyDiv w:val="1"/>
      <w:marLeft w:val="0"/>
      <w:marRight w:val="0"/>
      <w:marTop w:val="0"/>
      <w:marBottom w:val="0"/>
      <w:divBdr>
        <w:top w:val="none" w:sz="0" w:space="0" w:color="auto"/>
        <w:left w:val="none" w:sz="0" w:space="0" w:color="auto"/>
        <w:bottom w:val="none" w:sz="0" w:space="0" w:color="auto"/>
        <w:right w:val="none" w:sz="0" w:space="0" w:color="auto"/>
      </w:divBdr>
    </w:div>
    <w:div w:id="677537876">
      <w:bodyDiv w:val="1"/>
      <w:marLeft w:val="0"/>
      <w:marRight w:val="0"/>
      <w:marTop w:val="0"/>
      <w:marBottom w:val="0"/>
      <w:divBdr>
        <w:top w:val="none" w:sz="0" w:space="0" w:color="auto"/>
        <w:left w:val="none" w:sz="0" w:space="0" w:color="auto"/>
        <w:bottom w:val="none" w:sz="0" w:space="0" w:color="auto"/>
        <w:right w:val="none" w:sz="0" w:space="0" w:color="auto"/>
      </w:divBdr>
      <w:divsChild>
        <w:div w:id="854029444">
          <w:marLeft w:val="0"/>
          <w:marRight w:val="0"/>
          <w:marTop w:val="0"/>
          <w:marBottom w:val="0"/>
          <w:divBdr>
            <w:top w:val="none" w:sz="0" w:space="0" w:color="auto"/>
            <w:left w:val="none" w:sz="0" w:space="0" w:color="auto"/>
            <w:bottom w:val="none" w:sz="0" w:space="0" w:color="auto"/>
            <w:right w:val="none" w:sz="0" w:space="0" w:color="auto"/>
          </w:divBdr>
        </w:div>
      </w:divsChild>
    </w:div>
    <w:div w:id="691691409">
      <w:bodyDiv w:val="1"/>
      <w:marLeft w:val="0"/>
      <w:marRight w:val="0"/>
      <w:marTop w:val="0"/>
      <w:marBottom w:val="0"/>
      <w:divBdr>
        <w:top w:val="none" w:sz="0" w:space="0" w:color="auto"/>
        <w:left w:val="none" w:sz="0" w:space="0" w:color="auto"/>
        <w:bottom w:val="none" w:sz="0" w:space="0" w:color="auto"/>
        <w:right w:val="none" w:sz="0" w:space="0" w:color="auto"/>
      </w:divBdr>
      <w:divsChild>
        <w:div w:id="1712877810">
          <w:marLeft w:val="0"/>
          <w:marRight w:val="0"/>
          <w:marTop w:val="0"/>
          <w:marBottom w:val="0"/>
          <w:divBdr>
            <w:top w:val="none" w:sz="0" w:space="0" w:color="auto"/>
            <w:left w:val="none" w:sz="0" w:space="0" w:color="auto"/>
            <w:bottom w:val="none" w:sz="0" w:space="0" w:color="auto"/>
            <w:right w:val="none" w:sz="0" w:space="0" w:color="auto"/>
          </w:divBdr>
        </w:div>
      </w:divsChild>
    </w:div>
    <w:div w:id="807433194">
      <w:bodyDiv w:val="1"/>
      <w:marLeft w:val="0"/>
      <w:marRight w:val="0"/>
      <w:marTop w:val="0"/>
      <w:marBottom w:val="0"/>
      <w:divBdr>
        <w:top w:val="none" w:sz="0" w:space="0" w:color="auto"/>
        <w:left w:val="none" w:sz="0" w:space="0" w:color="auto"/>
        <w:bottom w:val="none" w:sz="0" w:space="0" w:color="auto"/>
        <w:right w:val="none" w:sz="0" w:space="0" w:color="auto"/>
      </w:divBdr>
    </w:div>
    <w:div w:id="808480848">
      <w:bodyDiv w:val="1"/>
      <w:marLeft w:val="0"/>
      <w:marRight w:val="0"/>
      <w:marTop w:val="0"/>
      <w:marBottom w:val="0"/>
      <w:divBdr>
        <w:top w:val="none" w:sz="0" w:space="0" w:color="auto"/>
        <w:left w:val="none" w:sz="0" w:space="0" w:color="auto"/>
        <w:bottom w:val="none" w:sz="0" w:space="0" w:color="auto"/>
        <w:right w:val="none" w:sz="0" w:space="0" w:color="auto"/>
      </w:divBdr>
    </w:div>
    <w:div w:id="1014188581">
      <w:bodyDiv w:val="1"/>
      <w:marLeft w:val="0"/>
      <w:marRight w:val="0"/>
      <w:marTop w:val="0"/>
      <w:marBottom w:val="0"/>
      <w:divBdr>
        <w:top w:val="none" w:sz="0" w:space="0" w:color="auto"/>
        <w:left w:val="none" w:sz="0" w:space="0" w:color="auto"/>
        <w:bottom w:val="none" w:sz="0" w:space="0" w:color="auto"/>
        <w:right w:val="none" w:sz="0" w:space="0" w:color="auto"/>
      </w:divBdr>
    </w:div>
    <w:div w:id="1039087450">
      <w:bodyDiv w:val="1"/>
      <w:marLeft w:val="0"/>
      <w:marRight w:val="0"/>
      <w:marTop w:val="0"/>
      <w:marBottom w:val="0"/>
      <w:divBdr>
        <w:top w:val="none" w:sz="0" w:space="0" w:color="auto"/>
        <w:left w:val="none" w:sz="0" w:space="0" w:color="auto"/>
        <w:bottom w:val="none" w:sz="0" w:space="0" w:color="auto"/>
        <w:right w:val="none" w:sz="0" w:space="0" w:color="auto"/>
      </w:divBdr>
      <w:divsChild>
        <w:div w:id="174540376">
          <w:marLeft w:val="0"/>
          <w:marRight w:val="0"/>
          <w:marTop w:val="0"/>
          <w:marBottom w:val="0"/>
          <w:divBdr>
            <w:top w:val="none" w:sz="0" w:space="0" w:color="auto"/>
            <w:left w:val="none" w:sz="0" w:space="0" w:color="auto"/>
            <w:bottom w:val="none" w:sz="0" w:space="0" w:color="auto"/>
            <w:right w:val="none" w:sz="0" w:space="0" w:color="auto"/>
          </w:divBdr>
          <w:divsChild>
            <w:div w:id="116058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851278">
      <w:bodyDiv w:val="1"/>
      <w:marLeft w:val="0"/>
      <w:marRight w:val="0"/>
      <w:marTop w:val="0"/>
      <w:marBottom w:val="0"/>
      <w:divBdr>
        <w:top w:val="none" w:sz="0" w:space="0" w:color="auto"/>
        <w:left w:val="none" w:sz="0" w:space="0" w:color="auto"/>
        <w:bottom w:val="none" w:sz="0" w:space="0" w:color="auto"/>
        <w:right w:val="none" w:sz="0" w:space="0" w:color="auto"/>
      </w:divBdr>
    </w:div>
    <w:div w:id="1068770772">
      <w:bodyDiv w:val="1"/>
      <w:marLeft w:val="0"/>
      <w:marRight w:val="0"/>
      <w:marTop w:val="0"/>
      <w:marBottom w:val="0"/>
      <w:divBdr>
        <w:top w:val="none" w:sz="0" w:space="0" w:color="auto"/>
        <w:left w:val="none" w:sz="0" w:space="0" w:color="auto"/>
        <w:bottom w:val="none" w:sz="0" w:space="0" w:color="auto"/>
        <w:right w:val="none" w:sz="0" w:space="0" w:color="auto"/>
      </w:divBdr>
    </w:div>
    <w:div w:id="1159689621">
      <w:bodyDiv w:val="1"/>
      <w:marLeft w:val="0"/>
      <w:marRight w:val="0"/>
      <w:marTop w:val="0"/>
      <w:marBottom w:val="0"/>
      <w:divBdr>
        <w:top w:val="none" w:sz="0" w:space="0" w:color="auto"/>
        <w:left w:val="none" w:sz="0" w:space="0" w:color="auto"/>
        <w:bottom w:val="none" w:sz="0" w:space="0" w:color="auto"/>
        <w:right w:val="none" w:sz="0" w:space="0" w:color="auto"/>
      </w:divBdr>
    </w:div>
    <w:div w:id="1166287769">
      <w:bodyDiv w:val="1"/>
      <w:marLeft w:val="0"/>
      <w:marRight w:val="0"/>
      <w:marTop w:val="0"/>
      <w:marBottom w:val="0"/>
      <w:divBdr>
        <w:top w:val="none" w:sz="0" w:space="0" w:color="auto"/>
        <w:left w:val="none" w:sz="0" w:space="0" w:color="auto"/>
        <w:bottom w:val="none" w:sz="0" w:space="0" w:color="auto"/>
        <w:right w:val="none" w:sz="0" w:space="0" w:color="auto"/>
      </w:divBdr>
    </w:div>
    <w:div w:id="1245798173">
      <w:bodyDiv w:val="1"/>
      <w:marLeft w:val="0"/>
      <w:marRight w:val="0"/>
      <w:marTop w:val="0"/>
      <w:marBottom w:val="0"/>
      <w:divBdr>
        <w:top w:val="none" w:sz="0" w:space="0" w:color="auto"/>
        <w:left w:val="none" w:sz="0" w:space="0" w:color="auto"/>
        <w:bottom w:val="none" w:sz="0" w:space="0" w:color="auto"/>
        <w:right w:val="none" w:sz="0" w:space="0" w:color="auto"/>
      </w:divBdr>
    </w:div>
    <w:div w:id="1271087773">
      <w:bodyDiv w:val="1"/>
      <w:marLeft w:val="0"/>
      <w:marRight w:val="0"/>
      <w:marTop w:val="0"/>
      <w:marBottom w:val="0"/>
      <w:divBdr>
        <w:top w:val="none" w:sz="0" w:space="0" w:color="auto"/>
        <w:left w:val="none" w:sz="0" w:space="0" w:color="auto"/>
        <w:bottom w:val="none" w:sz="0" w:space="0" w:color="auto"/>
        <w:right w:val="none" w:sz="0" w:space="0" w:color="auto"/>
      </w:divBdr>
    </w:div>
    <w:div w:id="1287005011">
      <w:bodyDiv w:val="1"/>
      <w:marLeft w:val="0"/>
      <w:marRight w:val="0"/>
      <w:marTop w:val="0"/>
      <w:marBottom w:val="0"/>
      <w:divBdr>
        <w:top w:val="none" w:sz="0" w:space="0" w:color="auto"/>
        <w:left w:val="none" w:sz="0" w:space="0" w:color="auto"/>
        <w:bottom w:val="none" w:sz="0" w:space="0" w:color="auto"/>
        <w:right w:val="none" w:sz="0" w:space="0" w:color="auto"/>
      </w:divBdr>
    </w:div>
    <w:div w:id="1336112109">
      <w:bodyDiv w:val="1"/>
      <w:marLeft w:val="0"/>
      <w:marRight w:val="0"/>
      <w:marTop w:val="0"/>
      <w:marBottom w:val="0"/>
      <w:divBdr>
        <w:top w:val="none" w:sz="0" w:space="0" w:color="auto"/>
        <w:left w:val="none" w:sz="0" w:space="0" w:color="auto"/>
        <w:bottom w:val="none" w:sz="0" w:space="0" w:color="auto"/>
        <w:right w:val="none" w:sz="0" w:space="0" w:color="auto"/>
      </w:divBdr>
    </w:div>
    <w:div w:id="1364482789">
      <w:bodyDiv w:val="1"/>
      <w:marLeft w:val="0"/>
      <w:marRight w:val="0"/>
      <w:marTop w:val="0"/>
      <w:marBottom w:val="0"/>
      <w:divBdr>
        <w:top w:val="none" w:sz="0" w:space="0" w:color="auto"/>
        <w:left w:val="none" w:sz="0" w:space="0" w:color="auto"/>
        <w:bottom w:val="none" w:sz="0" w:space="0" w:color="auto"/>
        <w:right w:val="none" w:sz="0" w:space="0" w:color="auto"/>
      </w:divBdr>
    </w:div>
    <w:div w:id="1379738487">
      <w:bodyDiv w:val="1"/>
      <w:marLeft w:val="0"/>
      <w:marRight w:val="0"/>
      <w:marTop w:val="0"/>
      <w:marBottom w:val="0"/>
      <w:divBdr>
        <w:top w:val="none" w:sz="0" w:space="0" w:color="auto"/>
        <w:left w:val="none" w:sz="0" w:space="0" w:color="auto"/>
        <w:bottom w:val="none" w:sz="0" w:space="0" w:color="auto"/>
        <w:right w:val="none" w:sz="0" w:space="0" w:color="auto"/>
      </w:divBdr>
    </w:div>
    <w:div w:id="1390230404">
      <w:bodyDiv w:val="1"/>
      <w:marLeft w:val="0"/>
      <w:marRight w:val="0"/>
      <w:marTop w:val="0"/>
      <w:marBottom w:val="0"/>
      <w:divBdr>
        <w:top w:val="none" w:sz="0" w:space="0" w:color="auto"/>
        <w:left w:val="none" w:sz="0" w:space="0" w:color="auto"/>
        <w:bottom w:val="none" w:sz="0" w:space="0" w:color="auto"/>
        <w:right w:val="none" w:sz="0" w:space="0" w:color="auto"/>
      </w:divBdr>
    </w:div>
    <w:div w:id="1405953573">
      <w:bodyDiv w:val="1"/>
      <w:marLeft w:val="0"/>
      <w:marRight w:val="0"/>
      <w:marTop w:val="0"/>
      <w:marBottom w:val="0"/>
      <w:divBdr>
        <w:top w:val="none" w:sz="0" w:space="0" w:color="auto"/>
        <w:left w:val="none" w:sz="0" w:space="0" w:color="auto"/>
        <w:bottom w:val="none" w:sz="0" w:space="0" w:color="auto"/>
        <w:right w:val="none" w:sz="0" w:space="0" w:color="auto"/>
      </w:divBdr>
    </w:div>
    <w:div w:id="1411123827">
      <w:bodyDiv w:val="1"/>
      <w:marLeft w:val="0"/>
      <w:marRight w:val="0"/>
      <w:marTop w:val="0"/>
      <w:marBottom w:val="0"/>
      <w:divBdr>
        <w:top w:val="none" w:sz="0" w:space="0" w:color="auto"/>
        <w:left w:val="none" w:sz="0" w:space="0" w:color="auto"/>
        <w:bottom w:val="none" w:sz="0" w:space="0" w:color="auto"/>
        <w:right w:val="none" w:sz="0" w:space="0" w:color="auto"/>
      </w:divBdr>
    </w:div>
    <w:div w:id="1509491159">
      <w:bodyDiv w:val="1"/>
      <w:marLeft w:val="0"/>
      <w:marRight w:val="0"/>
      <w:marTop w:val="0"/>
      <w:marBottom w:val="0"/>
      <w:divBdr>
        <w:top w:val="none" w:sz="0" w:space="0" w:color="auto"/>
        <w:left w:val="none" w:sz="0" w:space="0" w:color="auto"/>
        <w:bottom w:val="none" w:sz="0" w:space="0" w:color="auto"/>
        <w:right w:val="none" w:sz="0" w:space="0" w:color="auto"/>
      </w:divBdr>
    </w:div>
    <w:div w:id="1513033064">
      <w:bodyDiv w:val="1"/>
      <w:marLeft w:val="0"/>
      <w:marRight w:val="0"/>
      <w:marTop w:val="0"/>
      <w:marBottom w:val="0"/>
      <w:divBdr>
        <w:top w:val="none" w:sz="0" w:space="0" w:color="auto"/>
        <w:left w:val="none" w:sz="0" w:space="0" w:color="auto"/>
        <w:bottom w:val="none" w:sz="0" w:space="0" w:color="auto"/>
        <w:right w:val="none" w:sz="0" w:space="0" w:color="auto"/>
      </w:divBdr>
      <w:divsChild>
        <w:div w:id="1313606409">
          <w:marLeft w:val="0"/>
          <w:marRight w:val="0"/>
          <w:marTop w:val="0"/>
          <w:marBottom w:val="0"/>
          <w:divBdr>
            <w:top w:val="none" w:sz="0" w:space="0" w:color="auto"/>
            <w:left w:val="none" w:sz="0" w:space="0" w:color="auto"/>
            <w:bottom w:val="none" w:sz="0" w:space="0" w:color="auto"/>
            <w:right w:val="none" w:sz="0" w:space="0" w:color="auto"/>
          </w:divBdr>
          <w:divsChild>
            <w:div w:id="148585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02645">
      <w:bodyDiv w:val="1"/>
      <w:marLeft w:val="0"/>
      <w:marRight w:val="0"/>
      <w:marTop w:val="0"/>
      <w:marBottom w:val="0"/>
      <w:divBdr>
        <w:top w:val="none" w:sz="0" w:space="0" w:color="auto"/>
        <w:left w:val="none" w:sz="0" w:space="0" w:color="auto"/>
        <w:bottom w:val="none" w:sz="0" w:space="0" w:color="auto"/>
        <w:right w:val="none" w:sz="0" w:space="0" w:color="auto"/>
      </w:divBdr>
    </w:div>
    <w:div w:id="1641689808">
      <w:bodyDiv w:val="1"/>
      <w:marLeft w:val="0"/>
      <w:marRight w:val="0"/>
      <w:marTop w:val="0"/>
      <w:marBottom w:val="0"/>
      <w:divBdr>
        <w:top w:val="none" w:sz="0" w:space="0" w:color="auto"/>
        <w:left w:val="none" w:sz="0" w:space="0" w:color="auto"/>
        <w:bottom w:val="none" w:sz="0" w:space="0" w:color="auto"/>
        <w:right w:val="none" w:sz="0" w:space="0" w:color="auto"/>
      </w:divBdr>
    </w:div>
    <w:div w:id="1712919758">
      <w:bodyDiv w:val="1"/>
      <w:marLeft w:val="0"/>
      <w:marRight w:val="0"/>
      <w:marTop w:val="0"/>
      <w:marBottom w:val="0"/>
      <w:divBdr>
        <w:top w:val="none" w:sz="0" w:space="0" w:color="auto"/>
        <w:left w:val="none" w:sz="0" w:space="0" w:color="auto"/>
        <w:bottom w:val="none" w:sz="0" w:space="0" w:color="auto"/>
        <w:right w:val="none" w:sz="0" w:space="0" w:color="auto"/>
      </w:divBdr>
    </w:div>
    <w:div w:id="1762330775">
      <w:bodyDiv w:val="1"/>
      <w:marLeft w:val="0"/>
      <w:marRight w:val="0"/>
      <w:marTop w:val="0"/>
      <w:marBottom w:val="0"/>
      <w:divBdr>
        <w:top w:val="none" w:sz="0" w:space="0" w:color="auto"/>
        <w:left w:val="none" w:sz="0" w:space="0" w:color="auto"/>
        <w:bottom w:val="none" w:sz="0" w:space="0" w:color="auto"/>
        <w:right w:val="none" w:sz="0" w:space="0" w:color="auto"/>
      </w:divBdr>
    </w:div>
    <w:div w:id="1771657548">
      <w:bodyDiv w:val="1"/>
      <w:marLeft w:val="0"/>
      <w:marRight w:val="0"/>
      <w:marTop w:val="0"/>
      <w:marBottom w:val="0"/>
      <w:divBdr>
        <w:top w:val="none" w:sz="0" w:space="0" w:color="auto"/>
        <w:left w:val="none" w:sz="0" w:space="0" w:color="auto"/>
        <w:bottom w:val="none" w:sz="0" w:space="0" w:color="auto"/>
        <w:right w:val="none" w:sz="0" w:space="0" w:color="auto"/>
      </w:divBdr>
    </w:div>
    <w:div w:id="1781148827">
      <w:bodyDiv w:val="1"/>
      <w:marLeft w:val="0"/>
      <w:marRight w:val="0"/>
      <w:marTop w:val="0"/>
      <w:marBottom w:val="0"/>
      <w:divBdr>
        <w:top w:val="none" w:sz="0" w:space="0" w:color="auto"/>
        <w:left w:val="none" w:sz="0" w:space="0" w:color="auto"/>
        <w:bottom w:val="none" w:sz="0" w:space="0" w:color="auto"/>
        <w:right w:val="none" w:sz="0" w:space="0" w:color="auto"/>
      </w:divBdr>
    </w:div>
    <w:div w:id="1845512846">
      <w:bodyDiv w:val="1"/>
      <w:marLeft w:val="0"/>
      <w:marRight w:val="0"/>
      <w:marTop w:val="0"/>
      <w:marBottom w:val="0"/>
      <w:divBdr>
        <w:top w:val="none" w:sz="0" w:space="0" w:color="auto"/>
        <w:left w:val="none" w:sz="0" w:space="0" w:color="auto"/>
        <w:bottom w:val="none" w:sz="0" w:space="0" w:color="auto"/>
        <w:right w:val="none" w:sz="0" w:space="0" w:color="auto"/>
      </w:divBdr>
    </w:div>
    <w:div w:id="1894540494">
      <w:bodyDiv w:val="1"/>
      <w:marLeft w:val="0"/>
      <w:marRight w:val="0"/>
      <w:marTop w:val="0"/>
      <w:marBottom w:val="0"/>
      <w:divBdr>
        <w:top w:val="none" w:sz="0" w:space="0" w:color="auto"/>
        <w:left w:val="none" w:sz="0" w:space="0" w:color="auto"/>
        <w:bottom w:val="none" w:sz="0" w:space="0" w:color="auto"/>
        <w:right w:val="none" w:sz="0" w:space="0" w:color="auto"/>
      </w:divBdr>
    </w:div>
    <w:div w:id="1905918080">
      <w:bodyDiv w:val="1"/>
      <w:marLeft w:val="0"/>
      <w:marRight w:val="0"/>
      <w:marTop w:val="0"/>
      <w:marBottom w:val="0"/>
      <w:divBdr>
        <w:top w:val="none" w:sz="0" w:space="0" w:color="auto"/>
        <w:left w:val="none" w:sz="0" w:space="0" w:color="auto"/>
        <w:bottom w:val="none" w:sz="0" w:space="0" w:color="auto"/>
        <w:right w:val="none" w:sz="0" w:space="0" w:color="auto"/>
      </w:divBdr>
    </w:div>
    <w:div w:id="1923173785">
      <w:bodyDiv w:val="1"/>
      <w:marLeft w:val="0"/>
      <w:marRight w:val="0"/>
      <w:marTop w:val="0"/>
      <w:marBottom w:val="0"/>
      <w:divBdr>
        <w:top w:val="none" w:sz="0" w:space="0" w:color="auto"/>
        <w:left w:val="none" w:sz="0" w:space="0" w:color="auto"/>
        <w:bottom w:val="none" w:sz="0" w:space="0" w:color="auto"/>
        <w:right w:val="none" w:sz="0" w:space="0" w:color="auto"/>
      </w:divBdr>
    </w:div>
    <w:div w:id="1928533820">
      <w:bodyDiv w:val="1"/>
      <w:marLeft w:val="0"/>
      <w:marRight w:val="0"/>
      <w:marTop w:val="0"/>
      <w:marBottom w:val="0"/>
      <w:divBdr>
        <w:top w:val="none" w:sz="0" w:space="0" w:color="auto"/>
        <w:left w:val="none" w:sz="0" w:space="0" w:color="auto"/>
        <w:bottom w:val="none" w:sz="0" w:space="0" w:color="auto"/>
        <w:right w:val="none" w:sz="0" w:space="0" w:color="auto"/>
      </w:divBdr>
    </w:div>
    <w:div w:id="196565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rldefense.com/v3/__https:/assets.publishing.service.gov.uk/media/631063778fa8f5448a3836e4/Storm_Overflows_Discharge_Reduction_Plan.pdf__;!!M3akkV_Ii_in!semZq3X96MgJp6xEysfjseSjJonFdoCgFCWzp46i-bDTA36NQnR1qtsAQn6fu4aA9egntiM-PXfN3bV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b0fb9d8e-8e94-4859-a761-191bb4fec6ec@valero.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rldefense.com/v3/__https:/www.ofwat.gov.uk/regulated-companies/price-review/2024-price-review/__;!!M3akkV_Ii_in!semZq3X96MgJp6xEysfjseSjJonFdoCgFCWzp46i-bDTA36NQnR1qtsAQn6fu4aA9egntiM-PWGjht8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3642F-2457-494D-BCE4-C8717880B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2012</TotalTime>
  <Pages>15</Pages>
  <Words>3422</Words>
  <Characters>20983</Characters>
  <Application>Microsoft Office Word</Application>
  <DocSecurity>0</DocSecurity>
  <Lines>355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Pugh</dc:creator>
  <cp:keywords/>
  <dc:description/>
  <cp:lastModifiedBy>Antony Pugh (2221728)</cp:lastModifiedBy>
  <cp:revision>392</cp:revision>
  <cp:lastPrinted>2026-01-16T09:42:00Z</cp:lastPrinted>
  <dcterms:created xsi:type="dcterms:W3CDTF">2025-11-14T10:14:00Z</dcterms:created>
  <dcterms:modified xsi:type="dcterms:W3CDTF">2026-04-26T17:29:00Z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19ce8670-046c-4542-89b2-d5ba40b25b28</vt:lpwstr>
  </property>
  <property fmtid="{D5CDD505-2E9C-101B-9397-08002B2CF9AE}" pid="3" name="_AdHocReviewCycleID">
    <vt:i4>-42883072</vt:i4>
  </property>
  <property fmtid="{D5CDD505-2E9C-101B-9397-08002B2CF9AE}" pid="4" name="_NewReviewCycle">
    <vt:lpwstr/>
  </property>
  <property fmtid="{D5CDD505-2E9C-101B-9397-08002B2CF9AE}" pid="5" name="_EmailSubject">
    <vt:lpwstr>Turnitin submission</vt:lpwstr>
  </property>
  <property fmtid="{D5CDD505-2E9C-101B-9397-08002B2CF9AE}" pid="6" name="_AuthorEmail">
    <vt:lpwstr>Tony.Pugh@valero.com</vt:lpwstr>
  </property>
  <property fmtid="{D5CDD505-2E9C-101B-9397-08002B2CF9AE}" pid="7" name="_AuthorEmailDisplayName">
    <vt:lpwstr>Pugh, Tony</vt:lpwstr>
  </property>
</Properties>
</file>