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904C2" w14:textId="77777777" w:rsidR="00FE0DA9" w:rsidRDefault="00FE0DA9" w:rsidP="00FE0DA9">
      <w:pPr>
        <w:spacing w:before="0" w:after="160"/>
        <w:jc w:val="center"/>
        <w:rPr>
          <w:b/>
          <w:sz w:val="72"/>
          <w:szCs w:val="72"/>
        </w:rPr>
      </w:pPr>
    </w:p>
    <w:p w14:paraId="1CD83F80" w14:textId="77777777" w:rsidR="00FE0DA9" w:rsidRDefault="00FE0DA9" w:rsidP="00FE0DA9">
      <w:pPr>
        <w:spacing w:before="0" w:after="160"/>
        <w:jc w:val="center"/>
        <w:rPr>
          <w:b/>
          <w:sz w:val="72"/>
          <w:szCs w:val="72"/>
        </w:rPr>
      </w:pPr>
    </w:p>
    <w:p w14:paraId="2F08CDBE" w14:textId="753FDCBF" w:rsidR="0076434E" w:rsidRPr="00FE0DA9" w:rsidRDefault="00FE0DA9" w:rsidP="00FE0DA9">
      <w:pPr>
        <w:spacing w:before="0" w:after="160"/>
        <w:jc w:val="center"/>
        <w:rPr>
          <w:rFonts w:eastAsiaTheme="majorEastAsia" w:cstheme="majorBidi"/>
          <w:b/>
          <w:sz w:val="72"/>
          <w:szCs w:val="72"/>
        </w:rPr>
      </w:pPr>
      <w:r w:rsidRPr="00FE0DA9">
        <w:rPr>
          <w:b/>
          <w:sz w:val="72"/>
          <w:szCs w:val="72"/>
        </w:rPr>
        <w:t xml:space="preserve">BMHP5014 </w:t>
      </w:r>
      <w:r w:rsidR="008A0547" w:rsidRPr="00FE0DA9">
        <w:rPr>
          <w:b/>
          <w:sz w:val="72"/>
          <w:szCs w:val="72"/>
        </w:rPr>
        <w:t>Change makers</w:t>
      </w:r>
      <w:r w:rsidRPr="00FE0DA9">
        <w:rPr>
          <w:b/>
          <w:sz w:val="72"/>
          <w:szCs w:val="72"/>
        </w:rPr>
        <w:t xml:space="preserve"> Creativity and Value Creation </w:t>
      </w:r>
      <w:r w:rsidR="0076434E" w:rsidRPr="00FE0DA9">
        <w:rPr>
          <w:b/>
          <w:sz w:val="72"/>
          <w:szCs w:val="72"/>
        </w:rPr>
        <w:br w:type="page"/>
      </w:r>
    </w:p>
    <w:sdt>
      <w:sdtPr>
        <w:rPr>
          <w:rFonts w:ascii="Times New Roman" w:eastAsiaTheme="minorHAnsi" w:hAnsi="Times New Roman" w:cstheme="minorBidi"/>
          <w:color w:val="auto"/>
          <w:sz w:val="24"/>
          <w:szCs w:val="22"/>
          <w:lang w:val="en-GB"/>
        </w:rPr>
        <w:id w:val="880445770"/>
        <w:docPartObj>
          <w:docPartGallery w:val="Table of Contents"/>
          <w:docPartUnique/>
        </w:docPartObj>
      </w:sdtPr>
      <w:sdtEndPr>
        <w:rPr>
          <w:b/>
          <w:bCs/>
          <w:noProof/>
        </w:rPr>
      </w:sdtEndPr>
      <w:sdtContent>
        <w:p w14:paraId="7FC9CD5C" w14:textId="77777777" w:rsidR="0076434E" w:rsidRPr="0076434E" w:rsidRDefault="0076434E" w:rsidP="0076434E">
          <w:pPr>
            <w:pStyle w:val="Nadpisobsahu"/>
            <w:spacing w:line="360" w:lineRule="auto"/>
            <w:jc w:val="both"/>
            <w:rPr>
              <w:rFonts w:ascii="Times New Roman" w:hAnsi="Times New Roman" w:cs="Times New Roman"/>
              <w:sz w:val="24"/>
              <w:szCs w:val="24"/>
            </w:rPr>
          </w:pPr>
          <w:r w:rsidRPr="0076434E">
            <w:rPr>
              <w:rFonts w:ascii="Times New Roman" w:hAnsi="Times New Roman" w:cs="Times New Roman"/>
              <w:sz w:val="24"/>
              <w:szCs w:val="24"/>
            </w:rPr>
            <w:t>Table of Contents</w:t>
          </w:r>
        </w:p>
        <w:p w14:paraId="7BD82C5E" w14:textId="77777777" w:rsidR="0076434E" w:rsidRPr="0076434E" w:rsidRDefault="0076434E" w:rsidP="0076434E">
          <w:pPr>
            <w:pStyle w:val="Obsah1"/>
            <w:tabs>
              <w:tab w:val="right" w:leader="dot" w:pos="9016"/>
            </w:tabs>
            <w:rPr>
              <w:rFonts w:cs="Times New Roman"/>
              <w:noProof/>
              <w:szCs w:val="24"/>
            </w:rPr>
          </w:pPr>
          <w:r w:rsidRPr="0076434E">
            <w:rPr>
              <w:rFonts w:cs="Times New Roman"/>
              <w:szCs w:val="24"/>
            </w:rPr>
            <w:fldChar w:fldCharType="begin"/>
          </w:r>
          <w:r w:rsidRPr="0076434E">
            <w:rPr>
              <w:rFonts w:cs="Times New Roman"/>
              <w:szCs w:val="24"/>
            </w:rPr>
            <w:instrText xml:space="preserve"> TOC \o "1-3" \h \z \u </w:instrText>
          </w:r>
          <w:r w:rsidRPr="0076434E">
            <w:rPr>
              <w:rFonts w:cs="Times New Roman"/>
              <w:szCs w:val="24"/>
            </w:rPr>
            <w:fldChar w:fldCharType="separate"/>
          </w:r>
          <w:hyperlink w:anchor="_Toc224985500" w:history="1">
            <w:r w:rsidRPr="0076434E">
              <w:rPr>
                <w:rStyle w:val="Hypertextovodkaz"/>
                <w:rFonts w:cs="Times New Roman"/>
                <w:noProof/>
                <w:szCs w:val="24"/>
              </w:rPr>
              <w:t>1. Introduction and Context</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_Toc224985500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3</w:t>
            </w:r>
            <w:r w:rsidRPr="0076434E">
              <w:rPr>
                <w:rFonts w:cs="Times New Roman"/>
                <w:noProof/>
                <w:webHidden/>
                <w:szCs w:val="24"/>
              </w:rPr>
              <w:fldChar w:fldCharType="end"/>
            </w:r>
          </w:hyperlink>
        </w:p>
        <w:p w14:paraId="2F2B0C35" w14:textId="77777777" w:rsidR="0076434E" w:rsidRPr="0076434E" w:rsidRDefault="0076434E" w:rsidP="0076434E">
          <w:pPr>
            <w:pStyle w:val="Obsah2"/>
            <w:tabs>
              <w:tab w:val="right" w:leader="dot" w:pos="9016"/>
            </w:tabs>
            <w:rPr>
              <w:rFonts w:cs="Times New Roman"/>
              <w:noProof/>
              <w:szCs w:val="24"/>
            </w:rPr>
          </w:pPr>
          <w:hyperlink w:anchor="_Toc224985501" w:history="1">
            <w:r w:rsidRPr="0076434E">
              <w:rPr>
                <w:rStyle w:val="Hypertextovodkaz"/>
                <w:rFonts w:cs="Times New Roman"/>
                <w:noProof/>
                <w:szCs w:val="24"/>
              </w:rPr>
              <w:t>2. Innovation Overview</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_Toc224985501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3</w:t>
            </w:r>
            <w:r w:rsidRPr="0076434E">
              <w:rPr>
                <w:rFonts w:cs="Times New Roman"/>
                <w:noProof/>
                <w:webHidden/>
                <w:szCs w:val="24"/>
              </w:rPr>
              <w:fldChar w:fldCharType="end"/>
            </w:r>
          </w:hyperlink>
        </w:p>
        <w:p w14:paraId="2180230D" w14:textId="77777777" w:rsidR="0076434E" w:rsidRPr="0076434E" w:rsidRDefault="0076434E" w:rsidP="0076434E">
          <w:pPr>
            <w:pStyle w:val="Obsah2"/>
            <w:tabs>
              <w:tab w:val="right" w:leader="dot" w:pos="9016"/>
            </w:tabs>
            <w:rPr>
              <w:rFonts w:cs="Times New Roman"/>
              <w:noProof/>
              <w:szCs w:val="24"/>
            </w:rPr>
          </w:pPr>
          <w:hyperlink w:anchor="_Toc224985502" w:history="1">
            <w:r w:rsidRPr="0076434E">
              <w:rPr>
                <w:rStyle w:val="Hypertextovodkaz"/>
                <w:rFonts w:cs="Times New Roman"/>
                <w:noProof/>
                <w:szCs w:val="24"/>
              </w:rPr>
              <w:t>4. Problem Analysis and Evidence Base</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_Toc224985502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3</w:t>
            </w:r>
            <w:r w:rsidRPr="0076434E">
              <w:rPr>
                <w:rFonts w:cs="Times New Roman"/>
                <w:noProof/>
                <w:webHidden/>
                <w:szCs w:val="24"/>
              </w:rPr>
              <w:fldChar w:fldCharType="end"/>
            </w:r>
          </w:hyperlink>
        </w:p>
        <w:p w14:paraId="4BCD5C60" w14:textId="77777777" w:rsidR="0076434E" w:rsidRPr="0076434E" w:rsidRDefault="0076434E" w:rsidP="0076434E">
          <w:pPr>
            <w:pStyle w:val="Obsah2"/>
            <w:tabs>
              <w:tab w:val="right" w:leader="dot" w:pos="9016"/>
            </w:tabs>
            <w:rPr>
              <w:rFonts w:cs="Times New Roman"/>
              <w:noProof/>
              <w:szCs w:val="24"/>
            </w:rPr>
          </w:pPr>
          <w:hyperlink w:anchor="_Toc224985503" w:history="1">
            <w:r w:rsidRPr="0076434E">
              <w:rPr>
                <w:rStyle w:val="Hypertextovodkaz"/>
                <w:rFonts w:cs="Times New Roman"/>
                <w:noProof/>
                <w:szCs w:val="24"/>
              </w:rPr>
              <w:t>5. Implementation Plan and Operational Strategy</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_Toc224985503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4</w:t>
            </w:r>
            <w:r w:rsidRPr="0076434E">
              <w:rPr>
                <w:rFonts w:cs="Times New Roman"/>
                <w:noProof/>
                <w:webHidden/>
                <w:szCs w:val="24"/>
              </w:rPr>
              <w:fldChar w:fldCharType="end"/>
            </w:r>
          </w:hyperlink>
        </w:p>
        <w:p w14:paraId="205DA0A0" w14:textId="77777777" w:rsidR="0076434E" w:rsidRPr="0076434E" w:rsidRDefault="0076434E" w:rsidP="0076434E">
          <w:pPr>
            <w:pStyle w:val="Obsah2"/>
            <w:tabs>
              <w:tab w:val="right" w:leader="dot" w:pos="9016"/>
            </w:tabs>
            <w:rPr>
              <w:rFonts w:cs="Times New Roman"/>
              <w:noProof/>
              <w:szCs w:val="24"/>
            </w:rPr>
          </w:pPr>
          <w:hyperlink w:anchor="_Toc224985504" w:history="1">
            <w:r w:rsidRPr="0076434E">
              <w:rPr>
                <w:rStyle w:val="Hypertextovodkaz"/>
                <w:rFonts w:cs="Times New Roman"/>
                <w:noProof/>
                <w:szCs w:val="24"/>
              </w:rPr>
              <w:t>6. Technology Integration</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_Toc224985504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4</w:t>
            </w:r>
            <w:r w:rsidRPr="0076434E">
              <w:rPr>
                <w:rFonts w:cs="Times New Roman"/>
                <w:noProof/>
                <w:webHidden/>
                <w:szCs w:val="24"/>
              </w:rPr>
              <w:fldChar w:fldCharType="end"/>
            </w:r>
          </w:hyperlink>
        </w:p>
        <w:p w14:paraId="42E7D41F" w14:textId="77777777" w:rsidR="0076434E" w:rsidRPr="0076434E" w:rsidRDefault="0076434E" w:rsidP="0076434E">
          <w:pPr>
            <w:pStyle w:val="Obsah2"/>
            <w:tabs>
              <w:tab w:val="right" w:leader="dot" w:pos="9016"/>
            </w:tabs>
            <w:rPr>
              <w:rFonts w:cs="Times New Roman"/>
              <w:noProof/>
              <w:szCs w:val="24"/>
            </w:rPr>
          </w:pPr>
          <w:hyperlink w:anchor="_Toc224985505" w:history="1">
            <w:r w:rsidRPr="0076434E">
              <w:rPr>
                <w:rStyle w:val="Hypertextovodkaz"/>
                <w:rFonts w:cs="Times New Roman"/>
                <w:noProof/>
                <w:szCs w:val="24"/>
              </w:rPr>
              <w:t>7. Timeline and Phased Rollout</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_Toc224985505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4</w:t>
            </w:r>
            <w:r w:rsidRPr="0076434E">
              <w:rPr>
                <w:rFonts w:cs="Times New Roman"/>
                <w:noProof/>
                <w:webHidden/>
                <w:szCs w:val="24"/>
              </w:rPr>
              <w:fldChar w:fldCharType="end"/>
            </w:r>
          </w:hyperlink>
        </w:p>
        <w:p w14:paraId="52C1735D" w14:textId="77777777" w:rsidR="0076434E" w:rsidRPr="0076434E" w:rsidRDefault="0076434E" w:rsidP="0076434E">
          <w:pPr>
            <w:pStyle w:val="Obsah2"/>
            <w:tabs>
              <w:tab w:val="right" w:leader="dot" w:pos="9016"/>
            </w:tabs>
            <w:rPr>
              <w:rFonts w:cs="Times New Roman"/>
              <w:noProof/>
              <w:szCs w:val="24"/>
            </w:rPr>
          </w:pPr>
          <w:hyperlink w:anchor="_Toc224985506" w:history="1">
            <w:r w:rsidRPr="0076434E">
              <w:rPr>
                <w:rStyle w:val="Hypertextovodkaz"/>
                <w:rFonts w:cs="Times New Roman"/>
                <w:noProof/>
                <w:szCs w:val="24"/>
              </w:rPr>
              <w:t>8. Evaluation, Monitoring, and Benefits</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_Toc224985506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5</w:t>
            </w:r>
            <w:r w:rsidRPr="0076434E">
              <w:rPr>
                <w:rFonts w:cs="Times New Roman"/>
                <w:noProof/>
                <w:webHidden/>
                <w:szCs w:val="24"/>
              </w:rPr>
              <w:fldChar w:fldCharType="end"/>
            </w:r>
          </w:hyperlink>
        </w:p>
        <w:p w14:paraId="6273A946" w14:textId="77777777" w:rsidR="0076434E" w:rsidRPr="0076434E" w:rsidRDefault="0076434E" w:rsidP="0076434E">
          <w:pPr>
            <w:pStyle w:val="Obsah2"/>
            <w:tabs>
              <w:tab w:val="right" w:leader="dot" w:pos="9016"/>
            </w:tabs>
            <w:rPr>
              <w:rFonts w:cs="Times New Roman"/>
              <w:noProof/>
              <w:szCs w:val="24"/>
            </w:rPr>
          </w:pPr>
          <w:hyperlink w:anchor="_Toc224985507" w:history="1">
            <w:r w:rsidRPr="0076434E">
              <w:rPr>
                <w:rStyle w:val="Hypertextovodkaz"/>
                <w:rFonts w:cs="Times New Roman"/>
                <w:noProof/>
                <w:szCs w:val="24"/>
              </w:rPr>
              <w:t>9. Dissemination and Stakeholder Communication</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_Toc224985507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5</w:t>
            </w:r>
            <w:r w:rsidRPr="0076434E">
              <w:rPr>
                <w:rFonts w:cs="Times New Roman"/>
                <w:noProof/>
                <w:webHidden/>
                <w:szCs w:val="24"/>
              </w:rPr>
              <w:fldChar w:fldCharType="end"/>
            </w:r>
          </w:hyperlink>
        </w:p>
        <w:p w14:paraId="0A31D141" w14:textId="77777777" w:rsidR="0076434E" w:rsidRPr="0076434E" w:rsidRDefault="0076434E" w:rsidP="0076434E">
          <w:pPr>
            <w:pStyle w:val="Obsah1"/>
            <w:tabs>
              <w:tab w:val="right" w:leader="dot" w:pos="9016"/>
            </w:tabs>
            <w:rPr>
              <w:rFonts w:cs="Times New Roman"/>
              <w:noProof/>
              <w:szCs w:val="24"/>
            </w:rPr>
          </w:pPr>
          <w:hyperlink w:anchor="_Toc224985508" w:history="1">
            <w:r w:rsidRPr="0076434E">
              <w:rPr>
                <w:rStyle w:val="Hypertextovodkaz"/>
                <w:rFonts w:cs="Times New Roman"/>
                <w:noProof/>
                <w:szCs w:val="24"/>
              </w:rPr>
              <w:t>10. Conclusion</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_Toc224985508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5</w:t>
            </w:r>
            <w:r w:rsidRPr="0076434E">
              <w:rPr>
                <w:rFonts w:cs="Times New Roman"/>
                <w:noProof/>
                <w:webHidden/>
                <w:szCs w:val="24"/>
              </w:rPr>
              <w:fldChar w:fldCharType="end"/>
            </w:r>
          </w:hyperlink>
        </w:p>
        <w:p w14:paraId="34355087" w14:textId="77777777" w:rsidR="0076434E" w:rsidRPr="0076434E" w:rsidRDefault="0076434E" w:rsidP="0076434E">
          <w:pPr>
            <w:pStyle w:val="Obsah1"/>
            <w:tabs>
              <w:tab w:val="right" w:leader="dot" w:pos="9016"/>
            </w:tabs>
            <w:rPr>
              <w:rFonts w:cs="Times New Roman"/>
              <w:noProof/>
              <w:szCs w:val="24"/>
            </w:rPr>
          </w:pPr>
          <w:hyperlink w:anchor="_Toc224985509" w:history="1">
            <w:r w:rsidRPr="0076434E">
              <w:rPr>
                <w:rStyle w:val="Hypertextovodkaz"/>
                <w:rFonts w:cs="Times New Roman"/>
                <w:noProof/>
                <w:szCs w:val="24"/>
              </w:rPr>
              <w:t>11. References</w:t>
            </w:r>
            <w:r w:rsidRPr="0076434E">
              <w:rPr>
                <w:rFonts w:cs="Times New Roman"/>
                <w:noProof/>
                <w:webHidden/>
                <w:szCs w:val="24"/>
              </w:rPr>
              <w:tab/>
            </w:r>
            <w:r w:rsidRPr="0076434E">
              <w:rPr>
                <w:rFonts w:cs="Times New Roman"/>
                <w:noProof/>
                <w:webHidden/>
                <w:szCs w:val="24"/>
              </w:rPr>
              <w:fldChar w:fldCharType="begin"/>
            </w:r>
            <w:r w:rsidRPr="0076434E">
              <w:rPr>
                <w:rFonts w:cs="Times New Roman"/>
                <w:noProof/>
                <w:webHidden/>
                <w:szCs w:val="24"/>
              </w:rPr>
              <w:instrText xml:space="preserve"> PAGEREF _Toc224985509 \h </w:instrText>
            </w:r>
            <w:r w:rsidRPr="0076434E">
              <w:rPr>
                <w:rFonts w:cs="Times New Roman"/>
                <w:noProof/>
                <w:webHidden/>
                <w:szCs w:val="24"/>
              </w:rPr>
            </w:r>
            <w:r w:rsidRPr="0076434E">
              <w:rPr>
                <w:rFonts w:cs="Times New Roman"/>
                <w:noProof/>
                <w:webHidden/>
                <w:szCs w:val="24"/>
              </w:rPr>
              <w:fldChar w:fldCharType="separate"/>
            </w:r>
            <w:r w:rsidRPr="0076434E">
              <w:rPr>
                <w:rFonts w:cs="Times New Roman"/>
                <w:noProof/>
                <w:webHidden/>
                <w:szCs w:val="24"/>
              </w:rPr>
              <w:t>6</w:t>
            </w:r>
            <w:r w:rsidRPr="0076434E">
              <w:rPr>
                <w:rFonts w:cs="Times New Roman"/>
                <w:noProof/>
                <w:webHidden/>
                <w:szCs w:val="24"/>
              </w:rPr>
              <w:fldChar w:fldCharType="end"/>
            </w:r>
          </w:hyperlink>
        </w:p>
        <w:p w14:paraId="7C5F216F" w14:textId="77777777" w:rsidR="0076434E" w:rsidRDefault="0076434E" w:rsidP="0076434E">
          <w:r w:rsidRPr="0076434E">
            <w:rPr>
              <w:rFonts w:cs="Times New Roman"/>
              <w:b/>
              <w:bCs/>
              <w:noProof/>
              <w:szCs w:val="24"/>
            </w:rPr>
            <w:fldChar w:fldCharType="end"/>
          </w:r>
        </w:p>
      </w:sdtContent>
    </w:sdt>
    <w:p w14:paraId="689289B8" w14:textId="77777777" w:rsidR="0076434E" w:rsidRDefault="0076434E">
      <w:pPr>
        <w:spacing w:before="0" w:after="160" w:line="259" w:lineRule="auto"/>
        <w:jc w:val="left"/>
        <w:rPr>
          <w:rFonts w:eastAsiaTheme="majorEastAsia" w:cstheme="majorBidi"/>
          <w:b/>
          <w:sz w:val="28"/>
          <w:szCs w:val="32"/>
        </w:rPr>
      </w:pPr>
      <w:r>
        <w:br w:type="page"/>
      </w:r>
    </w:p>
    <w:p w14:paraId="58BA5559" w14:textId="77777777" w:rsidR="0076434E" w:rsidRPr="0076434E" w:rsidRDefault="0076434E" w:rsidP="0076434E">
      <w:pPr>
        <w:pStyle w:val="Nadpis1"/>
      </w:pPr>
      <w:bookmarkStart w:id="0" w:name="_Toc224985500"/>
      <w:r w:rsidRPr="0076434E">
        <w:t>1. Introduction and Context</w:t>
      </w:r>
      <w:bookmarkEnd w:id="0"/>
      <w:r w:rsidRPr="0076434E">
        <w:t xml:space="preserve"> </w:t>
      </w:r>
    </w:p>
    <w:p w14:paraId="7F691AAF" w14:textId="77777777" w:rsidR="0076434E" w:rsidRPr="0076434E" w:rsidRDefault="00BB2FC2" w:rsidP="0076434E">
      <w:r w:rsidRPr="00BB2FC2">
        <w:t>Cancer is one of the top causes of death in the UK and those who are diagnosed with it late have a minimal chance of survival</w:t>
      </w:r>
      <w:r w:rsidR="008249A9">
        <w:t xml:space="preserve"> </w:t>
      </w:r>
      <w:r w:rsidR="008249A9" w:rsidRPr="008249A9">
        <w:t>(Mills et al., 2023)</w:t>
      </w:r>
      <w:r w:rsidRPr="00BB2FC2">
        <w:t>. The socio-economically deprived regions have populations that are discovered later and cannot get access to diagnostic services adversely affecting their outcomes. The existing health care pathways have been very slow and resource consuming hence contributing to inequities. The pitch will introduce an A.I.-driven solution to cancer diagnostics, which will ensure faster detection of lung and prostate cancers, streamline the workflow of clinicians, and lessen the health disparities across the NHS trusts, scaling in response to NHS priorities in innovation.</w:t>
      </w:r>
    </w:p>
    <w:p w14:paraId="7E31A63A" w14:textId="77777777" w:rsidR="0076434E" w:rsidRPr="0076434E" w:rsidRDefault="0076434E" w:rsidP="0076434E">
      <w:pPr>
        <w:pStyle w:val="Nadpis2"/>
      </w:pPr>
      <w:bookmarkStart w:id="1" w:name="_Toc224985501"/>
      <w:r>
        <w:t>2. Innovation Overview</w:t>
      </w:r>
      <w:bookmarkEnd w:id="1"/>
      <w:r>
        <w:t xml:space="preserve"> </w:t>
      </w:r>
    </w:p>
    <w:p w14:paraId="51C30C9C" w14:textId="77777777" w:rsidR="0076434E" w:rsidRPr="0076434E" w:rsidRDefault="00BB2FC2" w:rsidP="0076434E">
      <w:r w:rsidRPr="00BB2FC2">
        <w:t>The technological advancement combines AI-based imaging scan and patient clinical data to automate risk classification and identify suspicious cases to be reviewed by clinicians. This eliminates lung and prostate tumours and focuses on their utilisation in underserved populations as part of minimising the disparities in healthcare. The system increases quality care results and clinical decision making by speeding up the diagnoses, improving accuracy, and decreasing misdiagnosis. The solution is in accordance with the NHS innovation frameworks such as Core20PLUS5 strategy, and complies with medical governance and ethical standards, bringing value to patients, clinicians, and healthcare organisations and facilitating the equitable access to the quality of diagnostics</w:t>
      </w:r>
      <w:r w:rsidR="008249A9">
        <w:t xml:space="preserve"> </w:t>
      </w:r>
      <w:r w:rsidR="008249A9" w:rsidRPr="008249A9">
        <w:t xml:space="preserve">(Thomas and </w:t>
      </w:r>
      <w:proofErr w:type="spellStart"/>
      <w:r w:rsidR="008249A9" w:rsidRPr="008249A9">
        <w:t>Sloggett</w:t>
      </w:r>
      <w:proofErr w:type="spellEnd"/>
      <w:r w:rsidR="008249A9" w:rsidRPr="008249A9">
        <w:t>, 2022)</w:t>
      </w:r>
      <w:r w:rsidRPr="00BB2FC2">
        <w:t>.</w:t>
      </w:r>
    </w:p>
    <w:p w14:paraId="42C79B28" w14:textId="77777777" w:rsidR="0076434E" w:rsidRPr="0076434E" w:rsidRDefault="0076434E" w:rsidP="0076434E">
      <w:pPr>
        <w:rPr>
          <w:b/>
          <w:bCs/>
        </w:rPr>
      </w:pPr>
      <w:r w:rsidRPr="0076434E">
        <w:rPr>
          <w:b/>
          <w:bCs/>
        </w:rPr>
        <w:t>3. Target Audie</w:t>
      </w:r>
      <w:r>
        <w:rPr>
          <w:b/>
          <w:bCs/>
        </w:rPr>
        <w:t xml:space="preserve">nce and Stakeholder Engagement </w:t>
      </w:r>
    </w:p>
    <w:p w14:paraId="7E98293D" w14:textId="77777777" w:rsidR="0076434E" w:rsidRPr="0076434E" w:rsidRDefault="00BB2FC2" w:rsidP="0076434E">
      <w:r w:rsidRPr="00BB2FC2">
        <w:t>The key beneficiaries are patients with risks of lung and prostate cancers, especially men 50+ in deprived communities, clinicians, radiologists and NHS managers. The Integrated Care Boards, policy makers, patient advocacy groups and academic institutions are considered secondary stakeholders. The engagement strategies include: clinician workshops, publicity campaign, newsletters and integration with communication channels of NHS</w:t>
      </w:r>
      <w:r w:rsidR="008249A9">
        <w:t xml:space="preserve"> </w:t>
      </w:r>
      <w:r w:rsidR="008249A9" w:rsidRPr="008249A9">
        <w:t>(</w:t>
      </w:r>
      <w:proofErr w:type="spellStart"/>
      <w:r w:rsidR="008249A9" w:rsidRPr="008249A9">
        <w:t>Eraso</w:t>
      </w:r>
      <w:proofErr w:type="spellEnd"/>
      <w:r w:rsidR="008249A9" w:rsidRPr="008249A9">
        <w:t>, Hills and Jack, 2022)</w:t>
      </w:r>
      <w:r w:rsidRPr="00BB2FC2">
        <w:t>. The stakeholder involvement is a sure tool of adoption success, perception of trust in AI-assisted tools of diagnostics, data visibility, and acceptance by clinicians. Engagement campaigns with the public will be used to promote the early discovery and prevention, uptake and ease of access through encouraging the use of preventive care, and ensure equitable access, contributing to the greatest societal and healthcare impact.</w:t>
      </w:r>
    </w:p>
    <w:p w14:paraId="2E7315F4" w14:textId="77777777" w:rsidR="0076434E" w:rsidRPr="0076434E" w:rsidRDefault="0076434E" w:rsidP="0076434E">
      <w:pPr>
        <w:pStyle w:val="Nadpis2"/>
      </w:pPr>
      <w:bookmarkStart w:id="2" w:name="_Toc224985502"/>
      <w:r w:rsidRPr="0076434E">
        <w:t>4. Problem Analysis and Evidence Base</w:t>
      </w:r>
      <w:bookmarkEnd w:id="2"/>
      <w:r w:rsidRPr="0076434E">
        <w:t xml:space="preserve"> </w:t>
      </w:r>
    </w:p>
    <w:p w14:paraId="101DF0CF" w14:textId="77777777" w:rsidR="0076434E" w:rsidRPr="0076434E" w:rsidRDefault="00BB2FC2" w:rsidP="0076434E">
      <w:r w:rsidRPr="00BB2FC2">
        <w:t>Early stages of cancer identification are some of the reasons why these diseases are deadly especially in less developed areas. According to the NHS records, up to 15 percent variation in early detection and misdiagnosis have been revealed in imaging. The current diagnostic pathways are a sluggish, resource-dependent, and unreliable method of diagnosing, and they add to the clinician workload and decrease patient outcome. The diagnostics based on AI will be able to enhance the accuracy by 10-20 per cent, and shorten patient triage (</w:t>
      </w:r>
      <w:proofErr w:type="spellStart"/>
      <w:r w:rsidRPr="00BB2FC2">
        <w:t>Topol</w:t>
      </w:r>
      <w:proofErr w:type="spellEnd"/>
      <w:r w:rsidRPr="00BB2FC2">
        <w:t>, 2019). There are national interventions, such as Core20PLUS5, and In</w:t>
      </w:r>
      <w:r>
        <w:t xml:space="preserve"> </w:t>
      </w:r>
      <w:r w:rsidRPr="00BB2FC2">
        <w:t>HIP which focus on cutting inequalities and access advances. The existing methods are inadequate, and it is important to consider technology-based solution that improves early diagnosis, aids clinicians as well as minimizing the inequities of healthcare service provisions.</w:t>
      </w:r>
    </w:p>
    <w:p w14:paraId="67ABED65" w14:textId="77777777" w:rsidR="0076434E" w:rsidRPr="0076434E" w:rsidRDefault="0076434E" w:rsidP="0076434E">
      <w:pPr>
        <w:pStyle w:val="Nadpis2"/>
      </w:pPr>
      <w:bookmarkStart w:id="3" w:name="_Toc224985503"/>
      <w:r w:rsidRPr="0076434E">
        <w:t>5. Implementatio</w:t>
      </w:r>
      <w:r>
        <w:t>n Plan and Operational Strategy</w:t>
      </w:r>
      <w:bookmarkEnd w:id="3"/>
    </w:p>
    <w:p w14:paraId="49BF1E5F" w14:textId="77777777" w:rsidR="0076434E" w:rsidRPr="0076434E" w:rsidRDefault="00BB2FC2" w:rsidP="0076434E">
      <w:r w:rsidRPr="00BB2FC2">
        <w:t>The pilot will be to be deployed in a selection of NHS trusts both in urban and rural regions aiming to eliminate inequities</w:t>
      </w:r>
      <w:r w:rsidR="008249A9">
        <w:t xml:space="preserve"> </w:t>
      </w:r>
      <w:r w:rsidR="008249A9" w:rsidRPr="008249A9">
        <w:t>(Ford et al., 2021)</w:t>
      </w:r>
      <w:r w:rsidRPr="00BB2FC2">
        <w:t>. The deployment of AI will be run by the multidisciplinary teams, which comprise AI developers, radiologists, oncologists, and research partners. The AI models can be incorporated into the current imaging and EHR systems and assist clinicians with the automated recognition of risks and notifications. Employee training guarantees a good interpretation and acceptance of workflow. The operational oversight comprises the review boards of ethical standards, GDPR compliance, and compliance with clinical governance standards. To improve the AI system, pilot evaluation takes into account data collection, monitoring, and performance and feedback. The insights will inform the scalability and NHS-wide execution so that the integration is feasible, level, and successful.</w:t>
      </w:r>
    </w:p>
    <w:p w14:paraId="43FD04D1" w14:textId="77777777" w:rsidR="0076434E" w:rsidRPr="0076434E" w:rsidRDefault="0076434E" w:rsidP="0076434E">
      <w:pPr>
        <w:pStyle w:val="Nadpis2"/>
      </w:pPr>
      <w:bookmarkStart w:id="4" w:name="_Toc224985504"/>
      <w:r>
        <w:t>6. Technology Integration</w:t>
      </w:r>
      <w:bookmarkEnd w:id="4"/>
      <w:r>
        <w:t xml:space="preserve"> </w:t>
      </w:r>
    </w:p>
    <w:p w14:paraId="5CAEABC0" w14:textId="77777777" w:rsidR="0076434E" w:rsidRPr="0076434E" w:rsidRDefault="00BB2FC2" w:rsidP="0076434E">
      <w:r w:rsidRPr="00BB2FC2">
        <w:t>AI software digests CT and MRI images to detect early cancer biomarkers alongside patient EHRs to automatically risk stratify patients</w:t>
      </w:r>
      <w:r w:rsidR="008249A9">
        <w:t xml:space="preserve"> </w:t>
      </w:r>
      <w:r w:rsidR="008249A9" w:rsidRPr="008249A9">
        <w:t>(</w:t>
      </w:r>
      <w:proofErr w:type="spellStart"/>
      <w:r w:rsidR="008249A9" w:rsidRPr="008249A9">
        <w:t>Thaker</w:t>
      </w:r>
      <w:proofErr w:type="spellEnd"/>
      <w:r w:rsidR="008249A9" w:rsidRPr="008249A9">
        <w:t xml:space="preserve"> et al., 2024)</w:t>
      </w:r>
      <w:r w:rsidRPr="00BB2FC2">
        <w:t>. The alerts are automated to emphasize the urgent cases which enhance the efficiency of clinicians and minimize human error. Dashboards are used to assess the results of patients, the differences between regions, and the functioning of AI to encourage the sustainability of quality improvement. The adaptive learning models and telemedicine integration in remote population are to be improved in the future. The technology will facilitate precise, fair, and timely diagnosis, increase the confidence of clinician, minimize workload and facilitate informed decision-making. It is going to be integrated with the existing NHS systems to facilitate a seamless adoption and enhancement of the care delivery across the sites.</w:t>
      </w:r>
    </w:p>
    <w:p w14:paraId="33FFDF2F" w14:textId="77777777" w:rsidR="0076434E" w:rsidRPr="0076434E" w:rsidRDefault="0076434E" w:rsidP="0076434E">
      <w:pPr>
        <w:pStyle w:val="Nadpis2"/>
      </w:pPr>
      <w:bookmarkStart w:id="5" w:name="_Toc224985505"/>
      <w:r>
        <w:t>7. Timeline and Phased Rollout</w:t>
      </w:r>
      <w:bookmarkEnd w:id="5"/>
      <w:r>
        <w:t xml:space="preserve"> </w:t>
      </w:r>
    </w:p>
    <w:p w14:paraId="7A21E044" w14:textId="77777777" w:rsidR="00BB2FC2" w:rsidRPr="00BB2FC2" w:rsidRDefault="00BB2FC2" w:rsidP="00BB2FC2">
      <w:pPr>
        <w:rPr>
          <w:b/>
          <w:bCs/>
        </w:rPr>
      </w:pPr>
      <w:r w:rsidRPr="00BB2FC2">
        <w:rPr>
          <w:b/>
          <w:bCs/>
        </w:rPr>
        <w:t>Phase 1 (0</w:t>
      </w:r>
      <w:r>
        <w:rPr>
          <w:b/>
          <w:bCs/>
        </w:rPr>
        <w:t>-</w:t>
      </w:r>
      <w:r w:rsidRPr="00BB2FC2">
        <w:rPr>
          <w:b/>
          <w:bCs/>
        </w:rPr>
        <w:t xml:space="preserve">6 months): </w:t>
      </w:r>
      <w:r w:rsidRPr="00BB2FC2">
        <w:rPr>
          <w:bCs/>
        </w:rPr>
        <w:t>Pilot site, software acquisition and staff training.</w:t>
      </w:r>
    </w:p>
    <w:p w14:paraId="00A59AE0" w14:textId="77777777" w:rsidR="00BB2FC2" w:rsidRPr="00BB2FC2" w:rsidRDefault="00BB2FC2" w:rsidP="00BB2FC2">
      <w:pPr>
        <w:rPr>
          <w:b/>
          <w:bCs/>
        </w:rPr>
      </w:pPr>
      <w:r w:rsidRPr="00BB2FC2">
        <w:rPr>
          <w:b/>
          <w:bCs/>
        </w:rPr>
        <w:t>Phase 2 (6</w:t>
      </w:r>
      <w:r>
        <w:rPr>
          <w:b/>
          <w:bCs/>
        </w:rPr>
        <w:t>-</w:t>
      </w:r>
      <w:r w:rsidRPr="00BB2FC2">
        <w:rPr>
          <w:b/>
          <w:bCs/>
        </w:rPr>
        <w:t xml:space="preserve">18 months): </w:t>
      </w:r>
      <w:r w:rsidRPr="00BB2FC2">
        <w:rPr>
          <w:bCs/>
        </w:rPr>
        <w:t>Implementing AI, collecting data, as well as, evaluating the performance.</w:t>
      </w:r>
    </w:p>
    <w:p w14:paraId="6C3334C0" w14:textId="77777777" w:rsidR="00BB2FC2" w:rsidRPr="00BB2FC2" w:rsidRDefault="00BB2FC2" w:rsidP="00BB2FC2">
      <w:pPr>
        <w:rPr>
          <w:b/>
          <w:bCs/>
        </w:rPr>
      </w:pPr>
      <w:r w:rsidRPr="00BB2FC2">
        <w:rPr>
          <w:b/>
          <w:bCs/>
        </w:rPr>
        <w:t>Phase 3 (18</w:t>
      </w:r>
      <w:r>
        <w:rPr>
          <w:b/>
          <w:bCs/>
        </w:rPr>
        <w:t>-</w:t>
      </w:r>
      <w:r w:rsidRPr="00BB2FC2">
        <w:rPr>
          <w:b/>
          <w:bCs/>
        </w:rPr>
        <w:t xml:space="preserve">36 months): </w:t>
      </w:r>
      <w:r>
        <w:rPr>
          <w:bCs/>
        </w:rPr>
        <w:t>R</w:t>
      </w:r>
      <w:r w:rsidRPr="00BB2FC2">
        <w:rPr>
          <w:bCs/>
        </w:rPr>
        <w:t>epeat refinements, expansion to more trusts and reporting to the stakeholders.</w:t>
      </w:r>
    </w:p>
    <w:p w14:paraId="037B9E7E" w14:textId="77777777" w:rsidR="0076434E" w:rsidRPr="00BB2FC2" w:rsidRDefault="00BB2FC2" w:rsidP="00BB2FC2">
      <w:r w:rsidRPr="00BB2FC2">
        <w:rPr>
          <w:bCs/>
        </w:rPr>
        <w:t xml:space="preserve">The gradual implementation enables reduction of risks, ad hoc assessment, incremental enhancement, and incrementing scale. </w:t>
      </w:r>
      <w:r w:rsidR="007E2298" w:rsidRPr="007E2298">
        <w:rPr>
          <w:bCs/>
        </w:rPr>
        <w:t>Each of the steps will ensure preparation of operation, cooperation of clinicians and uniformity to the aspirations of the NHS innovations, creating a coherent structure to ambitious incorporation and measurable advancement in cancer diagnosis at an initial stage.</w:t>
      </w:r>
    </w:p>
    <w:p w14:paraId="387C06A4" w14:textId="77777777" w:rsidR="0076434E" w:rsidRPr="0076434E" w:rsidRDefault="0076434E" w:rsidP="0076434E">
      <w:pPr>
        <w:pStyle w:val="Nadpis2"/>
      </w:pPr>
      <w:bookmarkStart w:id="6" w:name="_Toc224985506"/>
      <w:r w:rsidRPr="0076434E">
        <w:t>8. Evaluation, Monitoring, and Benefits</w:t>
      </w:r>
      <w:bookmarkEnd w:id="6"/>
    </w:p>
    <w:p w14:paraId="09178445" w14:textId="77777777" w:rsidR="0076434E" w:rsidRPr="0076434E" w:rsidRDefault="00BB2FC2" w:rsidP="0076434E">
      <w:r w:rsidRPr="00BB2FC2">
        <w:t>Measurements of success are; early detection rates, misdiagnosis reduction, time-to-diagnosis and workload on clinicians. Monitoring involves outcomes of patients, AI performance records and workflow assessments. The benefits are the increase in patient survival, decrease in health disparities, and growth in NHS efficacy, clinician confidence, and the cost-effectiveness</w:t>
      </w:r>
      <w:r w:rsidR="008249A9">
        <w:t xml:space="preserve"> </w:t>
      </w:r>
      <w:r w:rsidR="008249A9" w:rsidRPr="008249A9">
        <w:t>(</w:t>
      </w:r>
      <w:proofErr w:type="spellStart"/>
      <w:r w:rsidR="008249A9" w:rsidRPr="008249A9">
        <w:t>Rabie</w:t>
      </w:r>
      <w:proofErr w:type="spellEnd"/>
      <w:r w:rsidR="008249A9" w:rsidRPr="008249A9">
        <w:t xml:space="preserve"> and </w:t>
      </w:r>
      <w:proofErr w:type="spellStart"/>
      <w:r w:rsidR="008249A9" w:rsidRPr="008249A9">
        <w:t>Moosa</w:t>
      </w:r>
      <w:proofErr w:type="spellEnd"/>
      <w:r w:rsidR="008249A9" w:rsidRPr="008249A9">
        <w:t>, 2025)</w:t>
      </w:r>
      <w:r w:rsidRPr="00BB2FC2">
        <w:t xml:space="preserve">. The assessment falls in line with NHS innovation and objectives Core20PLUS5 as well as equity strategies. </w:t>
      </w:r>
      <w:r w:rsidR="007E2298" w:rsidRPr="007E2298">
        <w:t>The feedback processes help to optimise the workflow and AI models of the clinical setting. It will ensure evidence based advancements, effective decision making and continuous implementation that represents a measurable value to patients, clinicians, and healthcare system as a whole.</w:t>
      </w:r>
    </w:p>
    <w:p w14:paraId="6639F181" w14:textId="77777777" w:rsidR="0076434E" w:rsidRPr="0076434E" w:rsidRDefault="0076434E" w:rsidP="0076434E">
      <w:pPr>
        <w:pStyle w:val="Nadpis2"/>
      </w:pPr>
      <w:bookmarkStart w:id="7" w:name="_Toc224985507"/>
      <w:r w:rsidRPr="0076434E">
        <w:t>9. Dissemination</w:t>
      </w:r>
      <w:r>
        <w:t xml:space="preserve"> and Stakeholder Communication</w:t>
      </w:r>
      <w:bookmarkEnd w:id="7"/>
      <w:r>
        <w:t xml:space="preserve"> </w:t>
      </w:r>
    </w:p>
    <w:p w14:paraId="57F2C2AB" w14:textId="77777777" w:rsidR="0076434E" w:rsidRPr="0076434E" w:rsidRDefault="007E2298" w:rsidP="0076434E">
      <w:r w:rsidRPr="007E2298">
        <w:t>The types of in house spread include NHS newsletters, workshops and training. The external strategies are social media, healthcare conferences and street campaigns. The main stakeholders who have to be informed about the change, including the community groups and policymakers, will be given briefings. The publication is achieved through conferences, analysis of case, or peer reviewed papers. The suggested communication plan will ensure the acceptance, agency among stakeholders, social engagement, and popularization of the advantage of the AI-based diagnostic alternative.</w:t>
      </w:r>
    </w:p>
    <w:p w14:paraId="17230E0A" w14:textId="77777777" w:rsidR="0076434E" w:rsidRPr="0076434E" w:rsidRDefault="0076434E" w:rsidP="0076434E">
      <w:pPr>
        <w:pStyle w:val="Nadpis1"/>
      </w:pPr>
      <w:bookmarkStart w:id="8" w:name="_Toc224985508"/>
      <w:r>
        <w:t>10. Conclusion</w:t>
      </w:r>
      <w:bookmarkEnd w:id="8"/>
      <w:r>
        <w:t xml:space="preserve"> </w:t>
      </w:r>
    </w:p>
    <w:p w14:paraId="36DE4909" w14:textId="77777777" w:rsidR="0076434E" w:rsidRPr="0076434E" w:rsidRDefault="007E2298" w:rsidP="0076434E">
      <w:r w:rsidRPr="007E2298">
        <w:t>AI-Enabled Cancer Diagnostics Pilot is an equity-based technical solution, high rates of early detection, patient outcomes, and efficiency of NHS. The underserved groups can be railed and AI implemented in the workflow, which is a guarantee of the sustainable and scalable benefits. An evidence based assessment, continuous monitoring and stakeholder involvement can assist in adoption and impact. The remedy is a high value and pragmatic intervention that can be applied to the minimization of healthcare disparities, enhance patient care and establish measurable gains across the UK healthcare sector.</w:t>
      </w:r>
    </w:p>
    <w:p w14:paraId="08A4A8FA" w14:textId="77777777" w:rsidR="0076434E" w:rsidRDefault="0076434E">
      <w:pPr>
        <w:spacing w:before="0" w:after="160" w:line="259" w:lineRule="auto"/>
        <w:jc w:val="left"/>
      </w:pPr>
      <w:r>
        <w:br w:type="page"/>
      </w:r>
    </w:p>
    <w:p w14:paraId="2FF335F8" w14:textId="77777777" w:rsidR="00A476F0" w:rsidRPr="0076434E" w:rsidRDefault="0076434E" w:rsidP="0076434E">
      <w:pPr>
        <w:pStyle w:val="Nadpis1"/>
      </w:pPr>
      <w:bookmarkStart w:id="9" w:name="_Toc224985509"/>
      <w:r>
        <w:t xml:space="preserve">11. </w:t>
      </w:r>
      <w:r w:rsidRPr="0076434E">
        <w:t>References</w:t>
      </w:r>
      <w:bookmarkEnd w:id="9"/>
    </w:p>
    <w:p w14:paraId="206A38F2" w14:textId="77777777" w:rsidR="008249A9" w:rsidRPr="008249A9" w:rsidRDefault="008249A9" w:rsidP="008249A9">
      <w:pPr>
        <w:spacing w:line="240" w:lineRule="auto"/>
        <w:ind w:left="720" w:hanging="720"/>
      </w:pPr>
      <w:proofErr w:type="spellStart"/>
      <w:r w:rsidRPr="008249A9">
        <w:t>Eraso</w:t>
      </w:r>
      <w:proofErr w:type="spellEnd"/>
      <w:r w:rsidRPr="008249A9">
        <w:t xml:space="preserve">, Y., Hills, S. and Jack, O. (2022). NHS North Central London clinical commissioning group winter resilience communications and engagement campaign 2021/2022. Evaluation report | London Met Repository. </w:t>
      </w:r>
      <w:r w:rsidRPr="008249A9">
        <w:rPr>
          <w:i/>
          <w:iCs/>
        </w:rPr>
        <w:t>Londonmet.ac.uk</w:t>
      </w:r>
      <w:r w:rsidRPr="008249A9">
        <w:t>. [online] doi:https://repository.londonmet.ac.uk/7896/1/NCL%20CCG%20Winter%20campaign%20evaluation%20report%20V2%2025.08.2022.pdf.</w:t>
      </w:r>
    </w:p>
    <w:p w14:paraId="26176B31" w14:textId="77777777" w:rsidR="008249A9" w:rsidRPr="008249A9" w:rsidRDefault="008249A9" w:rsidP="008249A9">
      <w:pPr>
        <w:spacing w:line="240" w:lineRule="auto"/>
        <w:ind w:left="720" w:hanging="720"/>
      </w:pPr>
      <w:r w:rsidRPr="008249A9">
        <w:t xml:space="preserve">Ford, J., Knight, J., </w:t>
      </w:r>
      <w:proofErr w:type="spellStart"/>
      <w:r w:rsidRPr="008249A9">
        <w:t>Brittain</w:t>
      </w:r>
      <w:proofErr w:type="spellEnd"/>
      <w:r w:rsidRPr="008249A9">
        <w:t xml:space="preserve">, J., Bentley, C., Sowden, S., Castro, A., Doran, T. and Cookson, R. (2021). Reducing inequality in avoidable emergency admissions: Case studies of local health care systems in England using a realist approach. </w:t>
      </w:r>
      <w:r w:rsidRPr="008249A9">
        <w:rPr>
          <w:i/>
          <w:iCs/>
        </w:rPr>
        <w:t>Journal of Health Services Research &amp; Policy</w:t>
      </w:r>
      <w:r w:rsidRPr="008249A9">
        <w:t xml:space="preserve">, 27(1), pp.31–40. </w:t>
      </w:r>
      <w:proofErr w:type="spellStart"/>
      <w:r w:rsidRPr="008249A9">
        <w:t>doi:https</w:t>
      </w:r>
      <w:proofErr w:type="spellEnd"/>
      <w:r w:rsidRPr="008249A9">
        <w:t>://doi.org/10.1177/13558196211021618.</w:t>
      </w:r>
    </w:p>
    <w:p w14:paraId="6B77F105" w14:textId="77777777" w:rsidR="008249A9" w:rsidRPr="008249A9" w:rsidRDefault="008249A9" w:rsidP="008249A9">
      <w:pPr>
        <w:spacing w:line="240" w:lineRule="auto"/>
        <w:ind w:left="720" w:hanging="720"/>
      </w:pPr>
      <w:r w:rsidRPr="008249A9">
        <w:t xml:space="preserve">Mills, S., </w:t>
      </w:r>
      <w:proofErr w:type="spellStart"/>
      <w:r w:rsidRPr="008249A9">
        <w:t>Donnan</w:t>
      </w:r>
      <w:proofErr w:type="spellEnd"/>
      <w:r w:rsidRPr="008249A9">
        <w:t xml:space="preserve">, P., Buchanan, D. and Smith, B.H. (2023). Age and cancer type: associations with increased odds of receiving a late diagnosis in people with advanced cancer. </w:t>
      </w:r>
      <w:r w:rsidRPr="008249A9">
        <w:rPr>
          <w:i/>
          <w:iCs/>
        </w:rPr>
        <w:t>BMC Cancer</w:t>
      </w:r>
      <w:r w:rsidRPr="008249A9">
        <w:t xml:space="preserve">, 23(1). </w:t>
      </w:r>
      <w:proofErr w:type="spellStart"/>
      <w:r w:rsidRPr="008249A9">
        <w:t>doi:https</w:t>
      </w:r>
      <w:proofErr w:type="spellEnd"/>
      <w:r w:rsidRPr="008249A9">
        <w:t>://doi.org/10.1186/s12885-023-11652-1.</w:t>
      </w:r>
    </w:p>
    <w:p w14:paraId="73662BD3" w14:textId="77777777" w:rsidR="008249A9" w:rsidRPr="008249A9" w:rsidRDefault="008249A9" w:rsidP="008249A9">
      <w:pPr>
        <w:spacing w:line="240" w:lineRule="auto"/>
        <w:ind w:left="720" w:hanging="720"/>
      </w:pPr>
      <w:proofErr w:type="spellStart"/>
      <w:r w:rsidRPr="008249A9">
        <w:t>Rabie</w:t>
      </w:r>
      <w:proofErr w:type="spellEnd"/>
      <w:r w:rsidRPr="008249A9">
        <w:t xml:space="preserve"> and </w:t>
      </w:r>
      <w:proofErr w:type="spellStart"/>
      <w:r w:rsidRPr="008249A9">
        <w:t>Moosa</w:t>
      </w:r>
      <w:proofErr w:type="spellEnd"/>
      <w:r w:rsidRPr="008249A9">
        <w:t xml:space="preserve">, A. (2025). Systematic review of cost effectiveness and budget impact of artificial intelligence in healthcare. </w:t>
      </w:r>
      <w:proofErr w:type="spellStart"/>
      <w:r w:rsidRPr="008249A9">
        <w:rPr>
          <w:i/>
          <w:iCs/>
        </w:rPr>
        <w:t>npj</w:t>
      </w:r>
      <w:proofErr w:type="spellEnd"/>
      <w:r w:rsidRPr="008249A9">
        <w:rPr>
          <w:i/>
          <w:iCs/>
        </w:rPr>
        <w:t xml:space="preserve"> Digital Medicine</w:t>
      </w:r>
      <w:r w:rsidRPr="008249A9">
        <w:t xml:space="preserve">, [online] 8(1). </w:t>
      </w:r>
      <w:proofErr w:type="spellStart"/>
      <w:r w:rsidRPr="008249A9">
        <w:t>doi:https</w:t>
      </w:r>
      <w:proofErr w:type="spellEnd"/>
      <w:r w:rsidRPr="008249A9">
        <w:t>://doi.org/10.1038/s41746-025-01722-y.</w:t>
      </w:r>
    </w:p>
    <w:p w14:paraId="31AC23C8" w14:textId="77777777" w:rsidR="008249A9" w:rsidRPr="008249A9" w:rsidRDefault="008249A9" w:rsidP="008249A9">
      <w:pPr>
        <w:spacing w:line="240" w:lineRule="auto"/>
        <w:ind w:left="720" w:hanging="720"/>
      </w:pPr>
      <w:proofErr w:type="spellStart"/>
      <w:r w:rsidRPr="008249A9">
        <w:t>Thaker</w:t>
      </w:r>
      <w:proofErr w:type="spellEnd"/>
      <w:r w:rsidRPr="008249A9">
        <w:t xml:space="preserve">, N.G., Dicker, A.P., </w:t>
      </w:r>
      <w:proofErr w:type="spellStart"/>
      <w:r w:rsidRPr="008249A9">
        <w:t>Loaiza-Bonilla</w:t>
      </w:r>
      <w:proofErr w:type="spellEnd"/>
      <w:r w:rsidRPr="008249A9">
        <w:t xml:space="preserve">, A., Wallace, A., </w:t>
      </w:r>
      <w:proofErr w:type="spellStart"/>
      <w:r w:rsidRPr="008249A9">
        <w:t>Kolman</w:t>
      </w:r>
      <w:proofErr w:type="spellEnd"/>
      <w:r w:rsidRPr="008249A9">
        <w:t xml:space="preserve">, D., </w:t>
      </w:r>
      <w:proofErr w:type="spellStart"/>
      <w:r w:rsidRPr="008249A9">
        <w:t>Ruggles</w:t>
      </w:r>
      <w:proofErr w:type="spellEnd"/>
      <w:r w:rsidRPr="008249A9">
        <w:t xml:space="preserve">, A.G., </w:t>
      </w:r>
      <w:proofErr w:type="spellStart"/>
      <w:r w:rsidRPr="008249A9">
        <w:t>Manda</w:t>
      </w:r>
      <w:proofErr w:type="spellEnd"/>
      <w:r w:rsidRPr="008249A9">
        <w:t xml:space="preserve">, S., Frank, S.J., Orio, P. and Doria, C. (2024). The Role of Artificial Intelligence in Early Cancer Detection: Exploring Early Clinical Applications. </w:t>
      </w:r>
      <w:r w:rsidRPr="008249A9">
        <w:rPr>
          <w:i/>
          <w:iCs/>
        </w:rPr>
        <w:t xml:space="preserve">AI in precision oncology </w:t>
      </w:r>
      <w:r w:rsidRPr="008249A9">
        <w:t xml:space="preserve">, 1(2), pp.91–105. </w:t>
      </w:r>
      <w:proofErr w:type="spellStart"/>
      <w:r w:rsidRPr="008249A9">
        <w:t>doi:https</w:t>
      </w:r>
      <w:proofErr w:type="spellEnd"/>
      <w:r w:rsidRPr="008249A9">
        <w:t>://doi.org/10.1089/aipo.2023.0011.</w:t>
      </w:r>
    </w:p>
    <w:p w14:paraId="33E57950" w14:textId="77777777" w:rsidR="008249A9" w:rsidRPr="008249A9" w:rsidRDefault="008249A9" w:rsidP="008249A9">
      <w:pPr>
        <w:spacing w:line="240" w:lineRule="auto"/>
        <w:ind w:left="720" w:hanging="720"/>
      </w:pPr>
      <w:r w:rsidRPr="008249A9">
        <w:t xml:space="preserve">Thomas, C. and </w:t>
      </w:r>
      <w:proofErr w:type="spellStart"/>
      <w:r w:rsidRPr="008249A9">
        <w:t>Sloggett</w:t>
      </w:r>
      <w:proofErr w:type="spellEnd"/>
      <w:r w:rsidRPr="008249A9">
        <w:t xml:space="preserve">, R. (2022). </w:t>
      </w:r>
      <w:r w:rsidRPr="008249A9">
        <w:rPr>
          <w:i/>
          <w:iCs/>
        </w:rPr>
        <w:t>SUSTAINABLE HEALTHCARE PRACTICAL STEPS TO BUILD BACK BETTER IN THE ENGLISH NHS</w:t>
      </w:r>
      <w:r w:rsidRPr="008249A9">
        <w:t>. [online] Available at: https://www.jstor.org/stable/pdf/resrep45466.pdf?acceptTC=true&amp;coverpage=false&amp;addFooter=false.</w:t>
      </w:r>
    </w:p>
    <w:p w14:paraId="056BBABF" w14:textId="77777777" w:rsidR="0076434E" w:rsidRDefault="0076434E"/>
    <w:sectPr w:rsidR="0076434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34E"/>
    <w:rsid w:val="001445CB"/>
    <w:rsid w:val="0076434E"/>
    <w:rsid w:val="007E2298"/>
    <w:rsid w:val="008249A9"/>
    <w:rsid w:val="008A0547"/>
    <w:rsid w:val="00910EF6"/>
    <w:rsid w:val="009D23F3"/>
    <w:rsid w:val="00A476F0"/>
    <w:rsid w:val="00B56A61"/>
    <w:rsid w:val="00BB2FC2"/>
    <w:rsid w:val="00EF147F"/>
    <w:rsid w:val="00F72C58"/>
    <w:rsid w:val="00FE0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E80F7"/>
  <w15:chartTrackingRefBased/>
  <w15:docId w15:val="{54D524E5-BDE3-4326-AC38-5AFB0783B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n">
    <w:name w:val="Normal"/>
    <w:qFormat/>
    <w:rsid w:val="00B56A61"/>
    <w:pPr>
      <w:spacing w:before="120" w:after="120" w:line="360" w:lineRule="auto"/>
      <w:jc w:val="both"/>
    </w:pPr>
    <w:rPr>
      <w:rFonts w:ascii="Times New Roman" w:hAnsi="Times New Roman"/>
      <w:sz w:val="24"/>
    </w:rPr>
  </w:style>
  <w:style w:type="paragraph" w:styleId="Nadpis1">
    <w:name w:val="heading 1"/>
    <w:basedOn w:val="Normln"/>
    <w:next w:val="Normln"/>
    <w:link w:val="Nadpis1Char"/>
    <w:uiPriority w:val="9"/>
    <w:qFormat/>
    <w:rsid w:val="00B56A61"/>
    <w:pPr>
      <w:keepNext/>
      <w:keepLines/>
      <w:outlineLvl w:val="0"/>
    </w:pPr>
    <w:rPr>
      <w:rFonts w:eastAsiaTheme="majorEastAsia" w:cstheme="majorBidi"/>
      <w:b/>
      <w:sz w:val="28"/>
      <w:szCs w:val="32"/>
    </w:rPr>
  </w:style>
  <w:style w:type="paragraph" w:styleId="Nadpis2">
    <w:name w:val="heading 2"/>
    <w:basedOn w:val="Normln"/>
    <w:next w:val="Normln"/>
    <w:link w:val="Nadpis2Char"/>
    <w:uiPriority w:val="9"/>
    <w:unhideWhenUsed/>
    <w:qFormat/>
    <w:rsid w:val="00B56A61"/>
    <w:pPr>
      <w:keepNext/>
      <w:keepLines/>
      <w:outlineLvl w:val="1"/>
    </w:pPr>
    <w:rPr>
      <w:rFonts w:eastAsiaTheme="majorEastAsia" w:cstheme="majorBidi"/>
      <w:b/>
      <w:i/>
      <w:szCs w:val="26"/>
    </w:rPr>
  </w:style>
  <w:style w:type="character" w:default="1" w:styleId="Standardnpsmoodstavce">
    <w:name w:val="Default Paragraph Font"/>
    <w:uiPriority w:val="1"/>
    <w:semiHidden/>
    <w:unhideWhenUsed/>
  </w:style>
  <w:style w:type="table" w:default="1" w:styleId="Normlntabulka">
    <w:name w:val="Normal Table"/>
    <w:uiPriority w:val="99"/>
    <w:semiHidden/>
    <w:unhideWhenUsed/>
    <w:tblPr>
      <w:tblInd w:w="0" w:type="dxa"/>
      <w:tblCellMar>
        <w:top w:w="0" w:type="dxa"/>
        <w:left w:w="108" w:type="dxa"/>
        <w:bottom w:w="0" w:type="dxa"/>
        <w:right w:w="108" w:type="dxa"/>
      </w:tblCellMar>
    </w:tblPr>
  </w:style>
  <w:style w:type="numbering" w:default="1" w:styleId="Bezseznamu">
    <w:name w:val="No List"/>
    <w:uiPriority w:val="99"/>
    <w:semiHidden/>
    <w:unhideWhenUsed/>
  </w:style>
  <w:style w:type="character" w:customStyle="1" w:styleId="Nadpis1Char">
    <w:name w:val="Nadpis 1 Char"/>
    <w:basedOn w:val="Standardnpsmoodstavce"/>
    <w:link w:val="Nadpis1"/>
    <w:uiPriority w:val="9"/>
    <w:rsid w:val="00B56A61"/>
    <w:rPr>
      <w:rFonts w:ascii="Times New Roman" w:eastAsiaTheme="majorEastAsia" w:hAnsi="Times New Roman" w:cstheme="majorBidi"/>
      <w:b/>
      <w:sz w:val="28"/>
      <w:szCs w:val="32"/>
    </w:rPr>
  </w:style>
  <w:style w:type="character" w:customStyle="1" w:styleId="Nadpis2Char">
    <w:name w:val="Nadpis 2 Char"/>
    <w:basedOn w:val="Standardnpsmoodstavce"/>
    <w:link w:val="Nadpis2"/>
    <w:uiPriority w:val="9"/>
    <w:rsid w:val="00B56A61"/>
    <w:rPr>
      <w:rFonts w:ascii="Times New Roman" w:eastAsiaTheme="majorEastAsia" w:hAnsi="Times New Roman" w:cstheme="majorBidi"/>
      <w:b/>
      <w:i/>
      <w:sz w:val="24"/>
      <w:szCs w:val="26"/>
    </w:rPr>
  </w:style>
  <w:style w:type="paragraph" w:styleId="Nadpisobsahu">
    <w:name w:val="TOC Heading"/>
    <w:basedOn w:val="Nadpis1"/>
    <w:next w:val="Normln"/>
    <w:uiPriority w:val="39"/>
    <w:unhideWhenUsed/>
    <w:qFormat/>
    <w:rsid w:val="0076434E"/>
    <w:pPr>
      <w:spacing w:before="240" w:after="0" w:line="259" w:lineRule="auto"/>
      <w:jc w:val="left"/>
      <w:outlineLvl w:val="9"/>
    </w:pPr>
    <w:rPr>
      <w:rFonts w:asciiTheme="majorHAnsi" w:hAnsiTheme="majorHAnsi"/>
      <w:b w:val="0"/>
      <w:color w:val="2E74B5" w:themeColor="accent1" w:themeShade="BF"/>
      <w:sz w:val="32"/>
      <w:lang w:val="en-US"/>
    </w:rPr>
  </w:style>
  <w:style w:type="paragraph" w:styleId="Obsah1">
    <w:name w:val="toc 1"/>
    <w:basedOn w:val="Normln"/>
    <w:next w:val="Normln"/>
    <w:autoRedefine/>
    <w:uiPriority w:val="39"/>
    <w:unhideWhenUsed/>
    <w:rsid w:val="0076434E"/>
    <w:pPr>
      <w:spacing w:after="100"/>
    </w:pPr>
  </w:style>
  <w:style w:type="paragraph" w:styleId="Obsah2">
    <w:name w:val="toc 2"/>
    <w:basedOn w:val="Normln"/>
    <w:next w:val="Normln"/>
    <w:autoRedefine/>
    <w:uiPriority w:val="39"/>
    <w:unhideWhenUsed/>
    <w:rsid w:val="0076434E"/>
    <w:pPr>
      <w:spacing w:after="100"/>
      <w:ind w:left="240"/>
    </w:pPr>
  </w:style>
  <w:style w:type="character" w:styleId="Hypertextovodkaz">
    <w:name w:val="Hyperlink"/>
    <w:basedOn w:val="Standardnpsmoodstavce"/>
    <w:uiPriority w:val="99"/>
    <w:unhideWhenUsed/>
    <w:rsid w:val="007643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5815592">
      <w:bodyDiv w:val="1"/>
      <w:marLeft w:val="0"/>
      <w:marRight w:val="0"/>
      <w:marTop w:val="0"/>
      <w:marBottom w:val="0"/>
      <w:divBdr>
        <w:top w:val="none" w:sz="0" w:space="0" w:color="auto"/>
        <w:left w:val="none" w:sz="0" w:space="0" w:color="auto"/>
        <w:bottom w:val="none" w:sz="0" w:space="0" w:color="auto"/>
        <w:right w:val="none" w:sz="0" w:space="0" w:color="auto"/>
      </w:divBdr>
    </w:div>
    <w:div w:id="1492604380">
      <w:bodyDiv w:val="1"/>
      <w:marLeft w:val="0"/>
      <w:marRight w:val="0"/>
      <w:marTop w:val="0"/>
      <w:marBottom w:val="0"/>
      <w:divBdr>
        <w:top w:val="none" w:sz="0" w:space="0" w:color="auto"/>
        <w:left w:val="none" w:sz="0" w:space="0" w:color="auto"/>
        <w:bottom w:val="none" w:sz="0" w:space="0" w:color="auto"/>
        <w:right w:val="none" w:sz="0" w:space="0" w:color="auto"/>
      </w:divBdr>
      <w:divsChild>
        <w:div w:id="8886858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8A0AA-3377-41F9-85D3-F3CE116516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1576</Words>
  <Characters>9303</Characters>
  <Application>Microsoft Office Word</Application>
  <DocSecurity>0</DocSecurity>
  <Lines>77</Lines>
  <Paragraphs>21</Paragraphs>
  <ScaleCrop>false</ScaleCrop>
  <Company/>
  <LinksUpToDate>false</LinksUpToDate>
  <CharactersWithSpaces>10858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Karin Tokarova (2414165)</cp:lastModifiedBy>
  <cp:revision>3</cp:revision>
  <dcterms:created xsi:type="dcterms:W3CDTF">2026-03-22T12:32:00Z</dcterms:created>
  <dcterms:modified xsi:type="dcterms:W3CDTF">2026-03-22T12:33:00Z</dcterms:modified>
</cp:coreProperties>
</file>