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CE5E4E" w14:textId="77777777" w:rsidR="005D6212" w:rsidRDefault="005D6212" w:rsidP="005D6212">
      <w:pPr>
        <w:ind w:right="107"/>
        <w:jc w:val="both"/>
        <w:rPr>
          <w:rFonts w:ascii="Arial" w:eastAsia="Arial" w:hAnsi="Arial" w:cs="Arial"/>
          <w:b/>
          <w:bCs/>
          <w:i/>
          <w:iCs/>
          <w:color w:val="000000" w:themeColor="text1"/>
          <w:sz w:val="24"/>
          <w:szCs w:val="24"/>
        </w:rPr>
      </w:pPr>
      <w:r w:rsidRPr="2F17ACDD">
        <w:rPr>
          <w:rFonts w:ascii="Arial" w:eastAsia="Arial" w:hAnsi="Arial" w:cs="Arial"/>
          <w:b/>
          <w:bCs/>
          <w:i/>
          <w:iCs/>
          <w:color w:val="000000" w:themeColor="text1"/>
          <w:sz w:val="24"/>
          <w:szCs w:val="24"/>
        </w:rPr>
        <w:t>Task 4: Investigation documentation processes</w:t>
      </w:r>
    </w:p>
    <w:p w14:paraId="5E04A53C" w14:textId="77777777" w:rsidR="005D6212" w:rsidRDefault="005D6212" w:rsidP="005D6212">
      <w:pPr>
        <w:rPr>
          <w:rFonts w:ascii="Arial" w:eastAsia="Arial" w:hAnsi="Arial" w:cs="Arial"/>
          <w:color w:val="000000" w:themeColor="text1"/>
          <w:sz w:val="24"/>
          <w:szCs w:val="24"/>
        </w:rPr>
      </w:pPr>
      <w:r w:rsidRPr="4BFE4F66">
        <w:rPr>
          <w:rFonts w:ascii="Arial" w:eastAsia="Arial" w:hAnsi="Arial" w:cs="Arial"/>
          <w:color w:val="000000" w:themeColor="text1"/>
          <w:sz w:val="24"/>
          <w:szCs w:val="24"/>
        </w:rPr>
        <w:t xml:space="preserve"> </w:t>
      </w:r>
    </w:p>
    <w:tbl>
      <w:tblPr>
        <w:tblStyle w:val="TableGrid"/>
        <w:tblW w:w="0" w:type="auto"/>
        <w:tblLayout w:type="fixed"/>
        <w:tblLook w:val="06A0" w:firstRow="1" w:lastRow="0" w:firstColumn="1" w:lastColumn="0" w:noHBand="1" w:noVBand="1"/>
      </w:tblPr>
      <w:tblGrid>
        <w:gridCol w:w="9015"/>
      </w:tblGrid>
      <w:tr w:rsidR="005D6212" w14:paraId="15492E53" w14:textId="77777777" w:rsidTr="00B908B7">
        <w:tc>
          <w:tcPr>
            <w:tcW w:w="9015" w:type="dxa"/>
          </w:tcPr>
          <w:p w14:paraId="7343D2E6" w14:textId="77777777" w:rsidR="005D6212" w:rsidRDefault="005D6212" w:rsidP="00B908B7">
            <w:pPr>
              <w:rPr>
                <w:rFonts w:ascii="Arial" w:eastAsia="Arial" w:hAnsi="Arial" w:cs="Arial"/>
                <w:b/>
                <w:bCs/>
                <w:color w:val="000000" w:themeColor="text1"/>
                <w:sz w:val="24"/>
                <w:szCs w:val="24"/>
              </w:rPr>
            </w:pPr>
          </w:p>
          <w:p w14:paraId="0BFEB52C" w14:textId="77777777" w:rsidR="005D6212" w:rsidRDefault="005D6212" w:rsidP="00B908B7">
            <w:pPr>
              <w:rPr>
                <w:rFonts w:ascii="Arial" w:eastAsia="Arial" w:hAnsi="Arial" w:cs="Arial"/>
                <w:color w:val="000000" w:themeColor="text1"/>
                <w:sz w:val="24"/>
                <w:szCs w:val="24"/>
              </w:rPr>
            </w:pPr>
            <w:r w:rsidRPr="43D343CA">
              <w:rPr>
                <w:rFonts w:ascii="Arial" w:eastAsia="Arial" w:hAnsi="Arial" w:cs="Arial"/>
                <w:b/>
                <w:bCs/>
                <w:color w:val="000000" w:themeColor="text1"/>
                <w:sz w:val="24"/>
                <w:szCs w:val="24"/>
              </w:rPr>
              <w:t>Outline</w:t>
            </w:r>
            <w:r w:rsidRPr="43D343CA">
              <w:rPr>
                <w:rFonts w:ascii="Arial" w:eastAsia="Arial" w:hAnsi="Arial" w:cs="Arial"/>
                <w:color w:val="000000" w:themeColor="text1"/>
                <w:sz w:val="24"/>
                <w:szCs w:val="24"/>
              </w:rPr>
              <w:t xml:space="preserve"> the statutory duties of disclosure within criminal investigations that investigators must adhere to.</w:t>
            </w:r>
          </w:p>
          <w:p w14:paraId="457916F3" w14:textId="77777777" w:rsidR="005D6212" w:rsidRDefault="005D6212" w:rsidP="00B908B7">
            <w:pPr>
              <w:rPr>
                <w:rFonts w:ascii="Arial" w:eastAsia="Arial" w:hAnsi="Arial" w:cs="Arial"/>
                <w:color w:val="000000" w:themeColor="text1"/>
                <w:sz w:val="24"/>
                <w:szCs w:val="24"/>
              </w:rPr>
            </w:pPr>
          </w:p>
          <w:p w14:paraId="51724A6F" w14:textId="77777777" w:rsidR="005D6212" w:rsidRDefault="005D6212" w:rsidP="00B908B7">
            <w:pPr>
              <w:rPr>
                <w:rFonts w:ascii="Arial" w:eastAsia="Arial" w:hAnsi="Arial" w:cs="Arial"/>
                <w:color w:val="000000" w:themeColor="text1"/>
                <w:sz w:val="24"/>
                <w:szCs w:val="24"/>
              </w:rPr>
            </w:pPr>
            <w:r w:rsidRPr="43D343CA">
              <w:rPr>
                <w:rFonts w:ascii="Arial" w:eastAsia="Arial" w:hAnsi="Arial" w:cs="Arial"/>
                <w:b/>
                <w:bCs/>
                <w:color w:val="000000" w:themeColor="text1"/>
                <w:sz w:val="24"/>
                <w:szCs w:val="24"/>
              </w:rPr>
              <w:t>Critically explore</w:t>
            </w:r>
            <w:r w:rsidRPr="43D343CA">
              <w:rPr>
                <w:rFonts w:ascii="Arial" w:eastAsia="Arial" w:hAnsi="Arial" w:cs="Arial"/>
                <w:color w:val="000000" w:themeColor="text1"/>
                <w:sz w:val="24"/>
                <w:szCs w:val="24"/>
              </w:rPr>
              <w:t xml:space="preserve"> the challenges that disclosure presents to investigators, offering potential solutions where appropriate.</w:t>
            </w:r>
          </w:p>
          <w:p w14:paraId="289E5C38" w14:textId="77777777" w:rsidR="005D6212" w:rsidRDefault="005D6212" w:rsidP="00B908B7">
            <w:pPr>
              <w:rPr>
                <w:rFonts w:ascii="Arial" w:eastAsia="Arial" w:hAnsi="Arial" w:cs="Arial"/>
                <w:color w:val="000000" w:themeColor="text1"/>
                <w:sz w:val="24"/>
                <w:szCs w:val="24"/>
              </w:rPr>
            </w:pPr>
          </w:p>
          <w:p w14:paraId="5E44864A" w14:textId="77777777" w:rsidR="005D6212" w:rsidRDefault="005D6212" w:rsidP="00B908B7">
            <w:pPr>
              <w:rPr>
                <w:rFonts w:ascii="Arial" w:eastAsia="Arial" w:hAnsi="Arial" w:cs="Arial"/>
                <w:color w:val="000000" w:themeColor="text1"/>
                <w:sz w:val="24"/>
                <w:szCs w:val="24"/>
              </w:rPr>
            </w:pPr>
            <w:r w:rsidRPr="4BFE4F66">
              <w:rPr>
                <w:rFonts w:ascii="Arial" w:eastAsia="Arial" w:hAnsi="Arial" w:cs="Arial"/>
                <w:color w:val="000000" w:themeColor="text1"/>
                <w:sz w:val="24"/>
                <w:szCs w:val="24"/>
              </w:rPr>
              <w:t>You may draw upon examples from your own professional practice as illustration.</w:t>
            </w:r>
          </w:p>
          <w:p w14:paraId="05E0BCB2" w14:textId="77777777" w:rsidR="005D6212" w:rsidRDefault="005D6212" w:rsidP="00B908B7">
            <w:pPr>
              <w:rPr>
                <w:rFonts w:ascii="Arial" w:eastAsia="Arial" w:hAnsi="Arial" w:cs="Arial"/>
                <w:color w:val="000000" w:themeColor="text1"/>
                <w:sz w:val="24"/>
                <w:szCs w:val="24"/>
              </w:rPr>
            </w:pPr>
          </w:p>
          <w:p w14:paraId="19B3BD27" w14:textId="77777777" w:rsidR="005D6212" w:rsidRDefault="005D6212" w:rsidP="00B908B7">
            <w:pPr>
              <w:rPr>
                <w:rFonts w:ascii="Arial" w:eastAsia="Arial" w:hAnsi="Arial" w:cs="Arial"/>
                <w:sz w:val="24"/>
                <w:szCs w:val="24"/>
              </w:rPr>
            </w:pPr>
            <w:r w:rsidRPr="43D343CA">
              <w:rPr>
                <w:rFonts w:ascii="Arial" w:eastAsia="Arial" w:hAnsi="Arial" w:cs="Arial"/>
                <w:b/>
                <w:bCs/>
                <w:color w:val="000000" w:themeColor="text1"/>
                <w:sz w:val="24"/>
                <w:szCs w:val="24"/>
              </w:rPr>
              <w:t xml:space="preserve">2000 words </w:t>
            </w:r>
            <w:r w:rsidRPr="43D343CA">
              <w:rPr>
                <w:rFonts w:ascii="Arial" w:eastAsia="Arial" w:hAnsi="Arial" w:cs="Arial"/>
                <w:i/>
                <w:iCs/>
                <w:color w:val="000000" w:themeColor="text1"/>
                <w:sz w:val="24"/>
                <w:szCs w:val="24"/>
              </w:rPr>
              <w:t>(+/- 10%: include your actual word count at the end of each section)</w:t>
            </w:r>
          </w:p>
          <w:p w14:paraId="1F6C3565" w14:textId="77777777" w:rsidR="005D6212" w:rsidRDefault="005D6212" w:rsidP="00B908B7">
            <w:pPr>
              <w:rPr>
                <w:rFonts w:ascii="Arial" w:eastAsia="Arial" w:hAnsi="Arial" w:cs="Arial"/>
                <w:i/>
                <w:iCs/>
                <w:color w:val="000000" w:themeColor="text1"/>
                <w:sz w:val="24"/>
                <w:szCs w:val="24"/>
              </w:rPr>
            </w:pPr>
          </w:p>
        </w:tc>
      </w:tr>
    </w:tbl>
    <w:p w14:paraId="6B9287B5" w14:textId="77777777" w:rsidR="00256EFC" w:rsidRDefault="00256EFC"/>
    <w:p w14:paraId="5600882D" w14:textId="77777777" w:rsidR="00893ECA" w:rsidRDefault="00893ECA" w:rsidP="00893ECA">
      <w:pPr>
        <w:rPr>
          <w:rFonts w:ascii="Arial" w:eastAsia="Arial" w:hAnsi="Arial" w:cs="Arial"/>
          <w:color w:val="000000" w:themeColor="text1"/>
          <w:sz w:val="24"/>
          <w:szCs w:val="24"/>
        </w:rPr>
      </w:pPr>
      <w:r w:rsidRPr="43D343CA">
        <w:rPr>
          <w:rFonts w:ascii="Arial" w:eastAsia="Arial" w:hAnsi="Arial" w:cs="Arial"/>
          <w:b/>
          <w:bCs/>
          <w:color w:val="000000" w:themeColor="text1"/>
          <w:sz w:val="24"/>
          <w:szCs w:val="24"/>
        </w:rPr>
        <w:t>Outline</w:t>
      </w:r>
      <w:r w:rsidRPr="43D343CA">
        <w:rPr>
          <w:rFonts w:ascii="Arial" w:eastAsia="Arial" w:hAnsi="Arial" w:cs="Arial"/>
          <w:color w:val="000000" w:themeColor="text1"/>
          <w:sz w:val="24"/>
          <w:szCs w:val="24"/>
        </w:rPr>
        <w:t xml:space="preserve"> the statutory duties of disclosure within criminal investigations that investigators must adhere to.</w:t>
      </w:r>
    </w:p>
    <w:p w14:paraId="3930DC86" w14:textId="77777777" w:rsidR="00B83637" w:rsidRDefault="00B83637" w:rsidP="00BA79FE">
      <w:pPr>
        <w:spacing w:line="360" w:lineRule="auto"/>
        <w:rPr>
          <w:rFonts w:ascii="Arial" w:hAnsi="Arial" w:cs="Arial"/>
          <w:b/>
          <w:bCs/>
        </w:rPr>
      </w:pPr>
    </w:p>
    <w:p w14:paraId="7227D8A5" w14:textId="2EBA3931" w:rsidR="00896678" w:rsidRDefault="00896678" w:rsidP="00BA79FE">
      <w:pPr>
        <w:spacing w:line="360" w:lineRule="auto"/>
        <w:rPr>
          <w:rFonts w:ascii="Arial" w:hAnsi="Arial" w:cs="Arial"/>
          <w:b/>
          <w:bCs/>
        </w:rPr>
      </w:pPr>
      <w:r w:rsidRPr="00896678">
        <w:rPr>
          <w:rFonts w:ascii="Arial" w:hAnsi="Arial" w:cs="Arial"/>
          <w:b/>
          <w:bCs/>
        </w:rPr>
        <w:t xml:space="preserve">Introduction </w:t>
      </w:r>
    </w:p>
    <w:p w14:paraId="5E1B85B3" w14:textId="77777777" w:rsidR="00B40DA0" w:rsidRDefault="00B40DA0" w:rsidP="00BA79FE">
      <w:pPr>
        <w:spacing w:line="360" w:lineRule="auto"/>
        <w:rPr>
          <w:rFonts w:ascii="Arial" w:hAnsi="Arial" w:cs="Arial"/>
        </w:rPr>
      </w:pPr>
      <w:r w:rsidRPr="00B40DA0">
        <w:rPr>
          <w:rFonts w:ascii="Arial" w:hAnsi="Arial" w:cs="Arial"/>
        </w:rPr>
        <w:t>Disclosure is crucial in criminal investigations and case preparation. Investigators ensure proper and timely disclosure execution. This essay outlines investigators' statutory disclosure duties in England and Wales.</w:t>
      </w:r>
    </w:p>
    <w:p w14:paraId="4E2D49C8" w14:textId="28DF1E4F" w:rsidR="00A86BF4" w:rsidRDefault="00A86BF4" w:rsidP="00BA79FE">
      <w:pPr>
        <w:spacing w:line="360" w:lineRule="auto"/>
        <w:rPr>
          <w:rFonts w:ascii="Arial" w:hAnsi="Arial" w:cs="Arial"/>
          <w:b/>
          <w:bCs/>
        </w:rPr>
      </w:pPr>
      <w:r>
        <w:rPr>
          <w:rFonts w:ascii="Arial" w:hAnsi="Arial" w:cs="Arial"/>
          <w:b/>
          <w:bCs/>
        </w:rPr>
        <w:t>What is Disclosure</w:t>
      </w:r>
    </w:p>
    <w:p w14:paraId="5BD631A7" w14:textId="433BBFC8" w:rsidR="00B40DA0" w:rsidRDefault="00B40DA0" w:rsidP="00B40DA0">
      <w:pPr>
        <w:spacing w:line="360" w:lineRule="auto"/>
        <w:rPr>
          <w:rFonts w:ascii="Arial" w:hAnsi="Arial" w:cs="Arial"/>
        </w:rPr>
      </w:pPr>
      <w:r w:rsidRPr="0099039A">
        <w:rPr>
          <w:rFonts w:ascii="Arial" w:hAnsi="Arial" w:cs="Arial"/>
          <w:i/>
          <w:iCs/>
        </w:rPr>
        <w:t>“Disclosure is a vital part of every investigation and the preparation of every case for prosecution and trial. Public confidence in the system of disclosure needs to be rebuilt and this continues to be a priority for all three of our organisations, both individually and working together</w:t>
      </w:r>
      <w:r w:rsidRPr="00B5619B">
        <w:rPr>
          <w:rFonts w:ascii="Arial" w:hAnsi="Arial" w:cs="Arial"/>
          <w:i/>
          <w:iCs/>
        </w:rPr>
        <w:t>.”</w:t>
      </w:r>
      <w:r>
        <w:rPr>
          <w:rFonts w:ascii="Arial" w:hAnsi="Arial" w:cs="Arial"/>
          <w:i/>
          <w:iCs/>
        </w:rPr>
        <w:t xml:space="preserve"> </w:t>
      </w:r>
      <w:r w:rsidRPr="00571585">
        <w:rPr>
          <w:rFonts w:ascii="Arial" w:hAnsi="Arial" w:cs="Arial"/>
        </w:rPr>
        <w:t>(</w:t>
      </w:r>
      <w:r w:rsidRPr="00D62AAF">
        <w:rPr>
          <w:rFonts w:ascii="Arial" w:hAnsi="Arial" w:cs="Arial"/>
        </w:rPr>
        <w:t>Crown Prosecution Service, 2017</w:t>
      </w:r>
      <w:r w:rsidRPr="00571585">
        <w:rPr>
          <w:rFonts w:ascii="Arial" w:hAnsi="Arial" w:cs="Arial"/>
        </w:rPr>
        <w:t>)</w:t>
      </w:r>
      <w:r>
        <w:rPr>
          <w:rFonts w:ascii="Arial" w:hAnsi="Arial" w:cs="Arial"/>
        </w:rPr>
        <w:t>.</w:t>
      </w:r>
    </w:p>
    <w:p w14:paraId="3141D091" w14:textId="77777777" w:rsidR="00B40DA0" w:rsidRPr="00B40DA0" w:rsidRDefault="00B40DA0" w:rsidP="00B40DA0">
      <w:pPr>
        <w:spacing w:line="360" w:lineRule="auto"/>
        <w:rPr>
          <w:rFonts w:ascii="Arial" w:hAnsi="Arial" w:cs="Arial"/>
        </w:rPr>
      </w:pPr>
      <w:r w:rsidRPr="00B40DA0">
        <w:rPr>
          <w:rFonts w:ascii="Arial" w:hAnsi="Arial" w:cs="Arial"/>
        </w:rPr>
        <w:lastRenderedPageBreak/>
        <w:t>Disclosure involves investigators, prosecutors, defence, and courts. Police record, retain, review, and reveal material to the prosecution. Investigators review material for relevance, disclosing unused material undermining the prosecution or supporting the defence to the prosecutor, who provides schedules to the defence. The defence may prompt further relevance reassessment (</w:t>
      </w:r>
      <w:proofErr w:type="spellStart"/>
      <w:r w:rsidRPr="00B40DA0">
        <w:rPr>
          <w:rFonts w:ascii="Arial" w:hAnsi="Arial" w:cs="Arial"/>
        </w:rPr>
        <w:t>Polykarpou</w:t>
      </w:r>
      <w:proofErr w:type="spellEnd"/>
      <w:r w:rsidRPr="00B40DA0">
        <w:rPr>
          <w:rFonts w:ascii="Arial" w:hAnsi="Arial" w:cs="Arial"/>
        </w:rPr>
        <w:t>, 2022).</w:t>
      </w:r>
    </w:p>
    <w:p w14:paraId="44EB2929" w14:textId="77777777" w:rsidR="00B40DA0" w:rsidRPr="00B40DA0" w:rsidRDefault="00B40DA0" w:rsidP="00B40DA0">
      <w:pPr>
        <w:spacing w:line="360" w:lineRule="auto"/>
        <w:rPr>
          <w:rFonts w:ascii="Arial" w:hAnsi="Arial" w:cs="Arial"/>
        </w:rPr>
      </w:pPr>
      <w:r w:rsidRPr="00B40DA0">
        <w:rPr>
          <w:rFonts w:ascii="Arial" w:hAnsi="Arial" w:cs="Arial"/>
        </w:rPr>
        <w:t>Disclosure is vital for public trust and requires collaboration (Crown Prosecution Service, 2017). It involves complex interactions and ongoing material management, assessment, and communication. Non-adherence undermines fairness and confidence (Hoyle, 2023).</w:t>
      </w:r>
    </w:p>
    <w:p w14:paraId="1523D951" w14:textId="3D696AC1" w:rsidR="000F11FA" w:rsidRPr="000F11FA" w:rsidRDefault="000F11FA" w:rsidP="00BA79FE">
      <w:pPr>
        <w:spacing w:line="360" w:lineRule="auto"/>
        <w:rPr>
          <w:rFonts w:ascii="Arial" w:hAnsi="Arial" w:cs="Arial"/>
          <w:b/>
          <w:bCs/>
        </w:rPr>
      </w:pPr>
      <w:r w:rsidRPr="000F11FA">
        <w:rPr>
          <w:rFonts w:ascii="Arial" w:hAnsi="Arial" w:cs="Arial"/>
          <w:b/>
          <w:bCs/>
        </w:rPr>
        <w:t>History of Disclosure</w:t>
      </w:r>
    </w:p>
    <w:p w14:paraId="42B5466A" w14:textId="5A4CF483" w:rsidR="00B40DA0" w:rsidRPr="00B40DA0" w:rsidRDefault="00B40DA0" w:rsidP="00B40DA0">
      <w:pPr>
        <w:spacing w:line="360" w:lineRule="auto"/>
        <w:rPr>
          <w:rFonts w:ascii="Arial" w:hAnsi="Arial" w:cs="Arial"/>
        </w:rPr>
      </w:pPr>
      <w:r w:rsidRPr="00B40DA0">
        <w:rPr>
          <w:rFonts w:ascii="Arial" w:hAnsi="Arial" w:cs="Arial"/>
        </w:rPr>
        <w:t xml:space="preserve">Morton (2006) offers a critical history of modern disclosure in England and Wales. Before R v Bryant and Dickson (1946), </w:t>
      </w:r>
      <w:r w:rsidR="00A82FF2">
        <w:rPr>
          <w:rFonts w:ascii="Arial" w:hAnsi="Arial" w:cs="Arial"/>
        </w:rPr>
        <w:t xml:space="preserve">the </w:t>
      </w:r>
      <w:r w:rsidRPr="00B40DA0">
        <w:rPr>
          <w:rFonts w:ascii="Arial" w:hAnsi="Arial" w:cs="Arial"/>
        </w:rPr>
        <w:t>defence was "blindfolded" with prosecutor discretion (Morton, 2006). The CPIA 1996 began modern disclosure, but Morton argues rules are manipulated, hindering swift justice (Morton, 2006).</w:t>
      </w:r>
    </w:p>
    <w:p w14:paraId="3F5B35E3" w14:textId="563EF956" w:rsidR="00B40DA0" w:rsidRPr="00B40DA0" w:rsidRDefault="00B40DA0" w:rsidP="00B40DA0">
      <w:pPr>
        <w:spacing w:line="360" w:lineRule="auto"/>
        <w:rPr>
          <w:rFonts w:ascii="Arial" w:hAnsi="Arial" w:cs="Arial"/>
        </w:rPr>
      </w:pPr>
      <w:r w:rsidRPr="00B40DA0">
        <w:rPr>
          <w:rFonts w:ascii="Arial" w:hAnsi="Arial" w:cs="Arial"/>
        </w:rPr>
        <w:t xml:space="preserve">Disclosure </w:t>
      </w:r>
      <w:r w:rsidR="00A82FF2">
        <w:rPr>
          <w:rFonts w:ascii="Arial" w:hAnsi="Arial" w:cs="Arial"/>
        </w:rPr>
        <w:t xml:space="preserve">has </w:t>
      </w:r>
      <w:r w:rsidRPr="00B40DA0">
        <w:rPr>
          <w:rFonts w:ascii="Arial" w:hAnsi="Arial" w:cs="Arial"/>
        </w:rPr>
        <w:t>evolved since the 1960s, now governed by the CPIA 1996 and Code of Practice, establishing the legal framework for investigators (Ministry of Justice, 2020).</w:t>
      </w:r>
    </w:p>
    <w:p w14:paraId="292F1617" w14:textId="77777777" w:rsidR="00B40DA0" w:rsidRPr="00B40DA0" w:rsidRDefault="00B40DA0" w:rsidP="00B40DA0">
      <w:pPr>
        <w:spacing w:line="360" w:lineRule="auto"/>
        <w:rPr>
          <w:rFonts w:ascii="Arial" w:hAnsi="Arial" w:cs="Arial"/>
        </w:rPr>
      </w:pPr>
      <w:r w:rsidRPr="00B40DA0">
        <w:rPr>
          <w:rFonts w:ascii="Arial" w:hAnsi="Arial" w:cs="Arial"/>
        </w:rPr>
        <w:t>Morton suggests the 1960s system, though unfair, was swifter. Modern practices caused delays and inefficiencies. Nonetheless, balancing efficiency, fairness, and justice is essential. The CPIA and Code of Practice provide a framework while ensuring fair administration.</w:t>
      </w:r>
    </w:p>
    <w:p w14:paraId="4F792001" w14:textId="2524738C" w:rsidR="00B40DA0" w:rsidRDefault="00B40DA0" w:rsidP="00B40DA0">
      <w:pPr>
        <w:spacing w:line="360" w:lineRule="auto"/>
        <w:rPr>
          <w:rFonts w:ascii="Arial" w:hAnsi="Arial" w:cs="Arial"/>
        </w:rPr>
      </w:pPr>
      <w:r w:rsidRPr="00B40DA0">
        <w:rPr>
          <w:rFonts w:ascii="Arial" w:hAnsi="Arial" w:cs="Arial"/>
          <w:b/>
          <w:bCs/>
        </w:rPr>
        <w:t>The Criminal Procedure and Investigations Act 1996</w:t>
      </w:r>
    </w:p>
    <w:p w14:paraId="407E27A0" w14:textId="324F5D46" w:rsidR="00B40DA0" w:rsidRPr="00B40DA0" w:rsidRDefault="00B40DA0" w:rsidP="00B40DA0">
      <w:pPr>
        <w:spacing w:line="360" w:lineRule="auto"/>
        <w:rPr>
          <w:rFonts w:ascii="Arial" w:hAnsi="Arial" w:cs="Arial"/>
        </w:rPr>
      </w:pPr>
      <w:r w:rsidRPr="00B40DA0">
        <w:rPr>
          <w:rFonts w:ascii="Arial" w:hAnsi="Arial" w:cs="Arial"/>
        </w:rPr>
        <w:t xml:space="preserve">The CPIA 1996 Code outlines investigators' duties: pursue reasonable lines of inquiry, record and retain material, </w:t>
      </w:r>
      <w:r w:rsidR="00A82FF2">
        <w:rPr>
          <w:rFonts w:ascii="Arial" w:hAnsi="Arial" w:cs="Arial"/>
        </w:rPr>
        <w:t xml:space="preserve">and </w:t>
      </w:r>
      <w:r w:rsidRPr="00B40DA0">
        <w:rPr>
          <w:rFonts w:ascii="Arial" w:hAnsi="Arial" w:cs="Arial"/>
        </w:rPr>
        <w:t>reveal to prosecutors anything undermining the prosecution or assisting the defence (Brader, 2020).</w:t>
      </w:r>
    </w:p>
    <w:p w14:paraId="42C30B8D" w14:textId="77777777" w:rsidR="00B40DA0" w:rsidRPr="00B40DA0" w:rsidRDefault="00B40DA0" w:rsidP="00B40DA0">
      <w:pPr>
        <w:spacing w:line="360" w:lineRule="auto"/>
        <w:rPr>
          <w:rFonts w:ascii="Arial" w:hAnsi="Arial" w:cs="Arial"/>
        </w:rPr>
      </w:pPr>
      <w:r w:rsidRPr="00B40DA0">
        <w:rPr>
          <w:rFonts w:ascii="Arial" w:hAnsi="Arial" w:cs="Arial"/>
        </w:rPr>
        <w:t>After a defence statement, investigators re-examine material, bringing relevant information to the prosecutor. The disclosure officer and prosecutor jointly examine, reveal, disclose, and certify (</w:t>
      </w:r>
      <w:hyperlink r:id="rId5" w:history="1">
        <w:r w:rsidRPr="00B40DA0">
          <w:rPr>
            <w:rStyle w:val="Hyperlink"/>
            <w:rFonts w:ascii="Arial" w:hAnsi="Arial" w:cs="Arial"/>
          </w:rPr>
          <w:t>www.jmw.co.uk</w:t>
        </w:r>
      </w:hyperlink>
      <w:r w:rsidRPr="00B40DA0">
        <w:rPr>
          <w:rFonts w:ascii="Arial" w:hAnsi="Arial" w:cs="Arial"/>
        </w:rPr>
        <w:t>, n.d.).</w:t>
      </w:r>
    </w:p>
    <w:p w14:paraId="4F9F05AD" w14:textId="77777777" w:rsidR="00B40DA0" w:rsidRPr="00B40DA0" w:rsidRDefault="00B40DA0" w:rsidP="00B40DA0">
      <w:pPr>
        <w:spacing w:line="360" w:lineRule="auto"/>
        <w:rPr>
          <w:rFonts w:ascii="Arial" w:hAnsi="Arial" w:cs="Arial"/>
        </w:rPr>
      </w:pPr>
      <w:r w:rsidRPr="00B40DA0">
        <w:rPr>
          <w:rFonts w:ascii="Arial" w:hAnsi="Arial" w:cs="Arial"/>
        </w:rPr>
        <w:t>Investigators actively seek, record, retain, review, and reveal material to prosecutors, focusing on unused material potentially undermining the prosecution or aiding the defence (Ministry of Justice, 2020).</w:t>
      </w:r>
    </w:p>
    <w:p w14:paraId="22A99571" w14:textId="77777777" w:rsidR="00B40DA0" w:rsidRPr="00B40DA0" w:rsidRDefault="00B40DA0" w:rsidP="00B40DA0">
      <w:pPr>
        <w:spacing w:line="360" w:lineRule="auto"/>
        <w:rPr>
          <w:rFonts w:ascii="Arial" w:hAnsi="Arial" w:cs="Arial"/>
        </w:rPr>
      </w:pPr>
      <w:r w:rsidRPr="00B40DA0">
        <w:rPr>
          <w:rFonts w:ascii="Arial" w:hAnsi="Arial" w:cs="Arial"/>
        </w:rPr>
        <w:lastRenderedPageBreak/>
        <w:t>Griffiths (2022) examines the Attorney General's 2020 Guidelines, updated in 2022, outlining disclosure principles under the CPIA 1996. Guidelines define roles for fair trials through disclosure, balancing fair trial (Article 6 ECHR) and privacy (Article 8 ECHR) rights (European Union Agency for Fundamental Rights, 2018).</w:t>
      </w:r>
    </w:p>
    <w:p w14:paraId="5ED6D07D" w14:textId="77777777" w:rsidR="00B40DA0" w:rsidRPr="00B40DA0" w:rsidRDefault="00B40DA0" w:rsidP="00B40DA0">
      <w:pPr>
        <w:spacing w:line="360" w:lineRule="auto"/>
        <w:rPr>
          <w:rFonts w:ascii="Arial" w:hAnsi="Arial" w:cs="Arial"/>
        </w:rPr>
      </w:pPr>
      <w:r w:rsidRPr="00B40DA0">
        <w:rPr>
          <w:rFonts w:ascii="Arial" w:hAnsi="Arial" w:cs="Arial"/>
        </w:rPr>
        <w:t>Disclosure requires ongoing evaluation and engagement. Personal/private material handling must be lawful, necessary, proportionate, and least intrusive. Fair trial rights take precedence, with justified, minimal intrusion (Attorney General's Office, 2024).</w:t>
      </w:r>
    </w:p>
    <w:p w14:paraId="6961AD13" w14:textId="4009B27F" w:rsidR="00896678" w:rsidRPr="00896678" w:rsidRDefault="00896678" w:rsidP="00BA79FE">
      <w:pPr>
        <w:spacing w:line="360" w:lineRule="auto"/>
        <w:rPr>
          <w:rFonts w:ascii="Arial" w:hAnsi="Arial" w:cs="Arial"/>
          <w:b/>
          <w:bCs/>
        </w:rPr>
      </w:pPr>
      <w:r w:rsidRPr="00896678">
        <w:rPr>
          <w:rFonts w:ascii="Arial" w:hAnsi="Arial" w:cs="Arial"/>
          <w:b/>
          <w:bCs/>
        </w:rPr>
        <w:t>Key Duties of Investigators</w:t>
      </w:r>
    </w:p>
    <w:p w14:paraId="31A2D663" w14:textId="77777777" w:rsidR="00B40DA0" w:rsidRDefault="00B40DA0" w:rsidP="00B40DA0">
      <w:pPr>
        <w:spacing w:line="360" w:lineRule="auto"/>
        <w:rPr>
          <w:rFonts w:ascii="Arial" w:hAnsi="Arial" w:cs="Arial"/>
        </w:rPr>
      </w:pPr>
      <w:r w:rsidRPr="00B40DA0">
        <w:rPr>
          <w:rFonts w:ascii="Arial" w:hAnsi="Arial" w:cs="Arial"/>
        </w:rPr>
        <w:t>According to the Crown Prosecution Service (CPS, 2021), investigators have three primary duties in criminal investigations. First, they must record, retain, and review all material objectively, ensuring that all relevant information is preserved and considered throughout the investigation. Second, investigators must reveal relevant material to prosecutors, identifying items that undermine the prosecution or support the defence, promoting fairness by allowing the defence access to crucial information. Third, investigators must pursue reasonable lines of inquiry, including those exonerating the suspect, approaching the case objectively and exploring all plausible avenues of investigation, even if they lead to evidence challenging the prosecution's case. By diligently fulfilling these duties, investigators uphold the fairness and integrity of the criminal justice process.</w:t>
      </w:r>
    </w:p>
    <w:p w14:paraId="154AC2F4" w14:textId="7BD9D764" w:rsidR="00896678" w:rsidRPr="00896678" w:rsidRDefault="00896678" w:rsidP="00BA79FE">
      <w:pPr>
        <w:spacing w:line="360" w:lineRule="auto"/>
        <w:rPr>
          <w:rFonts w:ascii="Arial" w:hAnsi="Arial" w:cs="Arial"/>
          <w:b/>
          <w:bCs/>
        </w:rPr>
      </w:pPr>
      <w:r w:rsidRPr="00896678">
        <w:rPr>
          <w:rFonts w:ascii="Arial" w:hAnsi="Arial" w:cs="Arial"/>
          <w:b/>
          <w:bCs/>
        </w:rPr>
        <w:t xml:space="preserve">Balancing the Rights to a Fair Trial and Privacy </w:t>
      </w:r>
    </w:p>
    <w:p w14:paraId="15E543B2" w14:textId="17D4600C" w:rsidR="00B40DA0" w:rsidRPr="00B40DA0" w:rsidRDefault="00B40DA0" w:rsidP="00BA79FE">
      <w:pPr>
        <w:spacing w:line="360" w:lineRule="auto"/>
        <w:rPr>
          <w:rFonts w:ascii="Arial" w:hAnsi="Arial" w:cs="Arial"/>
        </w:rPr>
      </w:pPr>
      <w:r w:rsidRPr="00B40DA0">
        <w:rPr>
          <w:rFonts w:ascii="Arial" w:hAnsi="Arial" w:cs="Arial"/>
        </w:rPr>
        <w:t>Investigators must ensure personal/private material handling is lawful, necessary, proportionate, and least intrusive. Fair trial rights (Article 6 ECHR) take precedence over privacy (Article 8 ECHR), but intrusion must be justified and minimal (Horsman, 2022).</w:t>
      </w:r>
    </w:p>
    <w:p w14:paraId="72D5F840" w14:textId="230BC730" w:rsidR="00896678" w:rsidRPr="00896678" w:rsidRDefault="00896678" w:rsidP="00BA79FE">
      <w:pPr>
        <w:spacing w:line="360" w:lineRule="auto"/>
        <w:rPr>
          <w:rFonts w:ascii="Arial" w:hAnsi="Arial" w:cs="Arial"/>
          <w:b/>
          <w:bCs/>
        </w:rPr>
      </w:pPr>
      <w:r w:rsidRPr="00896678">
        <w:rPr>
          <w:rFonts w:ascii="Arial" w:hAnsi="Arial" w:cs="Arial"/>
          <w:b/>
          <w:bCs/>
        </w:rPr>
        <w:t xml:space="preserve">Conclusion </w:t>
      </w:r>
    </w:p>
    <w:p w14:paraId="2C892D78" w14:textId="1CE10C8E" w:rsidR="00B40DA0" w:rsidRPr="00B40DA0" w:rsidRDefault="00B40DA0" w:rsidP="00B40DA0">
      <w:pPr>
        <w:spacing w:line="360" w:lineRule="auto"/>
        <w:rPr>
          <w:rFonts w:ascii="Arial" w:hAnsi="Arial" w:cs="Arial"/>
        </w:rPr>
      </w:pPr>
      <w:r w:rsidRPr="00B40DA0">
        <w:rPr>
          <w:rFonts w:ascii="Arial" w:hAnsi="Arial" w:cs="Arial"/>
        </w:rPr>
        <w:t>Disclosure is critical for fairness, transparency, and justice. Investigators play a pivotal role, adhering to the CPIA 1996 and Code of Practice. Duties include recording, retaining</w:t>
      </w:r>
      <w:r w:rsidR="00A82FF2">
        <w:rPr>
          <w:rFonts w:ascii="Arial" w:hAnsi="Arial" w:cs="Arial"/>
        </w:rPr>
        <w:t xml:space="preserve"> and</w:t>
      </w:r>
      <w:r w:rsidRPr="00B40DA0">
        <w:rPr>
          <w:rFonts w:ascii="Arial" w:hAnsi="Arial" w:cs="Arial"/>
        </w:rPr>
        <w:t xml:space="preserve"> reviewing material; revealing to prosecutors; and pursuing reasonable lines of inquiry.</w:t>
      </w:r>
    </w:p>
    <w:p w14:paraId="25A20D64" w14:textId="38DD7EF9" w:rsidR="00B40DA0" w:rsidRPr="00B40DA0" w:rsidRDefault="00B40DA0" w:rsidP="00B40DA0">
      <w:pPr>
        <w:spacing w:line="360" w:lineRule="auto"/>
        <w:rPr>
          <w:rFonts w:ascii="Arial" w:hAnsi="Arial" w:cs="Arial"/>
        </w:rPr>
      </w:pPr>
      <w:r w:rsidRPr="00B40DA0">
        <w:rPr>
          <w:rFonts w:ascii="Arial" w:hAnsi="Arial" w:cs="Arial"/>
        </w:rPr>
        <w:lastRenderedPageBreak/>
        <w:t>Morton (2006) highlights the evolution from informal to formal disclosure, balancing efficiency, fairness, and justice. The Attorney General's Guidelines (2020) emphasi</w:t>
      </w:r>
      <w:r>
        <w:rPr>
          <w:rFonts w:ascii="Arial" w:hAnsi="Arial" w:cs="Arial"/>
        </w:rPr>
        <w:t>s</w:t>
      </w:r>
      <w:r w:rsidRPr="00B40DA0">
        <w:rPr>
          <w:rFonts w:ascii="Arial" w:hAnsi="Arial" w:cs="Arial"/>
        </w:rPr>
        <w:t>e this balance, considering fair trial and privacy rights.</w:t>
      </w:r>
    </w:p>
    <w:p w14:paraId="54E88307" w14:textId="77777777" w:rsidR="00B40DA0" w:rsidRPr="00B40DA0" w:rsidRDefault="00B40DA0" w:rsidP="00B40DA0">
      <w:pPr>
        <w:spacing w:line="360" w:lineRule="auto"/>
        <w:rPr>
          <w:rFonts w:ascii="Arial" w:hAnsi="Arial" w:cs="Arial"/>
        </w:rPr>
      </w:pPr>
      <w:r w:rsidRPr="00B40DA0">
        <w:rPr>
          <w:rFonts w:ascii="Arial" w:hAnsi="Arial" w:cs="Arial"/>
        </w:rPr>
        <w:t>Diligent adherence to duties and principles upholds integrity and public confidence. Rebuilding trust requires ongoing collaboration among stakeholders.</w:t>
      </w:r>
    </w:p>
    <w:p w14:paraId="6A38AF61" w14:textId="4CBE3E5E" w:rsidR="00540E16" w:rsidRDefault="00540E16" w:rsidP="00BA79FE">
      <w:pPr>
        <w:spacing w:line="360" w:lineRule="auto"/>
        <w:rPr>
          <w:rFonts w:ascii="Arial" w:hAnsi="Arial" w:cs="Arial"/>
          <w:b/>
          <w:bCs/>
        </w:rPr>
      </w:pPr>
      <w:r w:rsidRPr="00540E16">
        <w:rPr>
          <w:rFonts w:ascii="Arial" w:hAnsi="Arial" w:cs="Arial"/>
          <w:b/>
          <w:bCs/>
        </w:rPr>
        <w:t xml:space="preserve">Words – </w:t>
      </w:r>
      <w:r w:rsidR="00B40DA0">
        <w:rPr>
          <w:rFonts w:ascii="Arial" w:hAnsi="Arial" w:cs="Arial"/>
          <w:b/>
          <w:bCs/>
        </w:rPr>
        <w:t>68</w:t>
      </w:r>
      <w:r w:rsidR="00A82FF2">
        <w:rPr>
          <w:rFonts w:ascii="Arial" w:hAnsi="Arial" w:cs="Arial"/>
          <w:b/>
          <w:bCs/>
        </w:rPr>
        <w:t>9</w:t>
      </w:r>
      <w:r w:rsidR="004C39E4">
        <w:rPr>
          <w:rFonts w:ascii="Arial" w:hAnsi="Arial" w:cs="Arial"/>
          <w:b/>
          <w:bCs/>
        </w:rPr>
        <w:t xml:space="preserve"> </w:t>
      </w:r>
    </w:p>
    <w:p w14:paraId="6510E2BB" w14:textId="062F6F26" w:rsidR="00AB0F0A" w:rsidRDefault="00AB0F0A" w:rsidP="00BA79FE">
      <w:pPr>
        <w:spacing w:line="360" w:lineRule="auto"/>
        <w:rPr>
          <w:rFonts w:ascii="Arial" w:hAnsi="Arial" w:cs="Arial"/>
          <w:b/>
          <w:bCs/>
        </w:rPr>
      </w:pPr>
      <w:r>
        <w:rPr>
          <w:rFonts w:ascii="Arial" w:hAnsi="Arial" w:cs="Arial"/>
          <w:b/>
          <w:bCs/>
        </w:rPr>
        <w:t>Reference</w:t>
      </w:r>
    </w:p>
    <w:p w14:paraId="0DB564B7" w14:textId="5EF10C9D" w:rsidR="00AB0F0A" w:rsidRDefault="00AB0F0A" w:rsidP="00AB0F0A">
      <w:pPr>
        <w:spacing w:line="360" w:lineRule="auto"/>
        <w:rPr>
          <w:rFonts w:ascii="Arial" w:hAnsi="Arial" w:cs="Arial"/>
          <w:color w:val="000000" w:themeColor="text1"/>
        </w:rPr>
      </w:pPr>
      <w:r w:rsidRPr="00AB0F0A">
        <w:rPr>
          <w:rFonts w:ascii="Arial" w:hAnsi="Arial" w:cs="Arial"/>
        </w:rPr>
        <w:t>A</w:t>
      </w:r>
      <w:r w:rsidRPr="00DD0B09">
        <w:rPr>
          <w:rFonts w:ascii="Arial" w:hAnsi="Arial" w:cs="Arial"/>
          <w:color w:val="000000" w:themeColor="text1"/>
        </w:rPr>
        <w:t xml:space="preserve">ttorney General's Office. (2020) Attorney General's Guidelines on Disclosure. </w:t>
      </w:r>
      <w:hyperlink r:id="rId6" w:history="1">
        <w:r w:rsidRPr="00DD0B09">
          <w:rPr>
            <w:rStyle w:val="Hyperlink"/>
            <w:rFonts w:ascii="Arial" w:hAnsi="Arial" w:cs="Arial"/>
            <w:color w:val="000000" w:themeColor="text1"/>
            <w:u w:val="none"/>
          </w:rPr>
          <w:t>https://www.gov.uk/government/publications/attorney-generals-guidelines-on-disclosure-2020</w:t>
        </w:r>
      </w:hyperlink>
    </w:p>
    <w:p w14:paraId="7C0636F0" w14:textId="77777777" w:rsidR="0085686E" w:rsidRDefault="0085686E" w:rsidP="00AB0F0A">
      <w:pPr>
        <w:spacing w:line="360" w:lineRule="auto"/>
        <w:rPr>
          <w:rFonts w:ascii="Arial" w:hAnsi="Arial" w:cs="Arial"/>
          <w:color w:val="000000" w:themeColor="text1"/>
        </w:rPr>
      </w:pPr>
    </w:p>
    <w:p w14:paraId="28130F26" w14:textId="465312D4" w:rsidR="00AB0F0A" w:rsidRPr="00B13EBA" w:rsidRDefault="00AB0F0A" w:rsidP="00AB0F0A">
      <w:pPr>
        <w:spacing w:line="360" w:lineRule="auto"/>
        <w:rPr>
          <w:rFonts w:ascii="Arial" w:hAnsi="Arial" w:cs="Arial"/>
          <w:color w:val="000000" w:themeColor="text1"/>
        </w:rPr>
      </w:pPr>
      <w:r w:rsidRPr="00B13EBA">
        <w:rPr>
          <w:rFonts w:ascii="Arial" w:hAnsi="Arial" w:cs="Arial"/>
          <w:color w:val="000000" w:themeColor="text1"/>
        </w:rPr>
        <w:t xml:space="preserve">Attorney General's Office (2024) Attorney General's Guidelines on Disclosure 2024. Available at: </w:t>
      </w:r>
      <w:hyperlink r:id="rId7" w:history="1">
        <w:r w:rsidRPr="00B13EBA">
          <w:rPr>
            <w:rStyle w:val="Hyperlink"/>
            <w:rFonts w:ascii="Arial" w:hAnsi="Arial" w:cs="Arial"/>
            <w:color w:val="000000" w:themeColor="text1"/>
            <w:u w:val="none"/>
          </w:rPr>
          <w:t>https://assets.publishing.service.gov.uk/media/65e1ab9d2f2b3b00117cd803/Attorney_General_s_Guidelines_on_Disclosure_-_2024.pdf</w:t>
        </w:r>
      </w:hyperlink>
      <w:r w:rsidRPr="00B13EBA">
        <w:rPr>
          <w:rFonts w:ascii="Arial" w:hAnsi="Arial" w:cs="Arial"/>
          <w:color w:val="000000" w:themeColor="text1"/>
        </w:rPr>
        <w:t xml:space="preserve"> </w:t>
      </w:r>
      <w:r>
        <w:rPr>
          <w:rFonts w:ascii="Arial" w:hAnsi="Arial" w:cs="Arial"/>
          <w:color w:val="000000" w:themeColor="text1"/>
        </w:rPr>
        <w:t>[</w:t>
      </w:r>
      <w:r w:rsidRPr="00B13EBA">
        <w:rPr>
          <w:rFonts w:ascii="Arial" w:hAnsi="Arial" w:cs="Arial"/>
          <w:color w:val="000000" w:themeColor="text1"/>
        </w:rPr>
        <w:t>Accessed</w:t>
      </w:r>
      <w:r>
        <w:rPr>
          <w:rFonts w:ascii="Arial" w:hAnsi="Arial" w:cs="Arial"/>
          <w:color w:val="000000" w:themeColor="text1"/>
        </w:rPr>
        <w:t xml:space="preserve"> 31 Mar 2025</w:t>
      </w:r>
      <w:r w:rsidRPr="00B13EBA">
        <w:rPr>
          <w:rFonts w:ascii="Arial" w:hAnsi="Arial" w:cs="Arial"/>
          <w:color w:val="000000" w:themeColor="text1"/>
        </w:rPr>
        <w:t>].</w:t>
      </w:r>
    </w:p>
    <w:p w14:paraId="00EF136C" w14:textId="77777777" w:rsidR="0085686E" w:rsidRDefault="0085686E" w:rsidP="00C31634">
      <w:pPr>
        <w:spacing w:line="360" w:lineRule="auto"/>
        <w:rPr>
          <w:rFonts w:ascii="Arial" w:hAnsi="Arial" w:cs="Arial"/>
        </w:rPr>
      </w:pPr>
    </w:p>
    <w:p w14:paraId="3598DEBD" w14:textId="18AA5677" w:rsidR="00B40DA0" w:rsidRDefault="00B40DA0" w:rsidP="00C31634">
      <w:pPr>
        <w:spacing w:line="360" w:lineRule="auto"/>
        <w:rPr>
          <w:rFonts w:ascii="Arial" w:hAnsi="Arial" w:cs="Arial"/>
        </w:rPr>
      </w:pPr>
      <w:r w:rsidRPr="00B40DA0">
        <w:rPr>
          <w:rFonts w:ascii="Arial" w:hAnsi="Arial" w:cs="Arial"/>
        </w:rPr>
        <w:t>Brader, C. (2020) The Criminal Procedure and Investigations Act 1996 (Code of Practice) Order 2020. </w:t>
      </w:r>
      <w:r w:rsidRPr="00B40DA0">
        <w:rPr>
          <w:rFonts w:ascii="Arial" w:hAnsi="Arial" w:cs="Arial"/>
          <w:i/>
          <w:iCs/>
        </w:rPr>
        <w:t>lordslibrary.parliament.uk</w:t>
      </w:r>
      <w:r w:rsidRPr="00B40DA0">
        <w:rPr>
          <w:rFonts w:ascii="Arial" w:hAnsi="Arial" w:cs="Arial"/>
        </w:rPr>
        <w:t>. [online] Available at: https://lordslibrary.parliament.uk/the-criminal-procedure-and-investigations-act-1996-code-of-practice-order-2020/.</w:t>
      </w:r>
    </w:p>
    <w:p w14:paraId="70484EE2" w14:textId="77777777" w:rsidR="00B40DA0" w:rsidRDefault="00B40DA0" w:rsidP="00C31634">
      <w:pPr>
        <w:spacing w:line="360" w:lineRule="auto"/>
        <w:rPr>
          <w:rFonts w:ascii="Arial" w:hAnsi="Arial" w:cs="Arial"/>
        </w:rPr>
      </w:pPr>
    </w:p>
    <w:p w14:paraId="192D2811" w14:textId="5938BA1A" w:rsidR="00C31634" w:rsidRPr="00D24B90" w:rsidRDefault="00C31634" w:rsidP="00C31634">
      <w:pPr>
        <w:spacing w:line="360" w:lineRule="auto"/>
        <w:rPr>
          <w:rFonts w:ascii="Arial" w:hAnsi="Arial" w:cs="Arial"/>
        </w:rPr>
      </w:pPr>
      <w:r w:rsidRPr="00D24B90">
        <w:rPr>
          <w:rFonts w:ascii="Arial" w:hAnsi="Arial" w:cs="Arial"/>
        </w:rPr>
        <w:t>Crown Prosecution Service (2017) </w:t>
      </w:r>
      <w:r w:rsidRPr="00D24B90">
        <w:rPr>
          <w:rFonts w:ascii="Arial" w:hAnsi="Arial" w:cs="Arial"/>
          <w:i/>
          <w:iCs/>
        </w:rPr>
        <w:t>Disclosure | The Crown Prosecution Service</w:t>
      </w:r>
      <w:r w:rsidRPr="00D24B90">
        <w:rPr>
          <w:rFonts w:ascii="Arial" w:hAnsi="Arial" w:cs="Arial"/>
        </w:rPr>
        <w:t>. [online] www.cps.gov.uk. Available at: https://www.cps.gov.uk/about-cps/disclosure.</w:t>
      </w:r>
    </w:p>
    <w:p w14:paraId="4817EF00" w14:textId="77777777" w:rsidR="00B40DA0" w:rsidRDefault="00B40DA0" w:rsidP="00C31634">
      <w:pPr>
        <w:spacing w:line="360" w:lineRule="auto"/>
        <w:rPr>
          <w:rFonts w:ascii="Arial" w:hAnsi="Arial" w:cs="Arial"/>
        </w:rPr>
      </w:pPr>
    </w:p>
    <w:p w14:paraId="7A0267FD" w14:textId="59C3D039" w:rsidR="00C31634" w:rsidRDefault="00C31634" w:rsidP="00C31634">
      <w:pPr>
        <w:spacing w:line="360" w:lineRule="auto"/>
        <w:rPr>
          <w:rFonts w:ascii="Arial" w:hAnsi="Arial" w:cs="Arial"/>
        </w:rPr>
      </w:pPr>
      <w:r w:rsidRPr="00C05473">
        <w:rPr>
          <w:rFonts w:ascii="Arial" w:hAnsi="Arial" w:cs="Arial"/>
        </w:rPr>
        <w:lastRenderedPageBreak/>
        <w:t>CPS (2021) </w:t>
      </w:r>
      <w:r w:rsidRPr="00C05473">
        <w:rPr>
          <w:rFonts w:ascii="Arial" w:hAnsi="Arial" w:cs="Arial"/>
          <w:i/>
          <w:iCs/>
        </w:rPr>
        <w:t>Disclosure Manual: Chapter 3 - Roles and Responsibilities | The Crown Prosecution Service</w:t>
      </w:r>
      <w:r w:rsidRPr="00C05473">
        <w:rPr>
          <w:rFonts w:ascii="Arial" w:hAnsi="Arial" w:cs="Arial"/>
        </w:rPr>
        <w:t xml:space="preserve">. [online] www.cps.gov.uk. Available at: </w:t>
      </w:r>
      <w:hyperlink r:id="rId8" w:history="1">
        <w:r w:rsidRPr="003F5A87">
          <w:rPr>
            <w:rStyle w:val="Hyperlink"/>
            <w:rFonts w:ascii="Arial" w:hAnsi="Arial" w:cs="Arial"/>
          </w:rPr>
          <w:t>https://www.cps.gov.uk/legal-guidance/disclosure-manual-chapter-3-roles-and-responsibilities</w:t>
        </w:r>
      </w:hyperlink>
    </w:p>
    <w:p w14:paraId="328A2D8E" w14:textId="77777777" w:rsidR="00C31634" w:rsidRDefault="00C31634" w:rsidP="00AB0F0A">
      <w:pPr>
        <w:spacing w:line="360" w:lineRule="auto"/>
        <w:rPr>
          <w:rFonts w:ascii="Arial" w:hAnsi="Arial" w:cs="Arial"/>
          <w:color w:val="000000" w:themeColor="text1"/>
        </w:rPr>
      </w:pPr>
    </w:p>
    <w:p w14:paraId="40AB8E53" w14:textId="77777777" w:rsidR="00C31634" w:rsidRDefault="00C31634" w:rsidP="00C31634">
      <w:pPr>
        <w:spacing w:line="360" w:lineRule="auto"/>
        <w:rPr>
          <w:rFonts w:ascii="Arial" w:hAnsi="Arial" w:cs="Arial"/>
          <w:color w:val="000000" w:themeColor="text1"/>
        </w:rPr>
      </w:pPr>
      <w:r>
        <w:rPr>
          <w:rFonts w:ascii="Arial" w:hAnsi="Arial" w:cs="Arial"/>
          <w:color w:val="000000" w:themeColor="text1"/>
        </w:rPr>
        <w:t>C</w:t>
      </w:r>
      <w:r w:rsidRPr="00DD0B09">
        <w:rPr>
          <w:rFonts w:ascii="Arial" w:hAnsi="Arial" w:cs="Arial"/>
          <w:color w:val="000000" w:themeColor="text1"/>
        </w:rPr>
        <w:t xml:space="preserve">riminal Procedure and Investigations Act 1996. (1996). </w:t>
      </w:r>
      <w:hyperlink r:id="rId9" w:history="1">
        <w:r w:rsidRPr="00DD0B09">
          <w:rPr>
            <w:rStyle w:val="Hyperlink"/>
            <w:rFonts w:ascii="Arial" w:hAnsi="Arial" w:cs="Arial"/>
            <w:color w:val="000000" w:themeColor="text1"/>
            <w:u w:val="none"/>
          </w:rPr>
          <w:t>https://www.legislation.gov.uk/ukpga/1996/25/contents</w:t>
        </w:r>
      </w:hyperlink>
    </w:p>
    <w:p w14:paraId="3B3D8211" w14:textId="77777777" w:rsidR="0085686E" w:rsidRDefault="0085686E" w:rsidP="00C31634">
      <w:pPr>
        <w:spacing w:line="360" w:lineRule="auto"/>
        <w:rPr>
          <w:rFonts w:ascii="Arial" w:hAnsi="Arial" w:cs="Arial"/>
          <w:color w:val="000000" w:themeColor="text1"/>
        </w:rPr>
      </w:pPr>
    </w:p>
    <w:p w14:paraId="25B38B9F" w14:textId="045CE610" w:rsidR="0085686E" w:rsidRPr="00540E16" w:rsidRDefault="0085686E" w:rsidP="0085686E">
      <w:pPr>
        <w:spacing w:line="360" w:lineRule="auto"/>
        <w:rPr>
          <w:rFonts w:ascii="Arial" w:hAnsi="Arial" w:cs="Arial"/>
        </w:rPr>
      </w:pPr>
      <w:r w:rsidRPr="00540E16">
        <w:rPr>
          <w:rFonts w:ascii="Arial" w:hAnsi="Arial" w:cs="Arial"/>
        </w:rPr>
        <w:t>European Union Agency for Fundamental Rights (2018) </w:t>
      </w:r>
      <w:r w:rsidRPr="00540E16">
        <w:rPr>
          <w:rFonts w:ascii="Arial" w:hAnsi="Arial" w:cs="Arial"/>
          <w:i/>
          <w:iCs/>
        </w:rPr>
        <w:t>European Convention on Human Rights - Article 6</w:t>
      </w:r>
      <w:r w:rsidRPr="00540E16">
        <w:rPr>
          <w:rFonts w:ascii="Arial" w:hAnsi="Arial" w:cs="Arial"/>
        </w:rPr>
        <w:t>. [online] European Union Agency for Fundamental Rights. Available at: https://fra.europa.eu/en/law-reference/european-convention-human-rights-article-6.</w:t>
      </w:r>
    </w:p>
    <w:p w14:paraId="74000B08" w14:textId="77777777" w:rsidR="0085686E" w:rsidRDefault="0085686E" w:rsidP="0085686E">
      <w:pPr>
        <w:spacing w:line="360" w:lineRule="auto"/>
        <w:rPr>
          <w:rFonts w:ascii="Arial" w:hAnsi="Arial" w:cs="Arial"/>
        </w:rPr>
      </w:pPr>
    </w:p>
    <w:p w14:paraId="40B41B8E" w14:textId="7AF29899" w:rsidR="0085686E" w:rsidRDefault="0085686E" w:rsidP="0085686E">
      <w:pPr>
        <w:spacing w:line="360" w:lineRule="auto"/>
        <w:rPr>
          <w:rFonts w:ascii="Arial" w:hAnsi="Arial" w:cs="Arial"/>
        </w:rPr>
      </w:pPr>
      <w:r w:rsidRPr="00540E16">
        <w:rPr>
          <w:rFonts w:ascii="Arial" w:hAnsi="Arial" w:cs="Arial"/>
        </w:rPr>
        <w:t>European Union Agency for Fundamental Rights (2018) </w:t>
      </w:r>
      <w:r w:rsidRPr="00540E16">
        <w:rPr>
          <w:rFonts w:ascii="Arial" w:hAnsi="Arial" w:cs="Arial"/>
          <w:i/>
          <w:iCs/>
        </w:rPr>
        <w:t>European Convention on Human Rights - Article 8</w:t>
      </w:r>
      <w:r w:rsidRPr="00540E16">
        <w:rPr>
          <w:rFonts w:ascii="Arial" w:hAnsi="Arial" w:cs="Arial"/>
        </w:rPr>
        <w:t>. [online] European Union Agency for Fundamental Rights. Available at: https://fra.europa.eu/en/law-reference/european-convention-human-rights-article-8-0.</w:t>
      </w:r>
    </w:p>
    <w:p w14:paraId="213FBFF3" w14:textId="77777777" w:rsidR="0085686E" w:rsidRDefault="0085686E" w:rsidP="00C31634">
      <w:pPr>
        <w:spacing w:line="360" w:lineRule="auto"/>
        <w:rPr>
          <w:rFonts w:ascii="Arial" w:hAnsi="Arial" w:cs="Arial"/>
          <w:color w:val="000000" w:themeColor="text1"/>
        </w:rPr>
      </w:pPr>
    </w:p>
    <w:p w14:paraId="2095E1F9" w14:textId="1EAEED21" w:rsidR="0085686E" w:rsidRPr="00891BA6" w:rsidRDefault="0085686E" w:rsidP="0085686E">
      <w:pPr>
        <w:spacing w:line="360" w:lineRule="auto"/>
        <w:rPr>
          <w:rFonts w:ascii="Arial" w:hAnsi="Arial" w:cs="Arial"/>
        </w:rPr>
      </w:pPr>
      <w:r w:rsidRPr="00891BA6">
        <w:rPr>
          <w:rFonts w:ascii="Arial" w:hAnsi="Arial" w:cs="Arial"/>
        </w:rPr>
        <w:t>Griffiths, C. (2022) Getting people thinking and talking: An exploration of the Attorney General’s 2020 guidelines on disclosure. </w:t>
      </w:r>
      <w:r w:rsidRPr="00891BA6">
        <w:rPr>
          <w:rFonts w:ascii="Arial" w:hAnsi="Arial" w:cs="Arial"/>
          <w:i/>
          <w:iCs/>
        </w:rPr>
        <w:t>The International Journal of Evidence &amp; Proof</w:t>
      </w:r>
      <w:r w:rsidRPr="00891BA6">
        <w:rPr>
          <w:rFonts w:ascii="Arial" w:hAnsi="Arial" w:cs="Arial"/>
        </w:rPr>
        <w:t>, 26(4), pp.359–380. doi:https://doi.org/10.1177/13657127221124362.</w:t>
      </w:r>
    </w:p>
    <w:p w14:paraId="4B30F840" w14:textId="77777777" w:rsidR="00B40DA0" w:rsidRDefault="00B40DA0" w:rsidP="00510C9F">
      <w:pPr>
        <w:spacing w:line="360" w:lineRule="auto"/>
        <w:rPr>
          <w:rFonts w:ascii="Arial" w:hAnsi="Arial" w:cs="Arial"/>
        </w:rPr>
      </w:pPr>
    </w:p>
    <w:p w14:paraId="141D8B04" w14:textId="5B865327" w:rsidR="00510C9F" w:rsidRPr="006537F1" w:rsidRDefault="00510C9F" w:rsidP="00510C9F">
      <w:pPr>
        <w:spacing w:line="360" w:lineRule="auto"/>
        <w:rPr>
          <w:rFonts w:ascii="Arial" w:hAnsi="Arial" w:cs="Arial"/>
        </w:rPr>
      </w:pPr>
      <w:r w:rsidRPr="006537F1">
        <w:rPr>
          <w:rFonts w:ascii="Arial" w:hAnsi="Arial" w:cs="Arial"/>
        </w:rPr>
        <w:t>Horsman, G. (2022) Defining principles for preserving privacy in digital forensic examinations. </w:t>
      </w:r>
      <w:r w:rsidRPr="006537F1">
        <w:rPr>
          <w:rFonts w:ascii="Arial" w:hAnsi="Arial" w:cs="Arial"/>
          <w:i/>
          <w:iCs/>
        </w:rPr>
        <w:t>Forensic Science International: Digital Investigation</w:t>
      </w:r>
      <w:r w:rsidRPr="006537F1">
        <w:rPr>
          <w:rFonts w:ascii="Arial" w:hAnsi="Arial" w:cs="Arial"/>
        </w:rPr>
        <w:t>, 40, p.301350. doi:https://doi.org/10.1016/j.fsidi.2022.301350.</w:t>
      </w:r>
    </w:p>
    <w:p w14:paraId="4B88825F" w14:textId="4E935DF0" w:rsidR="00B40DA0" w:rsidRPr="00B40DA0" w:rsidRDefault="00B40DA0" w:rsidP="00AB0F0A">
      <w:pPr>
        <w:spacing w:line="360" w:lineRule="auto"/>
        <w:rPr>
          <w:rFonts w:ascii="Arial" w:hAnsi="Arial" w:cs="Arial"/>
        </w:rPr>
      </w:pPr>
      <w:r w:rsidRPr="00B40DA0">
        <w:rPr>
          <w:rFonts w:ascii="Arial" w:hAnsi="Arial" w:cs="Arial"/>
        </w:rPr>
        <w:t>Hoyle, C. (2023) Review of wrongful convictions following police misconduct: A study of the English Criminal Cases Review Commission. </w:t>
      </w:r>
      <w:proofErr w:type="spellStart"/>
      <w:r w:rsidRPr="00B40DA0">
        <w:rPr>
          <w:rFonts w:ascii="Arial" w:hAnsi="Arial" w:cs="Arial"/>
          <w:i/>
          <w:iCs/>
        </w:rPr>
        <w:t>Monatsschrift</w:t>
      </w:r>
      <w:proofErr w:type="spellEnd"/>
      <w:r w:rsidRPr="00B40DA0">
        <w:rPr>
          <w:rFonts w:ascii="Arial" w:hAnsi="Arial" w:cs="Arial"/>
          <w:i/>
          <w:iCs/>
        </w:rPr>
        <w:t xml:space="preserve"> Fur </w:t>
      </w:r>
      <w:proofErr w:type="spellStart"/>
      <w:r w:rsidRPr="00B40DA0">
        <w:rPr>
          <w:rFonts w:ascii="Arial" w:hAnsi="Arial" w:cs="Arial"/>
          <w:i/>
          <w:iCs/>
        </w:rPr>
        <w:t>Kriminologie</w:t>
      </w:r>
      <w:proofErr w:type="spellEnd"/>
      <w:r w:rsidRPr="00B40DA0">
        <w:rPr>
          <w:rFonts w:ascii="Arial" w:hAnsi="Arial" w:cs="Arial"/>
          <w:i/>
          <w:iCs/>
        </w:rPr>
        <w:t xml:space="preserve"> Und </w:t>
      </w:r>
      <w:proofErr w:type="spellStart"/>
      <w:r w:rsidRPr="00B40DA0">
        <w:rPr>
          <w:rFonts w:ascii="Arial" w:hAnsi="Arial" w:cs="Arial"/>
          <w:i/>
          <w:iCs/>
        </w:rPr>
        <w:t>Strafrechtsreform</w:t>
      </w:r>
      <w:proofErr w:type="spellEnd"/>
      <w:r w:rsidRPr="00B40DA0">
        <w:rPr>
          <w:rFonts w:ascii="Arial" w:hAnsi="Arial" w:cs="Arial"/>
        </w:rPr>
        <w:t xml:space="preserve">, 0(0). </w:t>
      </w:r>
      <w:proofErr w:type="spellStart"/>
      <w:proofErr w:type="gramStart"/>
      <w:r w:rsidRPr="00B40DA0">
        <w:rPr>
          <w:rFonts w:ascii="Arial" w:hAnsi="Arial" w:cs="Arial"/>
        </w:rPr>
        <w:t>doi:https</w:t>
      </w:r>
      <w:proofErr w:type="spellEnd"/>
      <w:r w:rsidRPr="00B40DA0">
        <w:rPr>
          <w:rFonts w:ascii="Arial" w:hAnsi="Arial" w:cs="Arial"/>
        </w:rPr>
        <w:t>://doi.org/10.1515/mks-2023-0021</w:t>
      </w:r>
      <w:proofErr w:type="gramEnd"/>
      <w:r w:rsidRPr="00B40DA0">
        <w:rPr>
          <w:rFonts w:ascii="Arial" w:hAnsi="Arial" w:cs="Arial"/>
        </w:rPr>
        <w:t>.</w:t>
      </w:r>
    </w:p>
    <w:p w14:paraId="2C3720BA" w14:textId="77777777" w:rsidR="00B40DA0" w:rsidRDefault="00B40DA0" w:rsidP="00AB0F0A">
      <w:pPr>
        <w:spacing w:line="360" w:lineRule="auto"/>
        <w:rPr>
          <w:rFonts w:ascii="Arial" w:hAnsi="Arial" w:cs="Arial"/>
        </w:rPr>
      </w:pPr>
    </w:p>
    <w:p w14:paraId="655890B4" w14:textId="480CC039" w:rsidR="00AB0F0A" w:rsidRDefault="00AB0F0A" w:rsidP="00AB0F0A">
      <w:pPr>
        <w:spacing w:line="360" w:lineRule="auto"/>
        <w:rPr>
          <w:rFonts w:ascii="Arial" w:hAnsi="Arial" w:cs="Arial"/>
        </w:rPr>
      </w:pPr>
      <w:r w:rsidRPr="00BA79FE">
        <w:rPr>
          <w:rFonts w:ascii="Arial" w:hAnsi="Arial" w:cs="Arial"/>
        </w:rPr>
        <w:lastRenderedPageBreak/>
        <w:t>Ministry Of Justice (2020) </w:t>
      </w:r>
      <w:r w:rsidRPr="00BA79FE">
        <w:rPr>
          <w:rFonts w:ascii="Arial" w:hAnsi="Arial" w:cs="Arial"/>
          <w:i/>
          <w:iCs/>
        </w:rPr>
        <w:t>Criminal Procedure and Investigations Act 1996 (section 23(1)) Code of Practice Revised in accordance with section 25(4) of the Criminal Procedure and Investigations Act 1996 and presented to Parliament pursuant to section 25(2) of the Act</w:t>
      </w:r>
      <w:r w:rsidRPr="00BA79FE">
        <w:rPr>
          <w:rFonts w:ascii="Arial" w:hAnsi="Arial" w:cs="Arial"/>
        </w:rPr>
        <w:t>. [online] Available at: https://assets.publishing.service.gov.uk/government/uploads/system/uploads/attachment_data/file/931173/Criminal-procedure-and-investigations-act-1996.pdf.</w:t>
      </w:r>
    </w:p>
    <w:p w14:paraId="11B431FE" w14:textId="77777777" w:rsidR="00AB0F0A" w:rsidRDefault="00AB0F0A" w:rsidP="00AB0F0A">
      <w:pPr>
        <w:spacing w:line="360" w:lineRule="auto"/>
        <w:jc w:val="both"/>
        <w:rPr>
          <w:rFonts w:ascii="Arial" w:hAnsi="Arial" w:cs="Arial"/>
        </w:rPr>
      </w:pPr>
    </w:p>
    <w:p w14:paraId="48EEA6A1" w14:textId="1563FB66" w:rsidR="00AB0F0A" w:rsidRDefault="00AB0F0A" w:rsidP="007938E8">
      <w:pPr>
        <w:spacing w:line="360" w:lineRule="auto"/>
        <w:rPr>
          <w:rFonts w:ascii="Arial" w:hAnsi="Arial" w:cs="Arial"/>
        </w:rPr>
      </w:pPr>
      <w:r w:rsidRPr="00C5033A">
        <w:rPr>
          <w:rFonts w:ascii="Arial" w:hAnsi="Arial" w:cs="Arial"/>
        </w:rPr>
        <w:t>Morton, J. (2006) If I Ran the Criminal Justice System. </w:t>
      </w:r>
      <w:r w:rsidRPr="00C5033A">
        <w:rPr>
          <w:rFonts w:ascii="Arial" w:hAnsi="Arial" w:cs="Arial"/>
          <w:i/>
          <w:iCs/>
        </w:rPr>
        <w:t>The Journal of Criminal Law</w:t>
      </w:r>
      <w:r w:rsidRPr="00C5033A">
        <w:rPr>
          <w:rFonts w:ascii="Arial" w:hAnsi="Arial" w:cs="Arial"/>
        </w:rPr>
        <w:t>, 70(2), pp.93–96. doi:https://doi.org/10.1350/jcla.2006.70.2.93.</w:t>
      </w:r>
    </w:p>
    <w:p w14:paraId="067B41AA" w14:textId="77777777" w:rsidR="00AB0F0A" w:rsidRDefault="00AB0F0A" w:rsidP="00AB0F0A">
      <w:pPr>
        <w:spacing w:line="360" w:lineRule="auto"/>
        <w:jc w:val="both"/>
        <w:rPr>
          <w:rFonts w:ascii="Arial" w:hAnsi="Arial" w:cs="Arial"/>
        </w:rPr>
      </w:pPr>
    </w:p>
    <w:p w14:paraId="6A3AE143" w14:textId="5EC2BA85" w:rsidR="00B40DA0" w:rsidRDefault="00B40DA0" w:rsidP="00AB0F0A">
      <w:pPr>
        <w:spacing w:line="360" w:lineRule="auto"/>
        <w:jc w:val="both"/>
        <w:rPr>
          <w:rFonts w:ascii="Arial" w:hAnsi="Arial" w:cs="Arial"/>
        </w:rPr>
      </w:pPr>
      <w:proofErr w:type="spellStart"/>
      <w:r w:rsidRPr="00B40DA0">
        <w:rPr>
          <w:rFonts w:ascii="Arial" w:hAnsi="Arial" w:cs="Arial"/>
        </w:rPr>
        <w:t>Polykarpou</w:t>
      </w:r>
      <w:proofErr w:type="spellEnd"/>
      <w:r w:rsidRPr="00B40DA0">
        <w:rPr>
          <w:rFonts w:ascii="Arial" w:hAnsi="Arial" w:cs="Arial"/>
        </w:rPr>
        <w:t>, M. (2022) Prosecutorial and Police Disclosure Ethics in Criminal Evidence Review in the UK and the US. A Comparative Account. </w:t>
      </w:r>
      <w:r w:rsidRPr="00B40DA0">
        <w:rPr>
          <w:rFonts w:ascii="Arial" w:hAnsi="Arial" w:cs="Arial"/>
          <w:i/>
          <w:iCs/>
        </w:rPr>
        <w:t>Criminal Justice Ethics</w:t>
      </w:r>
      <w:r w:rsidRPr="00B40DA0">
        <w:rPr>
          <w:rFonts w:ascii="Arial" w:hAnsi="Arial" w:cs="Arial"/>
        </w:rPr>
        <w:t xml:space="preserve">, pp.1–17. </w:t>
      </w:r>
      <w:proofErr w:type="spellStart"/>
      <w:proofErr w:type="gramStart"/>
      <w:r w:rsidRPr="00B40DA0">
        <w:rPr>
          <w:rFonts w:ascii="Arial" w:hAnsi="Arial" w:cs="Arial"/>
        </w:rPr>
        <w:t>doi:https</w:t>
      </w:r>
      <w:proofErr w:type="spellEnd"/>
      <w:r w:rsidRPr="00B40DA0">
        <w:rPr>
          <w:rFonts w:ascii="Arial" w:hAnsi="Arial" w:cs="Arial"/>
        </w:rPr>
        <w:t>://doi.org/10.1080/0731129x.2022.2056352</w:t>
      </w:r>
      <w:proofErr w:type="gramEnd"/>
      <w:r w:rsidRPr="00B40DA0">
        <w:rPr>
          <w:rFonts w:ascii="Arial" w:hAnsi="Arial" w:cs="Arial"/>
        </w:rPr>
        <w:t>.</w:t>
      </w:r>
    </w:p>
    <w:p w14:paraId="50D7865F" w14:textId="77777777" w:rsidR="00B40DA0" w:rsidRDefault="00B40DA0" w:rsidP="00B5619B">
      <w:pPr>
        <w:spacing w:line="360" w:lineRule="auto"/>
        <w:rPr>
          <w:rFonts w:ascii="Arial" w:eastAsia="Arial" w:hAnsi="Arial" w:cs="Arial"/>
          <w:b/>
          <w:bCs/>
          <w:color w:val="000000" w:themeColor="text1"/>
          <w:sz w:val="24"/>
          <w:szCs w:val="24"/>
        </w:rPr>
      </w:pPr>
    </w:p>
    <w:p w14:paraId="1457A59D" w14:textId="5FEAA41E" w:rsidR="00B40DA0" w:rsidRPr="00B40DA0" w:rsidRDefault="00B40DA0" w:rsidP="00B40DA0">
      <w:pPr>
        <w:spacing w:line="360" w:lineRule="auto"/>
        <w:rPr>
          <w:rFonts w:ascii="Arial" w:eastAsia="Arial" w:hAnsi="Arial" w:cs="Arial"/>
          <w:color w:val="000000" w:themeColor="text1"/>
        </w:rPr>
      </w:pPr>
      <w:r w:rsidRPr="00B40DA0">
        <w:rPr>
          <w:rFonts w:ascii="Arial" w:eastAsia="Arial" w:hAnsi="Arial" w:cs="Arial"/>
          <w:color w:val="000000" w:themeColor="text1"/>
        </w:rPr>
        <w:t>www.jmw.co.uk. (n.d.). </w:t>
      </w:r>
      <w:r w:rsidRPr="00B40DA0">
        <w:rPr>
          <w:rFonts w:ascii="Arial" w:eastAsia="Arial" w:hAnsi="Arial" w:cs="Arial"/>
          <w:i/>
          <w:iCs/>
          <w:color w:val="000000" w:themeColor="text1"/>
        </w:rPr>
        <w:t>Defence Case Statements in Criminal Defence - JMW Solicitors</w:t>
      </w:r>
      <w:r w:rsidRPr="00B40DA0">
        <w:rPr>
          <w:rFonts w:ascii="Arial" w:eastAsia="Arial" w:hAnsi="Arial" w:cs="Arial"/>
          <w:color w:val="000000" w:themeColor="text1"/>
        </w:rPr>
        <w:t>. [online] Available at: https://www.jmw.co.uk/blog/business-crime/defence-case-statements-in-criminal-defence.</w:t>
      </w:r>
    </w:p>
    <w:p w14:paraId="0B1659F7" w14:textId="77777777" w:rsidR="00B40DA0" w:rsidRDefault="00B40DA0" w:rsidP="00B5619B">
      <w:pPr>
        <w:spacing w:line="360" w:lineRule="auto"/>
        <w:rPr>
          <w:rFonts w:ascii="Arial" w:eastAsia="Arial" w:hAnsi="Arial" w:cs="Arial"/>
          <w:b/>
          <w:bCs/>
          <w:color w:val="000000" w:themeColor="text1"/>
          <w:sz w:val="24"/>
          <w:szCs w:val="24"/>
        </w:rPr>
      </w:pPr>
    </w:p>
    <w:p w14:paraId="153BACBD" w14:textId="61CE19B6" w:rsidR="00DD0373" w:rsidRDefault="00C05473" w:rsidP="007A0D54">
      <w:pPr>
        <w:spacing w:line="360" w:lineRule="auto"/>
        <w:rPr>
          <w:rFonts w:ascii="Arial" w:hAnsi="Arial" w:cs="Arial"/>
          <w:b/>
          <w:bCs/>
        </w:rPr>
      </w:pPr>
      <w:r w:rsidRPr="43D343CA">
        <w:rPr>
          <w:rFonts w:ascii="Arial" w:eastAsia="Arial" w:hAnsi="Arial" w:cs="Arial"/>
          <w:b/>
          <w:bCs/>
          <w:color w:val="000000" w:themeColor="text1"/>
          <w:sz w:val="24"/>
          <w:szCs w:val="24"/>
        </w:rPr>
        <w:t>Critically explore</w:t>
      </w:r>
      <w:r w:rsidRPr="43D343CA">
        <w:rPr>
          <w:rFonts w:ascii="Arial" w:eastAsia="Arial" w:hAnsi="Arial" w:cs="Arial"/>
          <w:color w:val="000000" w:themeColor="text1"/>
          <w:sz w:val="24"/>
          <w:szCs w:val="24"/>
        </w:rPr>
        <w:t xml:space="preserve"> the challenges that disclosure presents to investigators, offering potential solutions where appropriate</w:t>
      </w:r>
      <w:r w:rsidR="007A0D54">
        <w:rPr>
          <w:rFonts w:ascii="Arial" w:eastAsia="Arial" w:hAnsi="Arial" w:cs="Arial"/>
          <w:color w:val="000000" w:themeColor="text1"/>
          <w:sz w:val="24"/>
          <w:szCs w:val="24"/>
        </w:rPr>
        <w:t>.</w:t>
      </w:r>
      <w:r w:rsidR="00862CB0">
        <w:rPr>
          <w:rFonts w:ascii="Arial" w:eastAsia="Arial" w:hAnsi="Arial" w:cs="Arial"/>
          <w:color w:val="000000" w:themeColor="text1"/>
          <w:sz w:val="24"/>
          <w:szCs w:val="24"/>
        </w:rPr>
        <w:t xml:space="preserve"> </w:t>
      </w:r>
    </w:p>
    <w:p w14:paraId="7341FAF3" w14:textId="77777777" w:rsidR="00664A11" w:rsidRPr="00664A11" w:rsidRDefault="00664A11" w:rsidP="00664A11">
      <w:pPr>
        <w:spacing w:line="360" w:lineRule="auto"/>
        <w:rPr>
          <w:rFonts w:ascii="Arial" w:hAnsi="Arial" w:cs="Arial"/>
          <w:b/>
          <w:bCs/>
        </w:rPr>
      </w:pPr>
      <w:r w:rsidRPr="00664A11">
        <w:rPr>
          <w:rFonts w:ascii="Arial" w:hAnsi="Arial" w:cs="Arial"/>
          <w:b/>
          <w:bCs/>
        </w:rPr>
        <w:t>Introduction</w:t>
      </w:r>
    </w:p>
    <w:p w14:paraId="454536A3" w14:textId="40871B73" w:rsidR="00664A11" w:rsidRPr="00664A11" w:rsidRDefault="00664A11" w:rsidP="00664A11">
      <w:pPr>
        <w:spacing w:line="360" w:lineRule="auto"/>
        <w:rPr>
          <w:rFonts w:ascii="Arial" w:hAnsi="Arial" w:cs="Arial"/>
        </w:rPr>
      </w:pPr>
      <w:r w:rsidRPr="00664A11">
        <w:rPr>
          <w:rFonts w:ascii="Arial" w:hAnsi="Arial" w:cs="Arial"/>
        </w:rPr>
        <w:t xml:space="preserve">Disclosure, the process of providing the defence with access to all material that could potentially undermine the prosecution's case or support the defence's case, is a fundamental aspect of criminal investigations that ensures fairness and transparency within the criminal justice system. However, the disclosure process presents investigators with a complex array of challenges as they strive to balance the pursuit of justice with </w:t>
      </w:r>
      <w:r w:rsidRPr="00664A11">
        <w:rPr>
          <w:rFonts w:ascii="Arial" w:hAnsi="Arial" w:cs="Arial"/>
        </w:rPr>
        <w:lastRenderedPageBreak/>
        <w:t xml:space="preserve">the need to protect sensitive information and safeguard the rights of all parties involved. This essay will delve into a critical exploration of the key challenges investigators encounter in relation to disclosure, drawing upon the high-profile </w:t>
      </w:r>
      <w:proofErr w:type="spellStart"/>
      <w:r w:rsidRPr="00664A11">
        <w:rPr>
          <w:rFonts w:ascii="Arial" w:hAnsi="Arial" w:cs="Arial"/>
        </w:rPr>
        <w:t>Encro</w:t>
      </w:r>
      <w:r w:rsidR="00D96866">
        <w:rPr>
          <w:rFonts w:ascii="Arial" w:hAnsi="Arial" w:cs="Arial"/>
        </w:rPr>
        <w:t>C</w:t>
      </w:r>
      <w:r w:rsidRPr="00664A11">
        <w:rPr>
          <w:rFonts w:ascii="Arial" w:hAnsi="Arial" w:cs="Arial"/>
        </w:rPr>
        <w:t>hat</w:t>
      </w:r>
      <w:proofErr w:type="spellEnd"/>
      <w:r w:rsidRPr="00664A11">
        <w:rPr>
          <w:rFonts w:ascii="Arial" w:hAnsi="Arial" w:cs="Arial"/>
        </w:rPr>
        <w:t xml:space="preserve"> case and my personal experience with Operation </w:t>
      </w:r>
      <w:proofErr w:type="spellStart"/>
      <w:r w:rsidRPr="00664A11">
        <w:rPr>
          <w:rFonts w:ascii="Arial" w:hAnsi="Arial" w:cs="Arial"/>
        </w:rPr>
        <w:t>Exacum</w:t>
      </w:r>
      <w:proofErr w:type="spellEnd"/>
      <w:r w:rsidRPr="00664A11">
        <w:rPr>
          <w:rFonts w:ascii="Arial" w:hAnsi="Arial" w:cs="Arial"/>
        </w:rPr>
        <w:t xml:space="preserve"> to illustrate the potential ramifications of disclosure failures and the intricate complexities of striking a balance between thorough investigative practices and the protection of privacy rights.</w:t>
      </w:r>
    </w:p>
    <w:p w14:paraId="0B4DD685" w14:textId="77777777" w:rsidR="00664A11" w:rsidRPr="00664A11" w:rsidRDefault="00664A11" w:rsidP="00664A11">
      <w:pPr>
        <w:spacing w:line="360" w:lineRule="auto"/>
        <w:rPr>
          <w:rFonts w:ascii="Arial" w:hAnsi="Arial" w:cs="Arial"/>
          <w:b/>
          <w:bCs/>
        </w:rPr>
      </w:pPr>
      <w:r w:rsidRPr="00664A11">
        <w:rPr>
          <w:rFonts w:ascii="Arial" w:hAnsi="Arial" w:cs="Arial"/>
          <w:b/>
          <w:bCs/>
        </w:rPr>
        <w:t>The Changing Landscape of Criminal Investigations</w:t>
      </w:r>
    </w:p>
    <w:p w14:paraId="442B74D9" w14:textId="77777777" w:rsidR="00664A11" w:rsidRPr="00664A11" w:rsidRDefault="00664A11" w:rsidP="00664A11">
      <w:pPr>
        <w:spacing w:line="360" w:lineRule="auto"/>
        <w:rPr>
          <w:rFonts w:ascii="Arial" w:hAnsi="Arial" w:cs="Arial"/>
        </w:rPr>
      </w:pPr>
      <w:r w:rsidRPr="00664A11">
        <w:rPr>
          <w:rFonts w:ascii="Arial" w:hAnsi="Arial" w:cs="Arial"/>
        </w:rPr>
        <w:t>The rapid expansion and advancement of digital forensics, which encompasses a wide range of devices and presents investigators with a host of new challenges, has propelled digital evidence to the forefront of criminal investigations in recent years (Anderson, Sampson and Gilroy, 2021). The exponential growth in the volume of digital data generated by individuals and organisations has fundamentally transformed the landscape of criminal investigations, necessitating investigators to adapt their approaches and acquire new skill sets to effectively manage, analyse, and disclose this ever-increasing body of evidence (Abhijith Kotasthane et al., 2022).</w:t>
      </w:r>
    </w:p>
    <w:p w14:paraId="522E7C14" w14:textId="77777777" w:rsidR="00664A11" w:rsidRPr="00664A11" w:rsidRDefault="00664A11" w:rsidP="00664A11">
      <w:pPr>
        <w:spacing w:line="360" w:lineRule="auto"/>
        <w:rPr>
          <w:rFonts w:ascii="Arial" w:hAnsi="Arial" w:cs="Arial"/>
          <w:b/>
          <w:bCs/>
        </w:rPr>
      </w:pPr>
      <w:r w:rsidRPr="00664A11">
        <w:rPr>
          <w:rFonts w:ascii="Arial" w:hAnsi="Arial" w:cs="Arial"/>
          <w:b/>
          <w:bCs/>
        </w:rPr>
        <w:t>Challenges in Digital Evidence Disclosure</w:t>
      </w:r>
    </w:p>
    <w:p w14:paraId="24F1BB8B" w14:textId="77777777" w:rsidR="00664A11" w:rsidRPr="00664A11" w:rsidRDefault="00664A11" w:rsidP="00664A11">
      <w:pPr>
        <w:spacing w:line="360" w:lineRule="auto"/>
        <w:rPr>
          <w:rFonts w:ascii="Arial" w:hAnsi="Arial" w:cs="Arial"/>
        </w:rPr>
      </w:pPr>
      <w:r w:rsidRPr="00664A11">
        <w:rPr>
          <w:rFonts w:ascii="Arial" w:hAnsi="Arial" w:cs="Arial"/>
        </w:rPr>
        <w:t>In the context of digital evidence, investigators face particularly significant challenges when it comes to disclosure. The sheer volume of data that must be processed can make the task of identifying and analysing relevant information a daunting prospect (Anderson, Sampson and Gilroy, 2021). The diverse range of devices and formats involved further complicates the process of collecting, preserving, and presenting digital evidence in a manner that is both comprehensive and easily understandable (Anderson, Sampson and Gilroy, 2021).</w:t>
      </w:r>
    </w:p>
    <w:p w14:paraId="731628A5" w14:textId="2E197817" w:rsidR="00664A11" w:rsidRPr="00664A11" w:rsidRDefault="00664A11" w:rsidP="00664A11">
      <w:pPr>
        <w:spacing w:line="360" w:lineRule="auto"/>
        <w:rPr>
          <w:rFonts w:ascii="Arial" w:hAnsi="Arial" w:cs="Arial"/>
        </w:rPr>
      </w:pPr>
      <w:r w:rsidRPr="00664A11">
        <w:rPr>
          <w:rFonts w:ascii="Arial" w:hAnsi="Arial" w:cs="Arial"/>
        </w:rPr>
        <w:t xml:space="preserve">Investigators must also grapple with the delicate balance between conducting a thorough investigation and respecting the privacy rights of individuals (Horsman, 2022), while simultaneously adhering to the principles of data protection (ICO, 2023). Anderson, Sampson and Gilroy (2021) emphasise the importance of developing </w:t>
      </w:r>
      <w:r w:rsidR="00D96866">
        <w:rPr>
          <w:rFonts w:ascii="Arial" w:hAnsi="Arial" w:cs="Arial"/>
        </w:rPr>
        <w:t>d</w:t>
      </w:r>
      <w:r w:rsidRPr="00664A11">
        <w:rPr>
          <w:rFonts w:ascii="Arial" w:hAnsi="Arial" w:cs="Arial"/>
        </w:rPr>
        <w:t xml:space="preserve">igital </w:t>
      </w:r>
      <w:r w:rsidR="00D96866">
        <w:rPr>
          <w:rFonts w:ascii="Arial" w:hAnsi="Arial" w:cs="Arial"/>
        </w:rPr>
        <w:t>e</w:t>
      </w:r>
      <w:r w:rsidRPr="00664A11">
        <w:rPr>
          <w:rFonts w:ascii="Arial" w:hAnsi="Arial" w:cs="Arial"/>
        </w:rPr>
        <w:t xml:space="preserve">vidence </w:t>
      </w:r>
      <w:r w:rsidR="00D96866">
        <w:rPr>
          <w:rFonts w:ascii="Arial" w:hAnsi="Arial" w:cs="Arial"/>
        </w:rPr>
        <w:t>s</w:t>
      </w:r>
      <w:r w:rsidRPr="00664A11">
        <w:rPr>
          <w:rFonts w:ascii="Arial" w:hAnsi="Arial" w:cs="Arial"/>
        </w:rPr>
        <w:t>trategies that establish clear parameters proportionate to the specific circumstances of each case. Such strategies play a crucial role in overcoming the challenges presented by the vast quantities of data stored on digital devices, while also ensuring that examinations remain focused and targeted.</w:t>
      </w:r>
    </w:p>
    <w:p w14:paraId="20C37D9A" w14:textId="77777777" w:rsidR="00664A11" w:rsidRPr="00664A11" w:rsidRDefault="00664A11" w:rsidP="00664A11">
      <w:pPr>
        <w:spacing w:line="360" w:lineRule="auto"/>
        <w:rPr>
          <w:rFonts w:ascii="Arial" w:hAnsi="Arial" w:cs="Arial"/>
        </w:rPr>
      </w:pPr>
      <w:r w:rsidRPr="00664A11">
        <w:rPr>
          <w:rFonts w:ascii="Arial" w:hAnsi="Arial" w:cs="Arial"/>
        </w:rPr>
        <w:lastRenderedPageBreak/>
        <w:t>The examination of devices belonging to complainants and witnesses presents a unique set of challenges for investigators. As Anderson, Sampson and Gilroy (2021) point out, there is a delicate balance to be struck between "the right of privacy of an individual" and "the suspect's right to a fair trial". To navigate this complex terrain, investigators must obtain informed consent from device owners, ensuring that they fully comprehend the nature and extent of the examination process, as well as how the extracted information will be used and shared.</w:t>
      </w:r>
    </w:p>
    <w:p w14:paraId="06B64807" w14:textId="6D0D3D9C" w:rsidR="00664A11" w:rsidRPr="00664A11" w:rsidRDefault="00664A11" w:rsidP="00664A11">
      <w:pPr>
        <w:spacing w:line="360" w:lineRule="auto"/>
        <w:rPr>
          <w:rFonts w:ascii="Arial" w:hAnsi="Arial" w:cs="Arial"/>
          <w:b/>
          <w:bCs/>
        </w:rPr>
      </w:pPr>
      <w:r w:rsidRPr="00664A11">
        <w:rPr>
          <w:rFonts w:ascii="Arial" w:hAnsi="Arial" w:cs="Arial"/>
          <w:b/>
          <w:bCs/>
        </w:rPr>
        <w:t xml:space="preserve">Operation </w:t>
      </w:r>
      <w:proofErr w:type="spellStart"/>
      <w:r w:rsidRPr="00664A11">
        <w:rPr>
          <w:rFonts w:ascii="Arial" w:hAnsi="Arial" w:cs="Arial"/>
          <w:b/>
          <w:bCs/>
        </w:rPr>
        <w:t>Exacum</w:t>
      </w:r>
      <w:proofErr w:type="spellEnd"/>
      <w:r w:rsidRPr="00664A11">
        <w:rPr>
          <w:rFonts w:ascii="Arial" w:hAnsi="Arial" w:cs="Arial"/>
          <w:b/>
          <w:bCs/>
        </w:rPr>
        <w:t>: Disclosure Challenges</w:t>
      </w:r>
    </w:p>
    <w:p w14:paraId="19F5E82C" w14:textId="77777777" w:rsidR="00664A11" w:rsidRPr="00664A11" w:rsidRDefault="00664A11" w:rsidP="00664A11">
      <w:pPr>
        <w:spacing w:line="360" w:lineRule="auto"/>
        <w:rPr>
          <w:rFonts w:ascii="Arial" w:hAnsi="Arial" w:cs="Arial"/>
        </w:rPr>
      </w:pPr>
      <w:r w:rsidRPr="00664A11">
        <w:rPr>
          <w:rFonts w:ascii="Arial" w:hAnsi="Arial" w:cs="Arial"/>
        </w:rPr>
        <w:t xml:space="preserve">Operation </w:t>
      </w:r>
      <w:proofErr w:type="spellStart"/>
      <w:r w:rsidRPr="00664A11">
        <w:rPr>
          <w:rFonts w:ascii="Arial" w:hAnsi="Arial" w:cs="Arial"/>
        </w:rPr>
        <w:t>Exacum</w:t>
      </w:r>
      <w:proofErr w:type="spellEnd"/>
      <w:r w:rsidRPr="00664A11">
        <w:rPr>
          <w:rFonts w:ascii="Arial" w:hAnsi="Arial" w:cs="Arial"/>
        </w:rPr>
        <w:t>, a multi-agency investigation undertaken in 2023 to tackle an Albanian organised crime group (OCG) involved in trafficking adults for the purpose of cannabis production, presented me with a range of disclosure challenges that exemplify the complexities investigators face in practice.</w:t>
      </w:r>
    </w:p>
    <w:p w14:paraId="557B3D94" w14:textId="46B14115" w:rsidR="00664A11" w:rsidRPr="00664A11" w:rsidRDefault="00664A11" w:rsidP="00664A11">
      <w:pPr>
        <w:spacing w:line="360" w:lineRule="auto"/>
        <w:rPr>
          <w:rFonts w:ascii="Arial" w:hAnsi="Arial" w:cs="Arial"/>
        </w:rPr>
      </w:pPr>
      <w:r w:rsidRPr="00664A11">
        <w:rPr>
          <w:rFonts w:ascii="Arial" w:hAnsi="Arial" w:cs="Arial"/>
        </w:rPr>
        <w:t xml:space="preserve">During Operation </w:t>
      </w:r>
      <w:proofErr w:type="spellStart"/>
      <w:r w:rsidRPr="00664A11">
        <w:rPr>
          <w:rFonts w:ascii="Arial" w:hAnsi="Arial" w:cs="Arial"/>
        </w:rPr>
        <w:t>Exacum</w:t>
      </w:r>
      <w:proofErr w:type="spellEnd"/>
      <w:r w:rsidRPr="00664A11">
        <w:rPr>
          <w:rFonts w:ascii="Arial" w:hAnsi="Arial" w:cs="Arial"/>
        </w:rPr>
        <w:t xml:space="preserve">, I employed the covert tactic of prison telephone interception (Legislation.GOV.UK, 2016), which yielded crucial evidence but also carried the risk of potential weaknesses if disclosed, as it could compromise the effectiveness of similar operations in the future (Loftus, </w:t>
      </w:r>
      <w:proofErr w:type="spellStart"/>
      <w:r w:rsidRPr="00664A11">
        <w:rPr>
          <w:rFonts w:ascii="Arial" w:hAnsi="Arial" w:cs="Arial"/>
        </w:rPr>
        <w:t>Feilzer</w:t>
      </w:r>
      <w:proofErr w:type="spellEnd"/>
      <w:r w:rsidRPr="00664A11">
        <w:rPr>
          <w:rFonts w:ascii="Arial" w:hAnsi="Arial" w:cs="Arial"/>
        </w:rPr>
        <w:t xml:space="preserve"> and Goold, 2024). Despite these concerns, I recognised the imperative to disclose the secured evidence to ensure a fair trial for the defendants (Brader, 2020). Through close collaboration with the assigned Crown Prosecution Service lawyer, I carefully weighed the risks and explored strategies to mitigate the potential impact of revealing the covert tactic (</w:t>
      </w:r>
      <w:hyperlink r:id="rId10" w:history="1">
        <w:r w:rsidRPr="00664A11">
          <w:rPr>
            <w:rStyle w:val="Hyperlink"/>
            <w:rFonts w:ascii="Arial" w:hAnsi="Arial" w:cs="Arial"/>
          </w:rPr>
          <w:t>www.cps.gov.uk</w:t>
        </w:r>
      </w:hyperlink>
      <w:r w:rsidRPr="00664A11">
        <w:rPr>
          <w:rFonts w:ascii="Arial" w:hAnsi="Arial" w:cs="Arial"/>
        </w:rPr>
        <w:t xml:space="preserve">, 2023), ultimately prioritising the principles of fairness and transparency in the legal proceedings (Vogel, n.d.; </w:t>
      </w:r>
      <w:proofErr w:type="spellStart"/>
      <w:r w:rsidRPr="00664A11">
        <w:rPr>
          <w:rFonts w:ascii="Arial" w:hAnsi="Arial" w:cs="Arial"/>
        </w:rPr>
        <w:t>Stoykova</w:t>
      </w:r>
      <w:proofErr w:type="spellEnd"/>
      <w:r w:rsidRPr="00664A11">
        <w:rPr>
          <w:rFonts w:ascii="Arial" w:hAnsi="Arial" w:cs="Arial"/>
        </w:rPr>
        <w:t>, 2023).</w:t>
      </w:r>
    </w:p>
    <w:p w14:paraId="4AD26C84" w14:textId="77777777" w:rsidR="00664A11" w:rsidRPr="00664A11" w:rsidRDefault="00664A11" w:rsidP="00664A11">
      <w:pPr>
        <w:spacing w:line="360" w:lineRule="auto"/>
        <w:rPr>
          <w:rFonts w:ascii="Arial" w:hAnsi="Arial" w:cs="Arial"/>
        </w:rPr>
      </w:pPr>
      <w:r w:rsidRPr="00664A11">
        <w:rPr>
          <w:rFonts w:ascii="Arial" w:hAnsi="Arial" w:cs="Arial"/>
        </w:rPr>
        <w:t xml:space="preserve">The volume and complexity of digital evidence gathered during Operation </w:t>
      </w:r>
      <w:proofErr w:type="spellStart"/>
      <w:r w:rsidRPr="00664A11">
        <w:rPr>
          <w:rFonts w:ascii="Arial" w:hAnsi="Arial" w:cs="Arial"/>
        </w:rPr>
        <w:t>Exacum</w:t>
      </w:r>
      <w:proofErr w:type="spellEnd"/>
      <w:r w:rsidRPr="00664A11">
        <w:rPr>
          <w:rFonts w:ascii="Arial" w:hAnsi="Arial" w:cs="Arial"/>
        </w:rPr>
        <w:t xml:space="preserve"> presented additional disclosure challenges, particularly due to the language barrier posed by the Albanian suspects communicating in their native tongue. To effectively sift through the vast tranche of telecommunications data, I enlisted the assistance of a qualified interpreter. While interpreters bring valuable advantages to the table, such as their deep understanding of cultural context and specialised linguistic knowledge, they also face challenges, including the potential for subjectivity in their interpretations and difficulties in documentation (Nur Fitria, 2024).</w:t>
      </w:r>
    </w:p>
    <w:p w14:paraId="7E2020E9" w14:textId="2220E193" w:rsidR="00664A11" w:rsidRPr="00664A11" w:rsidRDefault="00664A11" w:rsidP="00664A11">
      <w:pPr>
        <w:spacing w:line="360" w:lineRule="auto"/>
        <w:rPr>
          <w:rFonts w:ascii="Arial" w:hAnsi="Arial" w:cs="Arial"/>
        </w:rPr>
      </w:pPr>
      <w:r w:rsidRPr="00664A11">
        <w:rPr>
          <w:rFonts w:ascii="Arial" w:hAnsi="Arial" w:cs="Arial"/>
        </w:rPr>
        <w:t xml:space="preserve">The substantial volume of telecommunications data recovered during Operation </w:t>
      </w:r>
      <w:proofErr w:type="spellStart"/>
      <w:r w:rsidRPr="00664A11">
        <w:rPr>
          <w:rFonts w:ascii="Arial" w:hAnsi="Arial" w:cs="Arial"/>
        </w:rPr>
        <w:t>Exacum</w:t>
      </w:r>
      <w:proofErr w:type="spellEnd"/>
      <w:r w:rsidRPr="00664A11">
        <w:rPr>
          <w:rFonts w:ascii="Arial" w:hAnsi="Arial" w:cs="Arial"/>
        </w:rPr>
        <w:t xml:space="preserve"> necessitated the implementation of a rigorous process to ensure the prompt and proper review and disclosure of all relevant digital evidence to the defence while maintaining a clear chain of custody (</w:t>
      </w:r>
      <w:proofErr w:type="spellStart"/>
      <w:r w:rsidRPr="00664A11">
        <w:rPr>
          <w:rFonts w:ascii="Arial" w:hAnsi="Arial" w:cs="Arial"/>
        </w:rPr>
        <w:t>Badiye</w:t>
      </w:r>
      <w:proofErr w:type="spellEnd"/>
      <w:r w:rsidRPr="00664A11">
        <w:rPr>
          <w:rFonts w:ascii="Arial" w:hAnsi="Arial" w:cs="Arial"/>
        </w:rPr>
        <w:t xml:space="preserve">, Kapoor and Menezes, 2023). This process required meticulous collaboration with legal experts, as I recognised the critical importance </w:t>
      </w:r>
      <w:r w:rsidRPr="00664A11">
        <w:rPr>
          <w:rFonts w:ascii="Arial" w:hAnsi="Arial" w:cs="Arial"/>
        </w:rPr>
        <w:lastRenderedPageBreak/>
        <w:t>of preserving the integrity of the data to ensure the admissibility of the digital forensic evidence in the impending legal proceedings (Mahajan and Pandit, 2024).</w:t>
      </w:r>
    </w:p>
    <w:p w14:paraId="319B848E" w14:textId="7F267078" w:rsidR="00664A11" w:rsidRPr="00664A11" w:rsidRDefault="00664A11" w:rsidP="00664A11">
      <w:pPr>
        <w:spacing w:line="360" w:lineRule="auto"/>
        <w:rPr>
          <w:rFonts w:ascii="Arial" w:hAnsi="Arial" w:cs="Arial"/>
          <w:b/>
          <w:bCs/>
        </w:rPr>
      </w:pPr>
      <w:r w:rsidRPr="00664A11">
        <w:rPr>
          <w:rFonts w:ascii="Arial" w:hAnsi="Arial" w:cs="Arial"/>
          <w:b/>
          <w:bCs/>
        </w:rPr>
        <w:t>Balancing Investigative Thoroughness and Privacy</w:t>
      </w:r>
    </w:p>
    <w:p w14:paraId="36390371" w14:textId="11CE27F6" w:rsidR="00664A11" w:rsidRPr="00664A11" w:rsidRDefault="00664A11" w:rsidP="00664A11">
      <w:pPr>
        <w:spacing w:line="360" w:lineRule="auto"/>
        <w:rPr>
          <w:rFonts w:ascii="Arial" w:hAnsi="Arial" w:cs="Arial"/>
        </w:rPr>
      </w:pPr>
      <w:proofErr w:type="spellStart"/>
      <w:r w:rsidRPr="00664A11">
        <w:rPr>
          <w:rFonts w:ascii="Arial" w:hAnsi="Arial" w:cs="Arial"/>
        </w:rPr>
        <w:t>Stoykova</w:t>
      </w:r>
      <w:proofErr w:type="spellEnd"/>
      <w:r w:rsidRPr="00664A11">
        <w:rPr>
          <w:rFonts w:ascii="Arial" w:hAnsi="Arial" w:cs="Arial"/>
        </w:rPr>
        <w:t xml:space="preserve"> (2023) sheds light on the challenges inherent in striking a balance between investigative thoroughness and the protection of privacy rights in the context of digital investigations. The </w:t>
      </w:r>
      <w:proofErr w:type="spellStart"/>
      <w:r w:rsidRPr="00664A11">
        <w:rPr>
          <w:rFonts w:ascii="Arial" w:hAnsi="Arial" w:cs="Arial"/>
        </w:rPr>
        <w:t>Encro</w:t>
      </w:r>
      <w:r w:rsidR="00D96866">
        <w:rPr>
          <w:rFonts w:ascii="Arial" w:hAnsi="Arial" w:cs="Arial"/>
        </w:rPr>
        <w:t>C</w:t>
      </w:r>
      <w:r w:rsidRPr="00664A11">
        <w:rPr>
          <w:rFonts w:ascii="Arial" w:hAnsi="Arial" w:cs="Arial"/>
        </w:rPr>
        <w:t>hat</w:t>
      </w:r>
      <w:proofErr w:type="spellEnd"/>
      <w:r w:rsidRPr="00664A11">
        <w:rPr>
          <w:rFonts w:ascii="Arial" w:hAnsi="Arial" w:cs="Arial"/>
        </w:rPr>
        <w:t xml:space="preserve"> case serves as a prime example, where questions were raised about the proportionality of intercepting data from thousands of encrypted phones, given the possibility that a significant number of the affected individuals may have been using the service for legitimate purposes, such as safeguarding their privacy. To address these challenges, </w:t>
      </w:r>
      <w:proofErr w:type="spellStart"/>
      <w:r w:rsidRPr="00664A11">
        <w:rPr>
          <w:rFonts w:ascii="Arial" w:hAnsi="Arial" w:cs="Arial"/>
        </w:rPr>
        <w:t>Stoykova</w:t>
      </w:r>
      <w:proofErr w:type="spellEnd"/>
      <w:r w:rsidRPr="00664A11">
        <w:rPr>
          <w:rFonts w:ascii="Arial" w:hAnsi="Arial" w:cs="Arial"/>
        </w:rPr>
        <w:t xml:space="preserve"> (2023) underscores the importance of developing effective digital evidence strategies that establish clear parameters proportionate to the facts of each case. These strategies are essential for overcoming the challenges posed by the vast quantities of data stored on digital devices while ensuring that examinations remain targeted and proportionate.</w:t>
      </w:r>
    </w:p>
    <w:p w14:paraId="4445E74F" w14:textId="77777777" w:rsidR="00664A11" w:rsidRPr="00664A11" w:rsidRDefault="00664A11" w:rsidP="00664A11">
      <w:pPr>
        <w:spacing w:line="360" w:lineRule="auto"/>
        <w:rPr>
          <w:rFonts w:ascii="Arial" w:hAnsi="Arial" w:cs="Arial"/>
        </w:rPr>
      </w:pPr>
      <w:r w:rsidRPr="00664A11">
        <w:rPr>
          <w:rFonts w:ascii="Arial" w:hAnsi="Arial" w:cs="Arial"/>
        </w:rPr>
        <w:t xml:space="preserve">Mindful of the concerns raised by </w:t>
      </w:r>
      <w:proofErr w:type="spellStart"/>
      <w:r w:rsidRPr="00664A11">
        <w:rPr>
          <w:rFonts w:ascii="Arial" w:hAnsi="Arial" w:cs="Arial"/>
        </w:rPr>
        <w:t>Stoykova</w:t>
      </w:r>
      <w:proofErr w:type="spellEnd"/>
      <w:r w:rsidRPr="00664A11">
        <w:rPr>
          <w:rFonts w:ascii="Arial" w:hAnsi="Arial" w:cs="Arial"/>
        </w:rPr>
        <w:t xml:space="preserve"> (2023), I took great care during Operation </w:t>
      </w:r>
      <w:proofErr w:type="spellStart"/>
      <w:r w:rsidRPr="00664A11">
        <w:rPr>
          <w:rFonts w:ascii="Arial" w:hAnsi="Arial" w:cs="Arial"/>
        </w:rPr>
        <w:t>Exacum</w:t>
      </w:r>
      <w:proofErr w:type="spellEnd"/>
      <w:r w:rsidRPr="00664A11">
        <w:rPr>
          <w:rFonts w:ascii="Arial" w:hAnsi="Arial" w:cs="Arial"/>
        </w:rPr>
        <w:t xml:space="preserve"> to ensure that only targeted and proportionate examinations were conducted, avoiding any inadvertent intrusion into the realm of private communications unconnected to the offences under investigation. To this end, I sought the advice of experienced colleagues who had previously investigated similar cases (HMICFRS, 2025) and paid close attention to text messages that appeared to be written in code or seemed incoherent at first glance (Csofs.org, 2025).</w:t>
      </w:r>
    </w:p>
    <w:p w14:paraId="48C792B2" w14:textId="77777777" w:rsidR="00664A11" w:rsidRPr="00664A11" w:rsidRDefault="00664A11" w:rsidP="00664A11">
      <w:pPr>
        <w:spacing w:line="360" w:lineRule="auto"/>
        <w:rPr>
          <w:rFonts w:ascii="Arial" w:hAnsi="Arial" w:cs="Arial"/>
          <w:b/>
          <w:bCs/>
        </w:rPr>
      </w:pPr>
      <w:r w:rsidRPr="00664A11">
        <w:rPr>
          <w:rFonts w:ascii="Arial" w:hAnsi="Arial" w:cs="Arial"/>
          <w:b/>
          <w:bCs/>
        </w:rPr>
        <w:t>Reasonable Lines of Inquiry (RLOI)</w:t>
      </w:r>
    </w:p>
    <w:p w14:paraId="2B539E11" w14:textId="77777777" w:rsidR="00664A11" w:rsidRPr="00664A11" w:rsidRDefault="00664A11" w:rsidP="00664A11">
      <w:pPr>
        <w:spacing w:line="360" w:lineRule="auto"/>
        <w:rPr>
          <w:rFonts w:ascii="Arial" w:hAnsi="Arial" w:cs="Arial"/>
        </w:rPr>
      </w:pPr>
      <w:r w:rsidRPr="00664A11">
        <w:rPr>
          <w:rFonts w:ascii="Arial" w:hAnsi="Arial" w:cs="Arial"/>
        </w:rPr>
        <w:t xml:space="preserve">Operation </w:t>
      </w:r>
      <w:proofErr w:type="spellStart"/>
      <w:r w:rsidRPr="00664A11">
        <w:rPr>
          <w:rFonts w:ascii="Arial" w:hAnsi="Arial" w:cs="Arial"/>
        </w:rPr>
        <w:t>Exacum</w:t>
      </w:r>
      <w:proofErr w:type="spellEnd"/>
      <w:r w:rsidRPr="00664A11">
        <w:rPr>
          <w:rFonts w:ascii="Arial" w:hAnsi="Arial" w:cs="Arial"/>
        </w:rPr>
        <w:t xml:space="preserve"> generated a substantial number of reasonable lines of inquiry, which presented me with additional disclosure challenges inextricably linked to the communications evidence I had recovered. The CPS disclosure manual emphasises the imperative for investigators to thoroughly document their decision-making process when determining reasonable lines of inquiry and handling third-party material. This documentation should include a comprehensive record of the rationale behind any decisions to pursue requests for information from third parties (CPS, 2022).</w:t>
      </w:r>
    </w:p>
    <w:p w14:paraId="41E3BF21" w14:textId="77777777" w:rsidR="00664A11" w:rsidRPr="00664A11" w:rsidRDefault="00664A11" w:rsidP="00664A11">
      <w:pPr>
        <w:spacing w:line="360" w:lineRule="auto"/>
        <w:rPr>
          <w:rFonts w:ascii="Arial" w:hAnsi="Arial" w:cs="Arial"/>
        </w:rPr>
      </w:pPr>
      <w:r w:rsidRPr="00664A11">
        <w:rPr>
          <w:rFonts w:ascii="Arial" w:hAnsi="Arial" w:cs="Arial"/>
        </w:rPr>
        <w:lastRenderedPageBreak/>
        <w:t xml:space="preserve">One of the primary challenges I encountered during Operation </w:t>
      </w:r>
      <w:proofErr w:type="spellStart"/>
      <w:r w:rsidRPr="00664A11">
        <w:rPr>
          <w:rFonts w:ascii="Arial" w:hAnsi="Arial" w:cs="Arial"/>
        </w:rPr>
        <w:t>Exacum</w:t>
      </w:r>
      <w:proofErr w:type="spellEnd"/>
      <w:r w:rsidRPr="00664A11">
        <w:rPr>
          <w:rFonts w:ascii="Arial" w:hAnsi="Arial" w:cs="Arial"/>
        </w:rPr>
        <w:t xml:space="preserve"> was the fact that while multiple reasonable lines of inquiry required investigation, I did not have access to the staffing levels necessary to adequately pursue </w:t>
      </w:r>
      <w:proofErr w:type="gramStart"/>
      <w:r w:rsidRPr="00664A11">
        <w:rPr>
          <w:rFonts w:ascii="Arial" w:hAnsi="Arial" w:cs="Arial"/>
        </w:rPr>
        <w:t>all of</w:t>
      </w:r>
      <w:proofErr w:type="gramEnd"/>
      <w:r w:rsidRPr="00664A11">
        <w:rPr>
          <w:rFonts w:ascii="Arial" w:hAnsi="Arial" w:cs="Arial"/>
        </w:rPr>
        <w:t xml:space="preserve"> the identified RLOIs. In hindsight, the Holmes computerised database, which is commonly used in major crime investigations that involve processing large amounts of data (Oxford Reference, 2025), should have been considered and potentially utilised during the operation.</w:t>
      </w:r>
    </w:p>
    <w:p w14:paraId="59281D5E" w14:textId="77777777" w:rsidR="00664A11" w:rsidRPr="00664A11" w:rsidRDefault="00664A11" w:rsidP="00664A11">
      <w:pPr>
        <w:spacing w:line="360" w:lineRule="auto"/>
        <w:rPr>
          <w:rFonts w:ascii="Arial" w:hAnsi="Arial" w:cs="Arial"/>
        </w:rPr>
      </w:pPr>
      <w:r w:rsidRPr="00664A11">
        <w:rPr>
          <w:rFonts w:ascii="Arial" w:hAnsi="Arial" w:cs="Arial"/>
        </w:rPr>
        <w:t>Horsman (2022) provides a detailed examination of the concept of reasonable lines of inquiry (RLOI) in the context of digital investigations, highlighting both the strengths and weaknesses of this approach. On the one hand, the RLOI model offers a structured framework for conducting digital investigations, promoting efficiency, consistency, and legal defensibility. By adhering to the RLOI framework, investigators can focus their efforts on the most relevant data, reducing the risk of error or misinterpretation that may arise from processing excessive amounts of irrelevant information. On the other hand, Horsman (2022) acknowledges the challenges posed by the inherent subjectivity in determining what constitutes a "reasonable" line of inquiry, as well as the technical complexity of digital evidence, which may lead to inconsistency in approach or the potential for missing important evidence.</w:t>
      </w:r>
    </w:p>
    <w:p w14:paraId="72FB8AD1" w14:textId="77777777" w:rsidR="00664A11" w:rsidRPr="00664A11" w:rsidRDefault="00664A11" w:rsidP="00664A11">
      <w:pPr>
        <w:spacing w:line="360" w:lineRule="auto"/>
        <w:rPr>
          <w:rFonts w:ascii="Arial" w:hAnsi="Arial" w:cs="Arial"/>
          <w:b/>
          <w:bCs/>
        </w:rPr>
      </w:pPr>
      <w:r w:rsidRPr="00664A11">
        <w:rPr>
          <w:rFonts w:ascii="Arial" w:hAnsi="Arial" w:cs="Arial"/>
          <w:b/>
          <w:bCs/>
        </w:rPr>
        <w:t>Conclusion</w:t>
      </w:r>
    </w:p>
    <w:p w14:paraId="1861A196" w14:textId="77777777" w:rsidR="00DC2113" w:rsidRPr="00664A11" w:rsidRDefault="00DC2113" w:rsidP="00DC2113">
      <w:pPr>
        <w:spacing w:line="360" w:lineRule="auto"/>
        <w:rPr>
          <w:rFonts w:ascii="Arial" w:hAnsi="Arial" w:cs="Arial"/>
        </w:rPr>
      </w:pPr>
      <w:r w:rsidRPr="00664A11">
        <w:rPr>
          <w:rFonts w:ascii="Arial" w:hAnsi="Arial" w:cs="Arial"/>
        </w:rPr>
        <w:t>Disclosure presents investigators with complex challenges, particularly with the increasing volume and importance of digital evidence. Balancing the pursuit of justice with protecting sensitive information and individual rights requires careful navigation.</w:t>
      </w:r>
    </w:p>
    <w:p w14:paraId="7480BCCC" w14:textId="77777777" w:rsidR="00DC2113" w:rsidRPr="00664A11" w:rsidRDefault="00DC2113" w:rsidP="00DC2113">
      <w:pPr>
        <w:spacing w:line="360" w:lineRule="auto"/>
        <w:rPr>
          <w:rFonts w:ascii="Arial" w:hAnsi="Arial" w:cs="Arial"/>
        </w:rPr>
      </w:pPr>
      <w:r w:rsidRPr="00664A11">
        <w:rPr>
          <w:rFonts w:ascii="Arial" w:hAnsi="Arial" w:cs="Arial"/>
        </w:rPr>
        <w:t xml:space="preserve">Operation </w:t>
      </w:r>
      <w:proofErr w:type="spellStart"/>
      <w:r w:rsidRPr="00664A11">
        <w:rPr>
          <w:rFonts w:ascii="Arial" w:hAnsi="Arial" w:cs="Arial"/>
        </w:rPr>
        <w:t>Exacum</w:t>
      </w:r>
      <w:proofErr w:type="spellEnd"/>
      <w:r w:rsidRPr="00664A11">
        <w:rPr>
          <w:rFonts w:ascii="Arial" w:hAnsi="Arial" w:cs="Arial"/>
        </w:rPr>
        <w:t xml:space="preserve"> illustrated the multifaceted challenges investigators face, from handling covert tactics and language barriers to maintaining data integrity and managing RLOIs with limited resources. Implementing rigorous processes, collaborating with legal experts, using interpreters, and ensuring targeted, proportionate examinations were key strategies employed.</w:t>
      </w:r>
    </w:p>
    <w:p w14:paraId="09D7DEFD" w14:textId="77777777" w:rsidR="00DC2113" w:rsidRPr="00664A11" w:rsidRDefault="00DC2113" w:rsidP="00DC2113">
      <w:pPr>
        <w:spacing w:line="360" w:lineRule="auto"/>
        <w:rPr>
          <w:rFonts w:ascii="Arial" w:hAnsi="Arial" w:cs="Arial"/>
        </w:rPr>
      </w:pPr>
      <w:r w:rsidRPr="00664A11">
        <w:rPr>
          <w:rFonts w:ascii="Arial" w:hAnsi="Arial" w:cs="Arial"/>
        </w:rPr>
        <w:t>As criminal investigations evolve in the digital age, developing clear guidelines, standards, and tools is essential to support investigators in making consistent, defensible disclosure decisions. Ongoing research and collaboration among legal, forensic, and law enforcement professionals is crucial to refine best practices and address the ever-changing challenges posed by digital evidence. By balancing the pursuit of justice with protecting individual rights, investigators can help ensure the fairness, transparency, and integrity of the criminal justice system in an increasingly complex, data-driven world.</w:t>
      </w:r>
    </w:p>
    <w:p w14:paraId="47220776" w14:textId="177AE8A9" w:rsidR="00664A11" w:rsidRPr="00664A11" w:rsidRDefault="00664A11" w:rsidP="00664A11">
      <w:pPr>
        <w:spacing w:line="360" w:lineRule="auto"/>
        <w:rPr>
          <w:rFonts w:ascii="Arial" w:hAnsi="Arial" w:cs="Arial"/>
          <w:b/>
          <w:bCs/>
        </w:rPr>
      </w:pPr>
      <w:r w:rsidRPr="00664A11">
        <w:rPr>
          <w:rFonts w:ascii="Arial" w:hAnsi="Arial" w:cs="Arial"/>
          <w:b/>
          <w:bCs/>
        </w:rPr>
        <w:lastRenderedPageBreak/>
        <w:t xml:space="preserve">Words </w:t>
      </w:r>
      <w:r w:rsidR="00DC2113">
        <w:rPr>
          <w:rFonts w:ascii="Arial" w:hAnsi="Arial" w:cs="Arial"/>
          <w:b/>
          <w:bCs/>
        </w:rPr>
        <w:t>– 1,475</w:t>
      </w:r>
      <w:r w:rsidRPr="00664A11">
        <w:rPr>
          <w:rFonts w:ascii="Arial" w:hAnsi="Arial" w:cs="Arial"/>
          <w:b/>
          <w:bCs/>
        </w:rPr>
        <w:t xml:space="preserve"> </w:t>
      </w:r>
    </w:p>
    <w:p w14:paraId="1B282B5A" w14:textId="77777777" w:rsidR="00AB0F0A" w:rsidRDefault="00AB0F0A" w:rsidP="00123A87">
      <w:pPr>
        <w:spacing w:line="360" w:lineRule="auto"/>
        <w:rPr>
          <w:rFonts w:ascii="Arial" w:hAnsi="Arial" w:cs="Arial"/>
          <w:b/>
          <w:bCs/>
        </w:rPr>
      </w:pPr>
      <w:r>
        <w:rPr>
          <w:rFonts w:ascii="Arial" w:hAnsi="Arial" w:cs="Arial"/>
          <w:b/>
          <w:bCs/>
        </w:rPr>
        <w:t>Reference</w:t>
      </w:r>
    </w:p>
    <w:p w14:paraId="39D4917D" w14:textId="240E031B" w:rsidR="00627C2C" w:rsidRDefault="00627C2C" w:rsidP="00AB0F0A">
      <w:pPr>
        <w:spacing w:line="360" w:lineRule="auto"/>
        <w:rPr>
          <w:rFonts w:ascii="Arial" w:hAnsi="Arial" w:cs="Arial"/>
          <w:color w:val="000000" w:themeColor="text1"/>
        </w:rPr>
      </w:pPr>
      <w:r w:rsidRPr="00627C2C">
        <w:rPr>
          <w:rFonts w:ascii="Arial" w:hAnsi="Arial" w:cs="Arial"/>
          <w:color w:val="000000" w:themeColor="text1"/>
        </w:rPr>
        <w:t>Abhijith Kotasthane, Khare, A., Bapat Gaurav Sunil, Pradnya Kashikar, S Suhas and Khullar, S. (2022). Advanced Intuitive Model for Digital Forensics Collection Methods in the Context of Cloud Computing and IoT. </w:t>
      </w:r>
      <w:r w:rsidRPr="00627C2C">
        <w:rPr>
          <w:rFonts w:ascii="Arial" w:hAnsi="Arial" w:cs="Arial"/>
          <w:i/>
          <w:iCs/>
          <w:color w:val="000000" w:themeColor="text1"/>
        </w:rPr>
        <w:t>International Journal for Research in Applied Science and Engineering Technology</w:t>
      </w:r>
      <w:r w:rsidRPr="00627C2C">
        <w:rPr>
          <w:rFonts w:ascii="Arial" w:hAnsi="Arial" w:cs="Arial"/>
          <w:color w:val="000000" w:themeColor="text1"/>
        </w:rPr>
        <w:t xml:space="preserve">, 10(12), pp.2131–2140. </w:t>
      </w:r>
      <w:proofErr w:type="spellStart"/>
      <w:proofErr w:type="gramStart"/>
      <w:r w:rsidRPr="00627C2C">
        <w:rPr>
          <w:rFonts w:ascii="Arial" w:hAnsi="Arial" w:cs="Arial"/>
          <w:color w:val="000000" w:themeColor="text1"/>
        </w:rPr>
        <w:t>doi:https</w:t>
      </w:r>
      <w:proofErr w:type="spellEnd"/>
      <w:r w:rsidRPr="00627C2C">
        <w:rPr>
          <w:rFonts w:ascii="Arial" w:hAnsi="Arial" w:cs="Arial"/>
          <w:color w:val="000000" w:themeColor="text1"/>
        </w:rPr>
        <w:t>://doi.org/10.22214/ijraset.2022.48426</w:t>
      </w:r>
      <w:proofErr w:type="gramEnd"/>
      <w:r w:rsidRPr="00627C2C">
        <w:rPr>
          <w:rFonts w:ascii="Arial" w:hAnsi="Arial" w:cs="Arial"/>
          <w:color w:val="000000" w:themeColor="text1"/>
        </w:rPr>
        <w:t>.</w:t>
      </w:r>
    </w:p>
    <w:p w14:paraId="6F13CABF" w14:textId="68204A70" w:rsidR="00AB0F0A" w:rsidRDefault="00AB0F0A" w:rsidP="00AB0F0A">
      <w:pPr>
        <w:spacing w:line="360" w:lineRule="auto"/>
        <w:rPr>
          <w:rFonts w:ascii="Arial" w:hAnsi="Arial" w:cs="Arial"/>
          <w:color w:val="000000" w:themeColor="text1"/>
        </w:rPr>
      </w:pPr>
      <w:r w:rsidRPr="002320E5">
        <w:rPr>
          <w:rFonts w:ascii="Arial" w:hAnsi="Arial" w:cs="Arial"/>
          <w:color w:val="000000" w:themeColor="text1"/>
        </w:rPr>
        <w:t>Anderson, P., Sampson, D. and Gilroy, S. (2021) Digital investigations: relevance and confidence in disclosure. </w:t>
      </w:r>
      <w:r w:rsidRPr="002320E5">
        <w:rPr>
          <w:rFonts w:ascii="Arial" w:hAnsi="Arial" w:cs="Arial"/>
          <w:i/>
          <w:iCs/>
          <w:color w:val="000000" w:themeColor="text1"/>
        </w:rPr>
        <w:t>ERA Forum</w:t>
      </w:r>
      <w:r w:rsidRPr="002320E5">
        <w:rPr>
          <w:rFonts w:ascii="Arial" w:hAnsi="Arial" w:cs="Arial"/>
          <w:color w:val="000000" w:themeColor="text1"/>
        </w:rPr>
        <w:t>, 22. doi:https://doi.org/10.1007/s12027-021-00687-1.</w:t>
      </w:r>
    </w:p>
    <w:p w14:paraId="1F310856" w14:textId="77777777" w:rsidR="00823C9F" w:rsidRDefault="00823C9F" w:rsidP="00AB0F0A">
      <w:pPr>
        <w:spacing w:line="360" w:lineRule="auto"/>
        <w:rPr>
          <w:rFonts w:ascii="Arial" w:hAnsi="Arial" w:cs="Arial"/>
        </w:rPr>
      </w:pPr>
    </w:p>
    <w:p w14:paraId="22F288A9" w14:textId="5AFE029E" w:rsidR="00823C9F" w:rsidRDefault="00823C9F" w:rsidP="00AB0F0A">
      <w:pPr>
        <w:spacing w:line="360" w:lineRule="auto"/>
        <w:rPr>
          <w:rFonts w:ascii="Arial" w:hAnsi="Arial" w:cs="Arial"/>
        </w:rPr>
      </w:pPr>
      <w:proofErr w:type="spellStart"/>
      <w:r w:rsidRPr="00823C9F">
        <w:rPr>
          <w:rFonts w:ascii="Arial" w:hAnsi="Arial" w:cs="Arial"/>
        </w:rPr>
        <w:t>Badiye</w:t>
      </w:r>
      <w:proofErr w:type="spellEnd"/>
      <w:r w:rsidRPr="00823C9F">
        <w:rPr>
          <w:rFonts w:ascii="Arial" w:hAnsi="Arial" w:cs="Arial"/>
        </w:rPr>
        <w:t xml:space="preserve">, A., Kapoor, N. and Menezes, R.G., </w:t>
      </w:r>
      <w:r>
        <w:rPr>
          <w:rFonts w:ascii="Arial" w:hAnsi="Arial" w:cs="Arial"/>
        </w:rPr>
        <w:t>(</w:t>
      </w:r>
      <w:r w:rsidRPr="00823C9F">
        <w:rPr>
          <w:rFonts w:ascii="Arial" w:hAnsi="Arial" w:cs="Arial"/>
        </w:rPr>
        <w:t>2023</w:t>
      </w:r>
      <w:r>
        <w:rPr>
          <w:rFonts w:ascii="Arial" w:hAnsi="Arial" w:cs="Arial"/>
        </w:rPr>
        <w:t>)</w:t>
      </w:r>
      <w:r w:rsidRPr="00823C9F">
        <w:rPr>
          <w:rFonts w:ascii="Arial" w:hAnsi="Arial" w:cs="Arial"/>
        </w:rPr>
        <w:t xml:space="preserve"> Chain of custody. In </w:t>
      </w:r>
      <w:proofErr w:type="spellStart"/>
      <w:r w:rsidRPr="00823C9F">
        <w:rPr>
          <w:rFonts w:ascii="Arial" w:hAnsi="Arial" w:cs="Arial"/>
          <w:i/>
          <w:iCs/>
        </w:rPr>
        <w:t>StatPearls</w:t>
      </w:r>
      <w:proofErr w:type="spellEnd"/>
      <w:r w:rsidRPr="00823C9F">
        <w:rPr>
          <w:rFonts w:ascii="Arial" w:hAnsi="Arial" w:cs="Arial"/>
          <w:i/>
          <w:iCs/>
        </w:rPr>
        <w:t xml:space="preserve"> [Internet]</w:t>
      </w:r>
      <w:r w:rsidRPr="00823C9F">
        <w:rPr>
          <w:rFonts w:ascii="Arial" w:hAnsi="Arial" w:cs="Arial"/>
        </w:rPr>
        <w:t xml:space="preserve">. </w:t>
      </w:r>
      <w:proofErr w:type="spellStart"/>
      <w:r w:rsidRPr="00823C9F">
        <w:rPr>
          <w:rFonts w:ascii="Arial" w:hAnsi="Arial" w:cs="Arial"/>
        </w:rPr>
        <w:t>StatPearls</w:t>
      </w:r>
      <w:proofErr w:type="spellEnd"/>
      <w:r w:rsidRPr="00823C9F">
        <w:rPr>
          <w:rFonts w:ascii="Arial" w:hAnsi="Arial" w:cs="Arial"/>
        </w:rPr>
        <w:t xml:space="preserve"> Publishing.</w:t>
      </w:r>
    </w:p>
    <w:p w14:paraId="69331E19" w14:textId="77777777" w:rsidR="00823C9F" w:rsidRDefault="00823C9F" w:rsidP="00AB0F0A">
      <w:pPr>
        <w:spacing w:line="360" w:lineRule="auto"/>
        <w:rPr>
          <w:rFonts w:ascii="Arial" w:hAnsi="Arial" w:cs="Arial"/>
        </w:rPr>
      </w:pPr>
    </w:p>
    <w:p w14:paraId="20D1E410" w14:textId="3CB68D5C" w:rsidR="005051A9" w:rsidRDefault="005051A9" w:rsidP="00AB0F0A">
      <w:pPr>
        <w:spacing w:line="360" w:lineRule="auto"/>
        <w:rPr>
          <w:rFonts w:ascii="Arial" w:hAnsi="Arial" w:cs="Arial"/>
        </w:rPr>
      </w:pPr>
      <w:r w:rsidRPr="005051A9">
        <w:rPr>
          <w:rFonts w:ascii="Arial" w:hAnsi="Arial" w:cs="Arial"/>
        </w:rPr>
        <w:t>Csofs.org. (2025). </w:t>
      </w:r>
      <w:r w:rsidRPr="005051A9">
        <w:rPr>
          <w:rFonts w:ascii="Arial" w:hAnsi="Arial" w:cs="Arial"/>
          <w:i/>
          <w:iCs/>
        </w:rPr>
        <w:t>The Chartered Society of Forensic Sciences</w:t>
      </w:r>
      <w:r w:rsidRPr="005051A9">
        <w:rPr>
          <w:rFonts w:ascii="Arial" w:hAnsi="Arial" w:cs="Arial"/>
        </w:rPr>
        <w:t>. [online] Available at: https://members.csofs.org/blog/view/Codes__Secret_Communications_4fX [Accessed 2 May 2025].</w:t>
      </w:r>
    </w:p>
    <w:p w14:paraId="6323E106" w14:textId="77777777" w:rsidR="005051A9" w:rsidRDefault="005051A9" w:rsidP="00AB0F0A">
      <w:pPr>
        <w:spacing w:line="360" w:lineRule="auto"/>
        <w:rPr>
          <w:rFonts w:ascii="Arial" w:hAnsi="Arial" w:cs="Arial"/>
        </w:rPr>
      </w:pPr>
    </w:p>
    <w:p w14:paraId="3844F954" w14:textId="1ABD16E4" w:rsidR="00AB0F0A" w:rsidRPr="00342858" w:rsidRDefault="00AB0F0A" w:rsidP="00AB0F0A">
      <w:pPr>
        <w:spacing w:line="360" w:lineRule="auto"/>
        <w:rPr>
          <w:rFonts w:ascii="Arial" w:hAnsi="Arial" w:cs="Arial"/>
        </w:rPr>
      </w:pPr>
      <w:r w:rsidRPr="00342858">
        <w:rPr>
          <w:rFonts w:ascii="Arial" w:hAnsi="Arial" w:cs="Arial"/>
        </w:rPr>
        <w:t>Griffiths, C. (2022) Getting people thinking and talking: An exploration of the Attorney General’s 2020 guidelines on disclosure. </w:t>
      </w:r>
      <w:r w:rsidRPr="00342858">
        <w:rPr>
          <w:rFonts w:ascii="Arial" w:hAnsi="Arial" w:cs="Arial"/>
          <w:i/>
          <w:iCs/>
        </w:rPr>
        <w:t>The International Journal of Evidence &amp; Proof</w:t>
      </w:r>
      <w:r w:rsidRPr="00342858">
        <w:rPr>
          <w:rFonts w:ascii="Arial" w:hAnsi="Arial" w:cs="Arial"/>
        </w:rPr>
        <w:t>, 26(4), pp.359–380. doi:https://doi.org/10.1177/13657127221124362.</w:t>
      </w:r>
    </w:p>
    <w:p w14:paraId="491DE9C6" w14:textId="77777777" w:rsidR="00AB0F0A" w:rsidRDefault="00AB0F0A" w:rsidP="00AB0F0A">
      <w:pPr>
        <w:spacing w:line="360" w:lineRule="auto"/>
        <w:rPr>
          <w:rFonts w:ascii="Arial" w:hAnsi="Arial" w:cs="Arial"/>
        </w:rPr>
      </w:pPr>
    </w:p>
    <w:p w14:paraId="7565AF86" w14:textId="5A5707AB" w:rsidR="00DB1F7A" w:rsidRDefault="00DB1F7A" w:rsidP="00AB0F0A">
      <w:pPr>
        <w:spacing w:line="360" w:lineRule="auto"/>
        <w:rPr>
          <w:rFonts w:ascii="Arial" w:hAnsi="Arial" w:cs="Arial"/>
        </w:rPr>
      </w:pPr>
      <w:r w:rsidRPr="00DB1F7A">
        <w:rPr>
          <w:rFonts w:ascii="Arial" w:hAnsi="Arial" w:cs="Arial"/>
        </w:rPr>
        <w:t>HMICFRS (2025). </w:t>
      </w:r>
      <w:r w:rsidRPr="00DB1F7A">
        <w:rPr>
          <w:rFonts w:ascii="Arial" w:hAnsi="Arial" w:cs="Arial"/>
          <w:i/>
          <w:iCs/>
        </w:rPr>
        <w:t>An inspection into how effectively the police investigate crime</w:t>
      </w:r>
      <w:r w:rsidRPr="00DB1F7A">
        <w:rPr>
          <w:rFonts w:ascii="Arial" w:hAnsi="Arial" w:cs="Arial"/>
        </w:rPr>
        <w:t xml:space="preserve">. [online] His Majesty’s Inspectorate of Constabulary and Fire &amp; Rescue Services. Available at: </w:t>
      </w:r>
      <w:hyperlink r:id="rId11" w:history="1">
        <w:r w:rsidRPr="000A3BF6">
          <w:rPr>
            <w:rStyle w:val="Hyperlink"/>
            <w:rFonts w:ascii="Arial" w:hAnsi="Arial" w:cs="Arial"/>
          </w:rPr>
          <w:t>https://hmicfrs.justiceinspectorates.gov.uk/publication-html/how-effectively-police-investigate-crime/</w:t>
        </w:r>
      </w:hyperlink>
      <w:r w:rsidRPr="00DB1F7A">
        <w:rPr>
          <w:rFonts w:ascii="Arial" w:hAnsi="Arial" w:cs="Arial"/>
        </w:rPr>
        <w:t>.</w:t>
      </w:r>
    </w:p>
    <w:p w14:paraId="3B631F5E" w14:textId="77777777" w:rsidR="00DB1F7A" w:rsidRDefault="00DB1F7A" w:rsidP="00AB0F0A">
      <w:pPr>
        <w:spacing w:line="360" w:lineRule="auto"/>
        <w:rPr>
          <w:rFonts w:ascii="Arial" w:hAnsi="Arial" w:cs="Arial"/>
        </w:rPr>
      </w:pPr>
    </w:p>
    <w:p w14:paraId="1B9E3E1A" w14:textId="39FB367A" w:rsidR="00AB0F0A" w:rsidRDefault="00AB0F0A" w:rsidP="00AB0F0A">
      <w:pPr>
        <w:spacing w:line="360" w:lineRule="auto"/>
        <w:rPr>
          <w:rFonts w:ascii="Arial" w:hAnsi="Arial" w:cs="Arial"/>
        </w:rPr>
      </w:pPr>
      <w:r w:rsidRPr="006537F1">
        <w:rPr>
          <w:rFonts w:ascii="Arial" w:hAnsi="Arial" w:cs="Arial"/>
        </w:rPr>
        <w:lastRenderedPageBreak/>
        <w:t>Horsman, G. (2022) Defining principles for preserving privacy in digital forensic examinations. </w:t>
      </w:r>
      <w:r w:rsidRPr="006537F1">
        <w:rPr>
          <w:rFonts w:ascii="Arial" w:hAnsi="Arial" w:cs="Arial"/>
          <w:i/>
          <w:iCs/>
        </w:rPr>
        <w:t>Forensic Science International: Digital Investigation</w:t>
      </w:r>
      <w:r w:rsidRPr="006537F1">
        <w:rPr>
          <w:rFonts w:ascii="Arial" w:hAnsi="Arial" w:cs="Arial"/>
        </w:rPr>
        <w:t>, 40, p.301350. doi:https://doi.org/10.1016/j.fsidi.2022.301350.</w:t>
      </w:r>
    </w:p>
    <w:p w14:paraId="546BADC4" w14:textId="77777777" w:rsidR="007A0D54" w:rsidRDefault="007A0D54" w:rsidP="00AB0F0A">
      <w:pPr>
        <w:spacing w:line="360" w:lineRule="auto"/>
        <w:rPr>
          <w:rFonts w:ascii="Arial" w:hAnsi="Arial" w:cs="Arial"/>
        </w:rPr>
      </w:pPr>
    </w:p>
    <w:p w14:paraId="39D13781" w14:textId="20B83040" w:rsidR="007A0D54" w:rsidRPr="00E8449E" w:rsidRDefault="007A0D54" w:rsidP="007A0D54">
      <w:pPr>
        <w:spacing w:line="360" w:lineRule="auto"/>
        <w:rPr>
          <w:rFonts w:ascii="Arial" w:hAnsi="Arial" w:cs="Arial"/>
        </w:rPr>
      </w:pPr>
      <w:r w:rsidRPr="007A0D54">
        <w:rPr>
          <w:rFonts w:ascii="Arial" w:hAnsi="Arial" w:cs="Arial"/>
        </w:rPr>
        <w:t xml:space="preserve">Horwell, R. (2017) </w:t>
      </w:r>
      <w:r w:rsidRPr="007A0D54">
        <w:rPr>
          <w:rFonts w:ascii="Arial" w:hAnsi="Arial" w:cs="Arial"/>
          <w:i/>
          <w:iCs/>
        </w:rPr>
        <w:t>MOUNCHER INVESTIGATION REPORT</w:t>
      </w:r>
      <w:r w:rsidRPr="007A0D54">
        <w:rPr>
          <w:rFonts w:ascii="Arial" w:hAnsi="Arial" w:cs="Arial"/>
        </w:rPr>
        <w:t>. [online] Available at: https://assets.publishing.service.gov.uk/media/5a82d6cd40f0b6230269cfa0/mouncher_report_web_accessible_july_2017.pdf.</w:t>
      </w:r>
    </w:p>
    <w:p w14:paraId="348272B3" w14:textId="77777777" w:rsidR="007A0D54" w:rsidRDefault="007A0D54" w:rsidP="00AB0F0A">
      <w:pPr>
        <w:spacing w:line="360" w:lineRule="auto"/>
        <w:rPr>
          <w:rFonts w:ascii="Arial" w:hAnsi="Arial" w:cs="Arial"/>
        </w:rPr>
      </w:pPr>
    </w:p>
    <w:p w14:paraId="2F894A58" w14:textId="0B770D0E" w:rsidR="00AB0F0A" w:rsidRPr="001747AE" w:rsidRDefault="00AB0F0A" w:rsidP="00AB0F0A">
      <w:pPr>
        <w:spacing w:line="360" w:lineRule="auto"/>
        <w:rPr>
          <w:rFonts w:ascii="Arial" w:hAnsi="Arial" w:cs="Arial"/>
        </w:rPr>
      </w:pPr>
      <w:r w:rsidRPr="001747AE">
        <w:rPr>
          <w:rFonts w:ascii="Arial" w:hAnsi="Arial" w:cs="Arial"/>
        </w:rPr>
        <w:t>Humphries, G., Nordvik, R., Manifavas, H., Cobley, P. and Sorell, M. (2021) Law enforcement educational challenges for mobile forensics. </w:t>
      </w:r>
      <w:r w:rsidRPr="001747AE">
        <w:rPr>
          <w:rFonts w:ascii="Arial" w:hAnsi="Arial" w:cs="Arial"/>
          <w:i/>
          <w:iCs/>
        </w:rPr>
        <w:t>Forensic Science International: Digital Investigation</w:t>
      </w:r>
      <w:r w:rsidRPr="001747AE">
        <w:rPr>
          <w:rFonts w:ascii="Arial" w:hAnsi="Arial" w:cs="Arial"/>
        </w:rPr>
        <w:t>, [online] 38, p.301129. doi:https://doi.org/10.1016/j.fsidi.2021.301129.</w:t>
      </w:r>
    </w:p>
    <w:p w14:paraId="2A46A478" w14:textId="2F64F6F1" w:rsidR="007A0D54" w:rsidRPr="007A0D54" w:rsidRDefault="007A0D54" w:rsidP="007A0D54">
      <w:pPr>
        <w:spacing w:line="360" w:lineRule="auto"/>
        <w:rPr>
          <w:rFonts w:ascii="Arial" w:hAnsi="Arial" w:cs="Arial"/>
          <w:color w:val="000000" w:themeColor="text1"/>
        </w:rPr>
      </w:pPr>
      <w:r w:rsidRPr="007A0D54">
        <w:rPr>
          <w:rFonts w:ascii="Arial" w:hAnsi="Arial" w:cs="Arial"/>
          <w:color w:val="000000" w:themeColor="text1"/>
        </w:rPr>
        <w:t>ICO</w:t>
      </w:r>
      <w:r w:rsidRPr="007A0D54">
        <w:rPr>
          <w:rFonts w:ascii="Arial" w:hAnsi="Arial" w:cs="Arial"/>
          <w:b/>
          <w:bCs/>
          <w:color w:val="000000" w:themeColor="text1"/>
        </w:rPr>
        <w:t xml:space="preserve"> </w:t>
      </w:r>
      <w:r w:rsidRPr="007A0D54">
        <w:rPr>
          <w:rFonts w:ascii="Arial" w:hAnsi="Arial" w:cs="Arial"/>
          <w:color w:val="000000" w:themeColor="text1"/>
        </w:rPr>
        <w:t>(2023) </w:t>
      </w:r>
      <w:r w:rsidRPr="007A0D54">
        <w:rPr>
          <w:rFonts w:ascii="Arial" w:hAnsi="Arial" w:cs="Arial"/>
          <w:i/>
          <w:iCs/>
          <w:color w:val="000000" w:themeColor="text1"/>
        </w:rPr>
        <w:t>Sharing personal data with law enforcement authorities</w:t>
      </w:r>
      <w:r w:rsidRPr="007A0D54">
        <w:rPr>
          <w:rFonts w:ascii="Arial" w:hAnsi="Arial" w:cs="Arial"/>
          <w:color w:val="000000" w:themeColor="text1"/>
        </w:rPr>
        <w:t xml:space="preserve">. [online] ico.org.uk. Available at: </w:t>
      </w:r>
      <w:hyperlink r:id="rId12" w:history="1">
        <w:r w:rsidRPr="007A0D54">
          <w:rPr>
            <w:rStyle w:val="Hyperlink"/>
            <w:rFonts w:ascii="Arial" w:hAnsi="Arial" w:cs="Arial"/>
            <w:color w:val="000000" w:themeColor="text1"/>
            <w:u w:val="none"/>
          </w:rPr>
          <w:t>https://ico.org.uk/for-organisations/uk-gdpr-guidance-and-resources/data-sharing/sharing-personal-data-with-law-enforcement-authorities/</w:t>
        </w:r>
      </w:hyperlink>
      <w:r w:rsidRPr="007A0D54">
        <w:rPr>
          <w:rFonts w:ascii="Arial" w:hAnsi="Arial" w:cs="Arial"/>
          <w:color w:val="000000" w:themeColor="text1"/>
        </w:rPr>
        <w:t>.</w:t>
      </w:r>
    </w:p>
    <w:p w14:paraId="3554FAF1" w14:textId="77777777" w:rsidR="007A0D54" w:rsidRDefault="007A0D54" w:rsidP="00AB0F0A">
      <w:pPr>
        <w:spacing w:line="360" w:lineRule="auto"/>
        <w:rPr>
          <w:rFonts w:ascii="Arial" w:hAnsi="Arial" w:cs="Arial"/>
        </w:rPr>
      </w:pPr>
    </w:p>
    <w:p w14:paraId="6CC4AE99" w14:textId="182BC7F8" w:rsidR="007A0D54" w:rsidRDefault="007A0D54" w:rsidP="00AB0F0A">
      <w:pPr>
        <w:spacing w:line="360" w:lineRule="auto"/>
        <w:rPr>
          <w:rFonts w:ascii="Arial" w:hAnsi="Arial" w:cs="Arial"/>
        </w:rPr>
      </w:pPr>
      <w:r w:rsidRPr="007A0D54">
        <w:rPr>
          <w:rFonts w:ascii="Arial" w:hAnsi="Arial" w:cs="Arial"/>
        </w:rPr>
        <w:t>Jones, H., Brookman, F., Williams, R. and Fraser, J. (2020). We need to talk about dialogue: Accomplishing collaborative sensemaking in homicide investigations. </w:t>
      </w:r>
      <w:r w:rsidRPr="007A0D54">
        <w:rPr>
          <w:rFonts w:ascii="Arial" w:hAnsi="Arial" w:cs="Arial"/>
          <w:i/>
          <w:iCs/>
        </w:rPr>
        <w:t>The Police Journal: Theory, Practice and Principles</w:t>
      </w:r>
      <w:r w:rsidRPr="007A0D54">
        <w:rPr>
          <w:rFonts w:ascii="Arial" w:hAnsi="Arial" w:cs="Arial"/>
        </w:rPr>
        <w:t>, 94(4), p.0032258X2097099. doi:https://doi.org/10.1177/0032258x20970999.</w:t>
      </w:r>
    </w:p>
    <w:p w14:paraId="345AC077" w14:textId="77777777" w:rsidR="007A0D54" w:rsidRDefault="007A0D54" w:rsidP="00AB0F0A">
      <w:pPr>
        <w:spacing w:line="360" w:lineRule="auto"/>
        <w:rPr>
          <w:rFonts w:ascii="Arial" w:hAnsi="Arial" w:cs="Arial"/>
        </w:rPr>
      </w:pPr>
    </w:p>
    <w:p w14:paraId="21AD9724" w14:textId="22143159" w:rsidR="003F078B" w:rsidRDefault="003F078B" w:rsidP="00AB0F0A">
      <w:pPr>
        <w:spacing w:line="360" w:lineRule="auto"/>
        <w:rPr>
          <w:rFonts w:ascii="Arial" w:hAnsi="Arial" w:cs="Arial"/>
        </w:rPr>
      </w:pPr>
      <w:r w:rsidRPr="003F078B">
        <w:rPr>
          <w:rFonts w:ascii="Arial" w:hAnsi="Arial" w:cs="Arial"/>
        </w:rPr>
        <w:t>Legislation.GOV.UK (2016). </w:t>
      </w:r>
      <w:r w:rsidRPr="003F078B">
        <w:rPr>
          <w:rFonts w:ascii="Arial" w:hAnsi="Arial" w:cs="Arial"/>
          <w:i/>
          <w:iCs/>
        </w:rPr>
        <w:t>Investigatory Powers Act 2016</w:t>
      </w:r>
      <w:r w:rsidRPr="003F078B">
        <w:rPr>
          <w:rFonts w:ascii="Arial" w:hAnsi="Arial" w:cs="Arial"/>
        </w:rPr>
        <w:t>. [online] Legislation.gov.uk. Available at: https://www.legislation.gov.uk/ukpga/2016/25/contents.</w:t>
      </w:r>
    </w:p>
    <w:p w14:paraId="65D16050" w14:textId="77777777" w:rsidR="003F078B" w:rsidRDefault="003F078B" w:rsidP="00AB0F0A">
      <w:pPr>
        <w:spacing w:line="360" w:lineRule="auto"/>
        <w:rPr>
          <w:rFonts w:ascii="Arial" w:hAnsi="Arial" w:cs="Arial"/>
        </w:rPr>
      </w:pPr>
    </w:p>
    <w:p w14:paraId="30E389BB" w14:textId="1B8C0610" w:rsidR="00AB0F0A" w:rsidRDefault="00AB0F0A" w:rsidP="00AB0F0A">
      <w:pPr>
        <w:spacing w:line="360" w:lineRule="auto"/>
        <w:rPr>
          <w:rFonts w:ascii="Arial" w:hAnsi="Arial" w:cs="Arial"/>
        </w:rPr>
      </w:pPr>
      <w:r w:rsidRPr="006537F1">
        <w:rPr>
          <w:rFonts w:ascii="Arial" w:hAnsi="Arial" w:cs="Arial"/>
        </w:rPr>
        <w:lastRenderedPageBreak/>
        <w:t>Li, L. (2022) Reskilling and Upskilling the future-ready Workforce for Industry 4.0 and beyond. </w:t>
      </w:r>
      <w:r w:rsidRPr="006537F1">
        <w:rPr>
          <w:rFonts w:ascii="Arial" w:hAnsi="Arial" w:cs="Arial"/>
          <w:i/>
          <w:iCs/>
        </w:rPr>
        <w:t>Information Systems Frontiers</w:t>
      </w:r>
      <w:r w:rsidRPr="006537F1">
        <w:rPr>
          <w:rFonts w:ascii="Arial" w:hAnsi="Arial" w:cs="Arial"/>
        </w:rPr>
        <w:t>, [online] 24(3), pp.1–16. doi:https://doi.org/10.1007/s10796-022-10308-y.</w:t>
      </w:r>
    </w:p>
    <w:p w14:paraId="16C7E0FC" w14:textId="60211A4C" w:rsidR="00EF53F0" w:rsidRDefault="00897E2E" w:rsidP="00AB0F0A">
      <w:pPr>
        <w:spacing w:line="360" w:lineRule="auto"/>
        <w:rPr>
          <w:rFonts w:ascii="Arial" w:hAnsi="Arial" w:cs="Arial"/>
        </w:rPr>
      </w:pPr>
      <w:r w:rsidRPr="00897E2E">
        <w:rPr>
          <w:rFonts w:ascii="Arial" w:hAnsi="Arial" w:cs="Arial"/>
        </w:rPr>
        <w:t xml:space="preserve">Loftus, B., </w:t>
      </w:r>
      <w:proofErr w:type="spellStart"/>
      <w:r w:rsidRPr="00897E2E">
        <w:rPr>
          <w:rFonts w:ascii="Arial" w:hAnsi="Arial" w:cs="Arial"/>
        </w:rPr>
        <w:t>Feilzer</w:t>
      </w:r>
      <w:proofErr w:type="spellEnd"/>
      <w:r w:rsidRPr="00897E2E">
        <w:rPr>
          <w:rFonts w:ascii="Arial" w:hAnsi="Arial" w:cs="Arial"/>
        </w:rPr>
        <w:t>, M. and Goold, B. (2024). Being watched: The aftermath of covert policing. </w:t>
      </w:r>
      <w:r w:rsidRPr="00897E2E">
        <w:rPr>
          <w:rFonts w:ascii="Arial" w:hAnsi="Arial" w:cs="Arial"/>
          <w:i/>
          <w:iCs/>
        </w:rPr>
        <w:t>The Howard Journal of Crime and Justice</w:t>
      </w:r>
      <w:r w:rsidRPr="00897E2E">
        <w:rPr>
          <w:rFonts w:ascii="Arial" w:hAnsi="Arial" w:cs="Arial"/>
        </w:rPr>
        <w:t xml:space="preserve">, 63(3). </w:t>
      </w:r>
      <w:proofErr w:type="spellStart"/>
      <w:proofErr w:type="gramStart"/>
      <w:r w:rsidRPr="00897E2E">
        <w:rPr>
          <w:rFonts w:ascii="Arial" w:hAnsi="Arial" w:cs="Arial"/>
        </w:rPr>
        <w:t>doi:https</w:t>
      </w:r>
      <w:proofErr w:type="spellEnd"/>
      <w:r w:rsidRPr="00897E2E">
        <w:rPr>
          <w:rFonts w:ascii="Arial" w:hAnsi="Arial" w:cs="Arial"/>
        </w:rPr>
        <w:t>://doi.org/10.1111/hojo.12569</w:t>
      </w:r>
      <w:proofErr w:type="gramEnd"/>
      <w:r w:rsidRPr="00897E2E">
        <w:rPr>
          <w:rFonts w:ascii="Arial" w:hAnsi="Arial" w:cs="Arial"/>
        </w:rPr>
        <w:t>.</w:t>
      </w:r>
    </w:p>
    <w:p w14:paraId="67735152" w14:textId="77777777" w:rsidR="00897E2E" w:rsidRDefault="00897E2E" w:rsidP="00AB0F0A">
      <w:pPr>
        <w:spacing w:line="360" w:lineRule="auto"/>
        <w:rPr>
          <w:rFonts w:ascii="Arial" w:hAnsi="Arial" w:cs="Arial"/>
        </w:rPr>
      </w:pPr>
    </w:p>
    <w:p w14:paraId="0145F973" w14:textId="77777777" w:rsidR="00EF53F0" w:rsidRPr="00EF53F0" w:rsidRDefault="00EF53F0" w:rsidP="00EF53F0">
      <w:pPr>
        <w:pStyle w:val="EndNoteBibliography"/>
        <w:spacing w:after="0" w:line="360" w:lineRule="auto"/>
        <w:ind w:left="720" w:hanging="720"/>
        <w:rPr>
          <w:rFonts w:ascii="Arial" w:hAnsi="Arial" w:cs="Arial"/>
        </w:rPr>
      </w:pPr>
      <w:r w:rsidRPr="00EF53F0">
        <w:rPr>
          <w:rFonts w:ascii="Arial" w:hAnsi="Arial" w:cs="Arial"/>
        </w:rPr>
        <w:t>Mahajan, R. &amp; Pandit, K. Cryptography and Computational Approaches in Ensuring Data Integrity for Digital Forensic Evidence.  2024 16th International Conference on Electronics, Computers and Artificial Intelligence (ECAI), 27-28 June 2024 2024. 1-6.</w:t>
      </w:r>
    </w:p>
    <w:p w14:paraId="194B854F" w14:textId="77777777" w:rsidR="00EF53F0" w:rsidRDefault="00EF53F0" w:rsidP="00AB0F0A">
      <w:pPr>
        <w:spacing w:line="360" w:lineRule="auto"/>
        <w:rPr>
          <w:rFonts w:ascii="Arial" w:hAnsi="Arial" w:cs="Arial"/>
        </w:rPr>
      </w:pPr>
    </w:p>
    <w:p w14:paraId="25D6FC27" w14:textId="67FD1C1F" w:rsidR="00CF3648" w:rsidRDefault="00CF3648" w:rsidP="00CF3648">
      <w:pPr>
        <w:spacing w:line="360" w:lineRule="auto"/>
        <w:rPr>
          <w:rFonts w:ascii="Arial" w:hAnsi="Arial" w:cs="Arial"/>
        </w:rPr>
      </w:pPr>
      <w:r w:rsidRPr="00CF3648">
        <w:rPr>
          <w:rFonts w:ascii="Arial" w:hAnsi="Arial" w:cs="Arial"/>
        </w:rPr>
        <w:t>Oxford Reference. (2025). </w:t>
      </w:r>
      <w:r w:rsidRPr="00CF3648">
        <w:rPr>
          <w:rFonts w:ascii="Arial" w:hAnsi="Arial" w:cs="Arial"/>
          <w:i/>
          <w:iCs/>
        </w:rPr>
        <w:t>Home Office Large Major Enquiry System</w:t>
      </w:r>
      <w:r w:rsidRPr="00CF3648">
        <w:rPr>
          <w:rFonts w:ascii="Arial" w:hAnsi="Arial" w:cs="Arial"/>
        </w:rPr>
        <w:t>. [online] Available at: https://www.oxfordreference.com/display/10.1093/oi/authority.20110810105101844 [Accessed 2 May 2025].</w:t>
      </w:r>
    </w:p>
    <w:p w14:paraId="267542EC" w14:textId="77777777" w:rsidR="00CF3648" w:rsidRDefault="00CF3648" w:rsidP="00AB0F0A">
      <w:pPr>
        <w:spacing w:line="360" w:lineRule="auto"/>
        <w:rPr>
          <w:rFonts w:ascii="Arial" w:hAnsi="Arial" w:cs="Arial"/>
        </w:rPr>
      </w:pPr>
    </w:p>
    <w:p w14:paraId="620FDCC3" w14:textId="43942C53" w:rsidR="007A0D54" w:rsidRDefault="00D70E99" w:rsidP="00AB0F0A">
      <w:pPr>
        <w:spacing w:line="360" w:lineRule="auto"/>
      </w:pPr>
      <w:r w:rsidRPr="00D70E99">
        <w:rPr>
          <w:rFonts w:ascii="Arial" w:hAnsi="Arial" w:cs="Arial"/>
        </w:rPr>
        <w:t>Pickering, J. C., &amp; Fox, A. M. (2022). Enabling Collaboration and Communication Across Law Enforcement Jurisdictions: Data Sharing in a Multiagency Partnership. </w:t>
      </w:r>
      <w:r w:rsidRPr="00D70E99">
        <w:rPr>
          <w:rFonts w:ascii="Arial" w:hAnsi="Arial" w:cs="Arial"/>
          <w:i/>
          <w:iCs/>
        </w:rPr>
        <w:t>Criminal Justice Policy Review</w:t>
      </w:r>
      <w:r w:rsidRPr="00D70E99">
        <w:rPr>
          <w:rFonts w:ascii="Arial" w:hAnsi="Arial" w:cs="Arial"/>
        </w:rPr>
        <w:t>, </w:t>
      </w:r>
      <w:r w:rsidRPr="00D70E99">
        <w:rPr>
          <w:rFonts w:ascii="Arial" w:hAnsi="Arial" w:cs="Arial"/>
          <w:i/>
          <w:iCs/>
        </w:rPr>
        <w:t>33</w:t>
      </w:r>
      <w:r w:rsidRPr="00D70E99">
        <w:rPr>
          <w:rFonts w:ascii="Arial" w:hAnsi="Arial" w:cs="Arial"/>
        </w:rPr>
        <w:t>(7), 732-755. </w:t>
      </w:r>
      <w:hyperlink r:id="rId13" w:history="1">
        <w:r w:rsidRPr="00D62AAF">
          <w:rPr>
            <w:rStyle w:val="Hyperlink"/>
            <w:rFonts w:ascii="Arial" w:hAnsi="Arial" w:cs="Arial"/>
            <w:color w:val="000000" w:themeColor="text1"/>
            <w:u w:val="none"/>
          </w:rPr>
          <w:t>https://doi.org/10.1177/08874034211066756</w:t>
        </w:r>
      </w:hyperlink>
    </w:p>
    <w:p w14:paraId="1379DA2C" w14:textId="77777777" w:rsidR="007A0D54" w:rsidRDefault="007A0D54" w:rsidP="00AB0F0A">
      <w:pPr>
        <w:spacing w:line="360" w:lineRule="auto"/>
      </w:pPr>
    </w:p>
    <w:p w14:paraId="173BCD2B" w14:textId="33537E10" w:rsidR="007A0D54" w:rsidRPr="007A0D54" w:rsidRDefault="007A0D54" w:rsidP="007A0D54">
      <w:pPr>
        <w:spacing w:line="360" w:lineRule="auto"/>
        <w:rPr>
          <w:rFonts w:ascii="Arial" w:hAnsi="Arial" w:cs="Arial"/>
        </w:rPr>
      </w:pPr>
      <w:r w:rsidRPr="007A0D54">
        <w:rPr>
          <w:rFonts w:ascii="Arial" w:hAnsi="Arial" w:cs="Arial"/>
        </w:rPr>
        <w:t>Police Digital Service (2023). </w:t>
      </w:r>
      <w:r w:rsidRPr="007A0D54">
        <w:rPr>
          <w:rFonts w:ascii="Arial" w:hAnsi="Arial" w:cs="Arial"/>
          <w:i/>
          <w:iCs/>
        </w:rPr>
        <w:t>Working together to improve the criminal justice system – Police Digital Service</w:t>
      </w:r>
      <w:r w:rsidRPr="007A0D54">
        <w:rPr>
          <w:rFonts w:ascii="Arial" w:hAnsi="Arial" w:cs="Arial"/>
        </w:rPr>
        <w:t xml:space="preserve">. [online] Police Digital Service. Available at: </w:t>
      </w:r>
      <w:hyperlink r:id="rId14" w:history="1">
        <w:r w:rsidRPr="007A0D54">
          <w:rPr>
            <w:rStyle w:val="Hyperlink"/>
            <w:rFonts w:ascii="Arial" w:hAnsi="Arial" w:cs="Arial"/>
          </w:rPr>
          <w:t>https://pds.police.uk/working-together-to-improve-the-criminal-justice-system/</w:t>
        </w:r>
      </w:hyperlink>
      <w:r w:rsidRPr="007A0D54">
        <w:rPr>
          <w:rFonts w:ascii="Arial" w:hAnsi="Arial" w:cs="Arial"/>
        </w:rPr>
        <w:t>.</w:t>
      </w:r>
    </w:p>
    <w:p w14:paraId="502319D9" w14:textId="15951FCD" w:rsidR="00D70E99" w:rsidRDefault="00D70E99" w:rsidP="00AB0F0A">
      <w:pPr>
        <w:spacing w:line="360" w:lineRule="auto"/>
        <w:rPr>
          <w:rFonts w:ascii="Arial" w:hAnsi="Arial" w:cs="Arial"/>
        </w:rPr>
      </w:pPr>
      <w:r w:rsidRPr="00D70E99">
        <w:rPr>
          <w:rFonts w:ascii="Arial" w:hAnsi="Arial" w:cs="Arial"/>
        </w:rPr>
        <w:t> </w:t>
      </w:r>
    </w:p>
    <w:p w14:paraId="48A3D55F" w14:textId="6D17A823" w:rsidR="00E851F1" w:rsidRDefault="00E851F1" w:rsidP="00AB0F0A">
      <w:pPr>
        <w:spacing w:line="360" w:lineRule="auto"/>
        <w:rPr>
          <w:rFonts w:ascii="Arial" w:hAnsi="Arial" w:cs="Arial"/>
        </w:rPr>
      </w:pPr>
      <w:r w:rsidRPr="00E851F1">
        <w:rPr>
          <w:rFonts w:ascii="Arial" w:hAnsi="Arial" w:cs="Arial"/>
        </w:rPr>
        <w:t xml:space="preserve">Radina </w:t>
      </w:r>
      <w:proofErr w:type="spellStart"/>
      <w:r w:rsidRPr="00E851F1">
        <w:rPr>
          <w:rFonts w:ascii="Arial" w:hAnsi="Arial" w:cs="Arial"/>
        </w:rPr>
        <w:t>Stoykova</w:t>
      </w:r>
      <w:proofErr w:type="spellEnd"/>
      <w:r w:rsidRPr="00E851F1">
        <w:rPr>
          <w:rFonts w:ascii="Arial" w:hAnsi="Arial" w:cs="Arial"/>
        </w:rPr>
        <w:t xml:space="preserve"> (2023). </w:t>
      </w:r>
      <w:proofErr w:type="spellStart"/>
      <w:r w:rsidRPr="00E851F1">
        <w:rPr>
          <w:rFonts w:ascii="Arial" w:hAnsi="Arial" w:cs="Arial"/>
        </w:rPr>
        <w:t>Encrochat</w:t>
      </w:r>
      <w:proofErr w:type="spellEnd"/>
      <w:r w:rsidRPr="00E851F1">
        <w:rPr>
          <w:rFonts w:ascii="Arial" w:hAnsi="Arial" w:cs="Arial"/>
        </w:rPr>
        <w:t>: The hacker with a warrant and fair trials? </w:t>
      </w:r>
      <w:r w:rsidRPr="00E851F1">
        <w:rPr>
          <w:rFonts w:ascii="Arial" w:hAnsi="Arial" w:cs="Arial"/>
          <w:i/>
          <w:iCs/>
        </w:rPr>
        <w:t>Forensic Science International: Digital Investigation</w:t>
      </w:r>
      <w:r w:rsidRPr="00E851F1">
        <w:rPr>
          <w:rFonts w:ascii="Arial" w:hAnsi="Arial" w:cs="Arial"/>
        </w:rPr>
        <w:t xml:space="preserve">, 46, pp.301602–301602. </w:t>
      </w:r>
      <w:proofErr w:type="spellStart"/>
      <w:proofErr w:type="gramStart"/>
      <w:r w:rsidRPr="00E851F1">
        <w:rPr>
          <w:rFonts w:ascii="Arial" w:hAnsi="Arial" w:cs="Arial"/>
        </w:rPr>
        <w:t>doi:https</w:t>
      </w:r>
      <w:proofErr w:type="spellEnd"/>
      <w:r w:rsidRPr="00E851F1">
        <w:rPr>
          <w:rFonts w:ascii="Arial" w:hAnsi="Arial" w:cs="Arial"/>
        </w:rPr>
        <w:t>://doi.org/10.1016/j.fsidi.2023.301602</w:t>
      </w:r>
      <w:proofErr w:type="gramEnd"/>
      <w:r w:rsidRPr="00E851F1">
        <w:rPr>
          <w:rFonts w:ascii="Arial" w:hAnsi="Arial" w:cs="Arial"/>
        </w:rPr>
        <w:t>.</w:t>
      </w:r>
    </w:p>
    <w:p w14:paraId="5F947AD3" w14:textId="77777777" w:rsidR="00E851F1" w:rsidRDefault="00E851F1" w:rsidP="00AB0F0A">
      <w:pPr>
        <w:spacing w:line="360" w:lineRule="auto"/>
        <w:rPr>
          <w:rFonts w:ascii="Arial" w:hAnsi="Arial" w:cs="Arial"/>
        </w:rPr>
      </w:pPr>
    </w:p>
    <w:p w14:paraId="1AD7463B" w14:textId="6B8009A8" w:rsidR="00897E2E" w:rsidRDefault="00897E2E" w:rsidP="00AB0F0A">
      <w:pPr>
        <w:spacing w:line="360" w:lineRule="auto"/>
        <w:rPr>
          <w:rFonts w:ascii="Arial" w:hAnsi="Arial" w:cs="Arial"/>
        </w:rPr>
      </w:pPr>
      <w:r w:rsidRPr="00897E2E">
        <w:rPr>
          <w:rFonts w:ascii="Arial" w:hAnsi="Arial" w:cs="Arial"/>
        </w:rPr>
        <w:t>Vogel, B. (n.d.). </w:t>
      </w:r>
      <w:r w:rsidRPr="00897E2E">
        <w:rPr>
          <w:rFonts w:ascii="Arial" w:hAnsi="Arial" w:cs="Arial"/>
          <w:i/>
          <w:iCs/>
        </w:rPr>
        <w:t>Max-Planck-</w:t>
      </w:r>
      <w:proofErr w:type="spellStart"/>
      <w:r w:rsidRPr="00897E2E">
        <w:rPr>
          <w:rFonts w:ascii="Arial" w:hAnsi="Arial" w:cs="Arial"/>
          <w:i/>
          <w:iCs/>
        </w:rPr>
        <w:t>Institut</w:t>
      </w:r>
      <w:proofErr w:type="spellEnd"/>
      <w:r w:rsidRPr="00897E2E">
        <w:rPr>
          <w:rFonts w:ascii="Arial" w:hAnsi="Arial" w:cs="Arial"/>
          <w:i/>
          <w:iCs/>
        </w:rPr>
        <w:t xml:space="preserve"> für </w:t>
      </w:r>
      <w:proofErr w:type="spellStart"/>
      <w:r w:rsidRPr="00897E2E">
        <w:rPr>
          <w:rFonts w:ascii="Arial" w:hAnsi="Arial" w:cs="Arial"/>
          <w:i/>
          <w:iCs/>
        </w:rPr>
        <w:t>ausländisches</w:t>
      </w:r>
      <w:proofErr w:type="spellEnd"/>
      <w:r w:rsidRPr="00897E2E">
        <w:rPr>
          <w:rFonts w:ascii="Arial" w:hAnsi="Arial" w:cs="Arial"/>
          <w:i/>
          <w:iCs/>
        </w:rPr>
        <w:t xml:space="preserve"> und </w:t>
      </w:r>
      <w:proofErr w:type="spellStart"/>
      <w:r w:rsidRPr="00897E2E">
        <w:rPr>
          <w:rFonts w:ascii="Arial" w:hAnsi="Arial" w:cs="Arial"/>
          <w:i/>
          <w:iCs/>
        </w:rPr>
        <w:t>internationales</w:t>
      </w:r>
      <w:proofErr w:type="spellEnd"/>
      <w:r w:rsidRPr="00897E2E">
        <w:rPr>
          <w:rFonts w:ascii="Arial" w:hAnsi="Arial" w:cs="Arial"/>
          <w:i/>
          <w:iCs/>
        </w:rPr>
        <w:t xml:space="preserve"> </w:t>
      </w:r>
      <w:proofErr w:type="spellStart"/>
      <w:r w:rsidRPr="00897E2E">
        <w:rPr>
          <w:rFonts w:ascii="Arial" w:hAnsi="Arial" w:cs="Arial"/>
          <w:i/>
          <w:iCs/>
        </w:rPr>
        <w:t>Strafrecht</w:t>
      </w:r>
      <w:proofErr w:type="spellEnd"/>
      <w:r w:rsidRPr="00897E2E">
        <w:rPr>
          <w:rFonts w:ascii="Arial" w:hAnsi="Arial" w:cs="Arial"/>
          <w:i/>
          <w:iCs/>
        </w:rPr>
        <w:t xml:space="preserve"> Secret Evidence in Criminal Proceedings Balancing Procedural Fairness and Covert Surveillance</w:t>
      </w:r>
      <w:r w:rsidRPr="00897E2E">
        <w:rPr>
          <w:rFonts w:ascii="Arial" w:hAnsi="Arial" w:cs="Arial"/>
        </w:rPr>
        <w:t xml:space="preserve">. [online] Available at: https://pure.mpg.de/rest/items/item_3372586/component/file_3521614/content [Accessed </w:t>
      </w:r>
      <w:r>
        <w:rPr>
          <w:rFonts w:ascii="Arial" w:hAnsi="Arial" w:cs="Arial"/>
        </w:rPr>
        <w:t>2 May 2025</w:t>
      </w:r>
      <w:r w:rsidRPr="00897E2E">
        <w:rPr>
          <w:rFonts w:ascii="Arial" w:hAnsi="Arial" w:cs="Arial"/>
        </w:rPr>
        <w:t>].</w:t>
      </w:r>
    </w:p>
    <w:p w14:paraId="612CE910" w14:textId="77777777" w:rsidR="00897E2E" w:rsidRDefault="00897E2E" w:rsidP="00AB0F0A">
      <w:pPr>
        <w:spacing w:line="360" w:lineRule="auto"/>
        <w:rPr>
          <w:rFonts w:ascii="Arial" w:hAnsi="Arial" w:cs="Arial"/>
        </w:rPr>
      </w:pPr>
    </w:p>
    <w:p w14:paraId="71FE9745" w14:textId="4FADFF6D" w:rsidR="00535FD0" w:rsidRDefault="00535FD0" w:rsidP="00AB0F0A">
      <w:pPr>
        <w:spacing w:line="360" w:lineRule="auto"/>
        <w:rPr>
          <w:rFonts w:ascii="Arial" w:hAnsi="Arial" w:cs="Arial"/>
        </w:rPr>
      </w:pPr>
      <w:r w:rsidRPr="00535FD0">
        <w:rPr>
          <w:rFonts w:ascii="Arial" w:hAnsi="Arial" w:cs="Arial"/>
        </w:rPr>
        <w:t>www.cps.gov.uk. (n.d.). </w:t>
      </w:r>
      <w:r w:rsidRPr="00535FD0">
        <w:rPr>
          <w:rFonts w:ascii="Arial" w:hAnsi="Arial" w:cs="Arial"/>
          <w:i/>
          <w:iCs/>
        </w:rPr>
        <w:t>Court of Appeal ruling on Reasonable Lines of Enquiry [R v E 2018 EWCA 2426 (Crim)] | The Crown Prosecution Service</w:t>
      </w:r>
      <w:r w:rsidRPr="00535FD0">
        <w:rPr>
          <w:rFonts w:ascii="Arial" w:hAnsi="Arial" w:cs="Arial"/>
        </w:rPr>
        <w:t>. [online] Available at: </w:t>
      </w:r>
      <w:hyperlink r:id="rId15" w:history="1">
        <w:r w:rsidRPr="00535FD0">
          <w:rPr>
            <w:rStyle w:val="Hyperlink"/>
            <w:rFonts w:ascii="Arial" w:hAnsi="Arial" w:cs="Arial"/>
          </w:rPr>
          <w:t>https://www.cps.gov.uk/publication/court-appeal-ruling-reasonable-lines-enquiry-r-v-e-2018-ewca-2426-crim.</w:t>
        </w:r>
      </w:hyperlink>
    </w:p>
    <w:p w14:paraId="08263AE4" w14:textId="77777777" w:rsidR="00535FD0" w:rsidRDefault="00535FD0" w:rsidP="00AB0F0A">
      <w:pPr>
        <w:spacing w:line="360" w:lineRule="auto"/>
        <w:rPr>
          <w:rFonts w:ascii="Arial" w:hAnsi="Arial" w:cs="Arial"/>
        </w:rPr>
      </w:pPr>
    </w:p>
    <w:p w14:paraId="03BBF11A" w14:textId="64D80B5D" w:rsidR="00AB0F0A" w:rsidRDefault="00AB0F0A" w:rsidP="00AB0F0A">
      <w:pPr>
        <w:spacing w:line="360" w:lineRule="auto"/>
        <w:rPr>
          <w:rFonts w:ascii="Arial" w:hAnsi="Arial" w:cs="Arial"/>
        </w:rPr>
      </w:pPr>
      <w:r w:rsidRPr="006D51D8">
        <w:rPr>
          <w:rFonts w:ascii="Arial" w:hAnsi="Arial" w:cs="Arial"/>
        </w:rPr>
        <w:t>www.cps.gov.uk. (n.d.) </w:t>
      </w:r>
      <w:r w:rsidRPr="006D51D8">
        <w:rPr>
          <w:rFonts w:ascii="Arial" w:hAnsi="Arial" w:cs="Arial"/>
          <w:i/>
          <w:iCs/>
        </w:rPr>
        <w:t>Disclosure Manual: Chapter 30 - Digital Material | The Crown Prosecution Service</w:t>
      </w:r>
      <w:r w:rsidRPr="006D51D8">
        <w:rPr>
          <w:rFonts w:ascii="Arial" w:hAnsi="Arial" w:cs="Arial"/>
        </w:rPr>
        <w:t xml:space="preserve">. [online] Available at: </w:t>
      </w:r>
      <w:hyperlink r:id="rId16" w:history="1">
        <w:r w:rsidR="00184020" w:rsidRPr="000A3BF6">
          <w:rPr>
            <w:rStyle w:val="Hyperlink"/>
            <w:rFonts w:ascii="Arial" w:hAnsi="Arial" w:cs="Arial"/>
          </w:rPr>
          <w:t>https://www.cps.gov.uk/legal-guidance/disclosure-manual-chapter-30-digital-material</w:t>
        </w:r>
      </w:hyperlink>
      <w:r w:rsidRPr="006D51D8">
        <w:rPr>
          <w:rFonts w:ascii="Arial" w:hAnsi="Arial" w:cs="Arial"/>
        </w:rPr>
        <w:t>.</w:t>
      </w:r>
    </w:p>
    <w:p w14:paraId="6A66BB2B" w14:textId="77777777" w:rsidR="00184020" w:rsidRDefault="00184020" w:rsidP="00AB0F0A">
      <w:pPr>
        <w:spacing w:line="360" w:lineRule="auto"/>
        <w:rPr>
          <w:rFonts w:ascii="Arial" w:hAnsi="Arial" w:cs="Arial"/>
        </w:rPr>
      </w:pPr>
    </w:p>
    <w:p w14:paraId="6A07E586" w14:textId="61C07F53" w:rsidR="00184020" w:rsidRPr="006D51D8" w:rsidRDefault="00184020" w:rsidP="00AB0F0A">
      <w:pPr>
        <w:spacing w:line="360" w:lineRule="auto"/>
        <w:rPr>
          <w:rFonts w:ascii="Arial" w:hAnsi="Arial" w:cs="Arial"/>
        </w:rPr>
      </w:pPr>
      <w:r w:rsidRPr="00184020">
        <w:rPr>
          <w:rFonts w:ascii="Arial" w:hAnsi="Arial" w:cs="Arial"/>
        </w:rPr>
        <w:t>www.cps.gov.uk. (2023). </w:t>
      </w:r>
      <w:r w:rsidRPr="00184020">
        <w:rPr>
          <w:rFonts w:ascii="Arial" w:hAnsi="Arial" w:cs="Arial"/>
          <w:i/>
          <w:iCs/>
        </w:rPr>
        <w:t>Expert Guidance on Disclosure, Unused Material and Case Management | The Crown Prosecution Service</w:t>
      </w:r>
      <w:r w:rsidRPr="00184020">
        <w:rPr>
          <w:rFonts w:ascii="Arial" w:hAnsi="Arial" w:cs="Arial"/>
        </w:rPr>
        <w:t>. [online] Available at: https://www.cps.gov.uk/legal-guidance/expert-guidance-disclosure-unused-material-and-case-management.</w:t>
      </w:r>
    </w:p>
    <w:p w14:paraId="5A563C5F" w14:textId="77777777" w:rsidR="00A14214" w:rsidRDefault="00A14214" w:rsidP="00AB0F0A">
      <w:pPr>
        <w:spacing w:line="360" w:lineRule="auto"/>
        <w:rPr>
          <w:rFonts w:ascii="Arial" w:hAnsi="Arial" w:cs="Arial"/>
        </w:rPr>
      </w:pPr>
    </w:p>
    <w:p w14:paraId="2F01C048" w14:textId="789ADC43" w:rsidR="00A14214" w:rsidRDefault="00A14214" w:rsidP="00AB0F0A">
      <w:pPr>
        <w:spacing w:line="360" w:lineRule="auto"/>
        <w:rPr>
          <w:rFonts w:ascii="Arial" w:hAnsi="Arial" w:cs="Arial"/>
        </w:rPr>
      </w:pPr>
      <w:r w:rsidRPr="00A14214">
        <w:rPr>
          <w:rFonts w:ascii="Arial" w:hAnsi="Arial" w:cs="Arial"/>
        </w:rPr>
        <w:t>www.ipco.org.uk. (n.d.). </w:t>
      </w:r>
      <w:r w:rsidRPr="00A14214">
        <w:rPr>
          <w:rFonts w:ascii="Arial" w:hAnsi="Arial" w:cs="Arial"/>
          <w:i/>
          <w:iCs/>
        </w:rPr>
        <w:t>The Powers – IPCO</w:t>
      </w:r>
      <w:r w:rsidRPr="00A14214">
        <w:rPr>
          <w:rFonts w:ascii="Arial" w:hAnsi="Arial" w:cs="Arial"/>
        </w:rPr>
        <w:t>. [online] Available at: https://www.ipco.org.uk/investigatory-powers/the-powers/.</w:t>
      </w:r>
    </w:p>
    <w:p w14:paraId="55B4E2AD" w14:textId="77777777" w:rsidR="00A14214" w:rsidRDefault="00A14214" w:rsidP="00AB0F0A">
      <w:pPr>
        <w:spacing w:line="360" w:lineRule="auto"/>
        <w:rPr>
          <w:rFonts w:ascii="Arial" w:hAnsi="Arial" w:cs="Arial"/>
        </w:rPr>
      </w:pPr>
    </w:p>
    <w:p w14:paraId="2D8FE11D" w14:textId="3956E5A6" w:rsidR="00AB0F0A" w:rsidRPr="006537F1" w:rsidRDefault="00535FD0" w:rsidP="00AB0F0A">
      <w:pPr>
        <w:spacing w:line="360" w:lineRule="auto"/>
        <w:rPr>
          <w:rFonts w:ascii="Arial" w:hAnsi="Arial" w:cs="Arial"/>
        </w:rPr>
      </w:pPr>
      <w:r w:rsidRPr="00535FD0">
        <w:rPr>
          <w:rFonts w:ascii="Arial" w:hAnsi="Arial" w:cs="Arial"/>
        </w:rPr>
        <w:t>CPS (2022). </w:t>
      </w:r>
      <w:r w:rsidRPr="00535FD0">
        <w:rPr>
          <w:rFonts w:ascii="Arial" w:hAnsi="Arial" w:cs="Arial"/>
          <w:i/>
          <w:iCs/>
        </w:rPr>
        <w:t>Disclosure Manual: Chapter 5 - Reasonable Lines of Enquiry and Third Parties | The Crown Prosecution Service</w:t>
      </w:r>
      <w:r w:rsidRPr="00535FD0">
        <w:rPr>
          <w:rFonts w:ascii="Arial" w:hAnsi="Arial" w:cs="Arial"/>
        </w:rPr>
        <w:t>. [online] www.cps.gov.uk. Available at: https://www.cps.gov.uk/legal-guidance/disclosure-manual-chapter-5-reasonable-lines-enquiry-and-third-parties.</w:t>
      </w:r>
    </w:p>
    <w:p w14:paraId="61B664EC" w14:textId="56F54A17" w:rsidR="005C70D3" w:rsidRDefault="00AB0F0A" w:rsidP="00123A87">
      <w:pPr>
        <w:spacing w:line="360" w:lineRule="auto"/>
        <w:rPr>
          <w:rFonts w:ascii="Arial" w:hAnsi="Arial" w:cs="Arial"/>
          <w:b/>
          <w:bCs/>
        </w:rPr>
      </w:pPr>
      <w:r>
        <w:rPr>
          <w:rFonts w:ascii="Arial" w:hAnsi="Arial" w:cs="Arial"/>
          <w:b/>
          <w:bCs/>
        </w:rPr>
        <w:t xml:space="preserve"> </w:t>
      </w:r>
    </w:p>
    <w:p w14:paraId="20B6AE1E" w14:textId="77777777" w:rsidR="005C70D3" w:rsidRDefault="005C70D3" w:rsidP="00123A87">
      <w:pPr>
        <w:spacing w:line="360" w:lineRule="auto"/>
        <w:rPr>
          <w:rFonts w:ascii="Arial" w:hAnsi="Arial" w:cs="Arial"/>
          <w:b/>
          <w:bCs/>
        </w:rPr>
      </w:pPr>
    </w:p>
    <w:p w14:paraId="6AB17F81" w14:textId="77777777" w:rsidR="00FD01B5" w:rsidRDefault="00FD01B5" w:rsidP="00B5619B">
      <w:pPr>
        <w:spacing w:line="360" w:lineRule="auto"/>
        <w:rPr>
          <w:rFonts w:ascii="Arial" w:hAnsi="Arial" w:cs="Arial"/>
        </w:rPr>
      </w:pPr>
    </w:p>
    <w:p w14:paraId="53F79BBF" w14:textId="77777777" w:rsidR="00D24B90" w:rsidRDefault="00D24B90" w:rsidP="00B5619B">
      <w:pPr>
        <w:spacing w:line="360" w:lineRule="auto"/>
        <w:rPr>
          <w:rFonts w:ascii="Arial" w:hAnsi="Arial" w:cs="Arial"/>
        </w:rPr>
      </w:pPr>
    </w:p>
    <w:p w14:paraId="7ECB8724" w14:textId="7AB5C060" w:rsidR="00D24B90" w:rsidRPr="00891BA6" w:rsidRDefault="00D24B90" w:rsidP="00D24B90">
      <w:pPr>
        <w:rPr>
          <w:b/>
          <w:bCs/>
        </w:rPr>
      </w:pPr>
    </w:p>
    <w:p w14:paraId="7F9E1A21" w14:textId="77777777" w:rsidR="00D24B90" w:rsidRPr="00B5619B" w:rsidRDefault="00D24B90" w:rsidP="00B5619B">
      <w:pPr>
        <w:spacing w:line="360" w:lineRule="auto"/>
        <w:rPr>
          <w:rFonts w:ascii="Arial" w:hAnsi="Arial" w:cs="Arial"/>
        </w:rPr>
      </w:pPr>
    </w:p>
    <w:sectPr w:rsidR="00D24B90" w:rsidRPr="00B5619B" w:rsidSect="007938E8">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94352"/>
    <w:multiLevelType w:val="multilevel"/>
    <w:tmpl w:val="E2AA1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38259F"/>
    <w:multiLevelType w:val="hybridMultilevel"/>
    <w:tmpl w:val="0A2A7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5067B1"/>
    <w:multiLevelType w:val="multilevel"/>
    <w:tmpl w:val="5AD876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E82B86"/>
    <w:multiLevelType w:val="multilevel"/>
    <w:tmpl w:val="E2822F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A691F5F"/>
    <w:multiLevelType w:val="multilevel"/>
    <w:tmpl w:val="6016BD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2E05E0"/>
    <w:multiLevelType w:val="multilevel"/>
    <w:tmpl w:val="133892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06A590D"/>
    <w:multiLevelType w:val="multilevel"/>
    <w:tmpl w:val="FEF807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933D8B"/>
    <w:multiLevelType w:val="multilevel"/>
    <w:tmpl w:val="980C6D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D07507A"/>
    <w:multiLevelType w:val="multilevel"/>
    <w:tmpl w:val="1EEA6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B425D4"/>
    <w:multiLevelType w:val="multilevel"/>
    <w:tmpl w:val="6616DED8"/>
    <w:lvl w:ilvl="0">
      <w:start w:val="1"/>
      <w:numFmt w:val="decimal"/>
      <w:lvlText w:val="%1."/>
      <w:lvlJc w:val="left"/>
      <w:pPr>
        <w:tabs>
          <w:tab w:val="num" w:pos="785"/>
        </w:tabs>
        <w:ind w:left="785" w:hanging="360"/>
      </w:pPr>
      <w:rPr>
        <w:color w:val="000000" w:themeColor="text1"/>
      </w:r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abstractNum w:abstractNumId="10" w15:restartNumberingAfterBreak="0">
    <w:nsid w:val="5A2D443D"/>
    <w:multiLevelType w:val="multilevel"/>
    <w:tmpl w:val="43465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3323991"/>
    <w:multiLevelType w:val="multilevel"/>
    <w:tmpl w:val="68587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C10A7F"/>
    <w:multiLevelType w:val="multilevel"/>
    <w:tmpl w:val="C8C0E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7B20DB"/>
    <w:multiLevelType w:val="multilevel"/>
    <w:tmpl w:val="4ADE8E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65089207">
    <w:abstractNumId w:val="8"/>
  </w:num>
  <w:num w:numId="2" w16cid:durableId="280916664">
    <w:abstractNumId w:val="12"/>
  </w:num>
  <w:num w:numId="3" w16cid:durableId="1101529540">
    <w:abstractNumId w:val="13"/>
  </w:num>
  <w:num w:numId="4" w16cid:durableId="1928031952">
    <w:abstractNumId w:val="3"/>
  </w:num>
  <w:num w:numId="5" w16cid:durableId="1808353218">
    <w:abstractNumId w:val="1"/>
  </w:num>
  <w:num w:numId="6" w16cid:durableId="10766363">
    <w:abstractNumId w:val="2"/>
  </w:num>
  <w:num w:numId="7" w16cid:durableId="1754473261">
    <w:abstractNumId w:val="9"/>
  </w:num>
  <w:num w:numId="8" w16cid:durableId="760298245">
    <w:abstractNumId w:val="10"/>
  </w:num>
  <w:num w:numId="9" w16cid:durableId="1984657582">
    <w:abstractNumId w:val="11"/>
  </w:num>
  <w:num w:numId="10" w16cid:durableId="1487435131">
    <w:abstractNumId w:val="4"/>
  </w:num>
  <w:num w:numId="11" w16cid:durableId="405031250">
    <w:abstractNumId w:val="6"/>
  </w:num>
  <w:num w:numId="12" w16cid:durableId="1527711241">
    <w:abstractNumId w:val="0"/>
  </w:num>
  <w:num w:numId="13" w16cid:durableId="150030312">
    <w:abstractNumId w:val="7"/>
  </w:num>
  <w:num w:numId="14" w16cid:durableId="59462870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212"/>
    <w:rsid w:val="00002857"/>
    <w:rsid w:val="000030F0"/>
    <w:rsid w:val="0000712D"/>
    <w:rsid w:val="000073CB"/>
    <w:rsid w:val="00010A67"/>
    <w:rsid w:val="00011EED"/>
    <w:rsid w:val="00017B82"/>
    <w:rsid w:val="00020A67"/>
    <w:rsid w:val="000269DB"/>
    <w:rsid w:val="00031CFF"/>
    <w:rsid w:val="00031EB8"/>
    <w:rsid w:val="00042B99"/>
    <w:rsid w:val="00045D5E"/>
    <w:rsid w:val="000501BB"/>
    <w:rsid w:val="00050B6C"/>
    <w:rsid w:val="00055848"/>
    <w:rsid w:val="0006201D"/>
    <w:rsid w:val="00066CBB"/>
    <w:rsid w:val="00077A14"/>
    <w:rsid w:val="00081145"/>
    <w:rsid w:val="00086FB2"/>
    <w:rsid w:val="0009257F"/>
    <w:rsid w:val="000A539E"/>
    <w:rsid w:val="000B6A79"/>
    <w:rsid w:val="000D7D5E"/>
    <w:rsid w:val="000F11FA"/>
    <w:rsid w:val="000F1BA5"/>
    <w:rsid w:val="000F271A"/>
    <w:rsid w:val="000F6B5C"/>
    <w:rsid w:val="000F7104"/>
    <w:rsid w:val="00112F0E"/>
    <w:rsid w:val="00114E17"/>
    <w:rsid w:val="00123A87"/>
    <w:rsid w:val="0012685E"/>
    <w:rsid w:val="0013013D"/>
    <w:rsid w:val="00140ABA"/>
    <w:rsid w:val="00144562"/>
    <w:rsid w:val="001510DE"/>
    <w:rsid w:val="00154813"/>
    <w:rsid w:val="00160BC2"/>
    <w:rsid w:val="001614BA"/>
    <w:rsid w:val="0017349A"/>
    <w:rsid w:val="001747AE"/>
    <w:rsid w:val="00177BF9"/>
    <w:rsid w:val="00184020"/>
    <w:rsid w:val="001E121B"/>
    <w:rsid w:val="001E4A42"/>
    <w:rsid w:val="001E4C66"/>
    <w:rsid w:val="001E73DD"/>
    <w:rsid w:val="00206C41"/>
    <w:rsid w:val="00207A98"/>
    <w:rsid w:val="00210DF3"/>
    <w:rsid w:val="0022087E"/>
    <w:rsid w:val="002277A0"/>
    <w:rsid w:val="002320E5"/>
    <w:rsid w:val="00232E54"/>
    <w:rsid w:val="002436AA"/>
    <w:rsid w:val="002518BE"/>
    <w:rsid w:val="00253281"/>
    <w:rsid w:val="00256EFC"/>
    <w:rsid w:val="002600A4"/>
    <w:rsid w:val="00265E38"/>
    <w:rsid w:val="002806D5"/>
    <w:rsid w:val="002878EB"/>
    <w:rsid w:val="00291DB8"/>
    <w:rsid w:val="002938B3"/>
    <w:rsid w:val="002A0B35"/>
    <w:rsid w:val="002A3667"/>
    <w:rsid w:val="002A4391"/>
    <w:rsid w:val="002B30FA"/>
    <w:rsid w:val="002D3E7A"/>
    <w:rsid w:val="002E2AFE"/>
    <w:rsid w:val="002F7EF8"/>
    <w:rsid w:val="003128C5"/>
    <w:rsid w:val="003247D1"/>
    <w:rsid w:val="003275D3"/>
    <w:rsid w:val="00342858"/>
    <w:rsid w:val="00344934"/>
    <w:rsid w:val="00366F35"/>
    <w:rsid w:val="00372A81"/>
    <w:rsid w:val="003814D8"/>
    <w:rsid w:val="0038376A"/>
    <w:rsid w:val="0038593F"/>
    <w:rsid w:val="00387988"/>
    <w:rsid w:val="003918EC"/>
    <w:rsid w:val="00391BDA"/>
    <w:rsid w:val="003A07C5"/>
    <w:rsid w:val="003B2ED7"/>
    <w:rsid w:val="003D353D"/>
    <w:rsid w:val="003D7006"/>
    <w:rsid w:val="003D7CB2"/>
    <w:rsid w:val="003E425D"/>
    <w:rsid w:val="003F078B"/>
    <w:rsid w:val="003F21A7"/>
    <w:rsid w:val="003F54F0"/>
    <w:rsid w:val="00411A01"/>
    <w:rsid w:val="00427A43"/>
    <w:rsid w:val="0043241E"/>
    <w:rsid w:val="00437DCB"/>
    <w:rsid w:val="00440370"/>
    <w:rsid w:val="00445E85"/>
    <w:rsid w:val="00447E9A"/>
    <w:rsid w:val="0046013A"/>
    <w:rsid w:val="004671A1"/>
    <w:rsid w:val="00470F4A"/>
    <w:rsid w:val="00487E37"/>
    <w:rsid w:val="00493356"/>
    <w:rsid w:val="00493626"/>
    <w:rsid w:val="004970B5"/>
    <w:rsid w:val="004A1CA6"/>
    <w:rsid w:val="004A2D8E"/>
    <w:rsid w:val="004A627B"/>
    <w:rsid w:val="004A63F8"/>
    <w:rsid w:val="004B062E"/>
    <w:rsid w:val="004B0AFC"/>
    <w:rsid w:val="004B2306"/>
    <w:rsid w:val="004B4461"/>
    <w:rsid w:val="004C3202"/>
    <w:rsid w:val="004C39E4"/>
    <w:rsid w:val="004C4559"/>
    <w:rsid w:val="004C76DE"/>
    <w:rsid w:val="004D71BA"/>
    <w:rsid w:val="004E6DF2"/>
    <w:rsid w:val="004F4685"/>
    <w:rsid w:val="004F5737"/>
    <w:rsid w:val="0050060D"/>
    <w:rsid w:val="005009C3"/>
    <w:rsid w:val="005051A9"/>
    <w:rsid w:val="00510C9F"/>
    <w:rsid w:val="00511563"/>
    <w:rsid w:val="00512057"/>
    <w:rsid w:val="00521C25"/>
    <w:rsid w:val="00534B20"/>
    <w:rsid w:val="00535FD0"/>
    <w:rsid w:val="00540E16"/>
    <w:rsid w:val="00554BFC"/>
    <w:rsid w:val="005613CE"/>
    <w:rsid w:val="005713F5"/>
    <w:rsid w:val="00571585"/>
    <w:rsid w:val="0057381C"/>
    <w:rsid w:val="00573F6E"/>
    <w:rsid w:val="00586330"/>
    <w:rsid w:val="005A323B"/>
    <w:rsid w:val="005A5FDB"/>
    <w:rsid w:val="005B6412"/>
    <w:rsid w:val="005B716F"/>
    <w:rsid w:val="005C6D67"/>
    <w:rsid w:val="005C70D3"/>
    <w:rsid w:val="005C7E8B"/>
    <w:rsid w:val="005D6212"/>
    <w:rsid w:val="00611857"/>
    <w:rsid w:val="006168B2"/>
    <w:rsid w:val="00616B13"/>
    <w:rsid w:val="00621AD7"/>
    <w:rsid w:val="00622EBC"/>
    <w:rsid w:val="00627C2C"/>
    <w:rsid w:val="00634C59"/>
    <w:rsid w:val="006371ED"/>
    <w:rsid w:val="00641D14"/>
    <w:rsid w:val="00647CA5"/>
    <w:rsid w:val="006537F1"/>
    <w:rsid w:val="006541D1"/>
    <w:rsid w:val="00664A11"/>
    <w:rsid w:val="00667C00"/>
    <w:rsid w:val="00672119"/>
    <w:rsid w:val="00677C81"/>
    <w:rsid w:val="00683B36"/>
    <w:rsid w:val="00684A6B"/>
    <w:rsid w:val="006912B9"/>
    <w:rsid w:val="0069192D"/>
    <w:rsid w:val="006B5F3D"/>
    <w:rsid w:val="006C2F8E"/>
    <w:rsid w:val="006D2350"/>
    <w:rsid w:val="006D51D8"/>
    <w:rsid w:val="006E6148"/>
    <w:rsid w:val="006F4E38"/>
    <w:rsid w:val="00703094"/>
    <w:rsid w:val="007068B7"/>
    <w:rsid w:val="007106F8"/>
    <w:rsid w:val="0072343A"/>
    <w:rsid w:val="00725982"/>
    <w:rsid w:val="00725AD6"/>
    <w:rsid w:val="0072799D"/>
    <w:rsid w:val="007310A3"/>
    <w:rsid w:val="007507BB"/>
    <w:rsid w:val="0075199C"/>
    <w:rsid w:val="00762C61"/>
    <w:rsid w:val="00764A93"/>
    <w:rsid w:val="00765E95"/>
    <w:rsid w:val="00770155"/>
    <w:rsid w:val="0077384B"/>
    <w:rsid w:val="007757FC"/>
    <w:rsid w:val="00784D22"/>
    <w:rsid w:val="007938E8"/>
    <w:rsid w:val="007A0D54"/>
    <w:rsid w:val="007A0DEE"/>
    <w:rsid w:val="007A2A79"/>
    <w:rsid w:val="007B1ED4"/>
    <w:rsid w:val="007B64AB"/>
    <w:rsid w:val="007B666B"/>
    <w:rsid w:val="007C6119"/>
    <w:rsid w:val="007C6790"/>
    <w:rsid w:val="007C7A41"/>
    <w:rsid w:val="007D0681"/>
    <w:rsid w:val="007E06BB"/>
    <w:rsid w:val="007E1683"/>
    <w:rsid w:val="007F07DC"/>
    <w:rsid w:val="007F5076"/>
    <w:rsid w:val="00800CCB"/>
    <w:rsid w:val="00823C9F"/>
    <w:rsid w:val="00827B34"/>
    <w:rsid w:val="00841DCA"/>
    <w:rsid w:val="00850B72"/>
    <w:rsid w:val="00856050"/>
    <w:rsid w:val="0085686E"/>
    <w:rsid w:val="00862CB0"/>
    <w:rsid w:val="00863E50"/>
    <w:rsid w:val="00887160"/>
    <w:rsid w:val="00891BA6"/>
    <w:rsid w:val="00893ECA"/>
    <w:rsid w:val="00896678"/>
    <w:rsid w:val="00897E2E"/>
    <w:rsid w:val="008A2BA9"/>
    <w:rsid w:val="008B1CFE"/>
    <w:rsid w:val="008B4DE6"/>
    <w:rsid w:val="008C171A"/>
    <w:rsid w:val="008C2979"/>
    <w:rsid w:val="008C6D1E"/>
    <w:rsid w:val="008C7679"/>
    <w:rsid w:val="008C7C96"/>
    <w:rsid w:val="008D64C3"/>
    <w:rsid w:val="008E00F3"/>
    <w:rsid w:val="008E738D"/>
    <w:rsid w:val="008F52C3"/>
    <w:rsid w:val="008F68AA"/>
    <w:rsid w:val="00900928"/>
    <w:rsid w:val="009010EE"/>
    <w:rsid w:val="009231F7"/>
    <w:rsid w:val="00932C51"/>
    <w:rsid w:val="00933098"/>
    <w:rsid w:val="009344EA"/>
    <w:rsid w:val="009424B2"/>
    <w:rsid w:val="009606A5"/>
    <w:rsid w:val="00963D0F"/>
    <w:rsid w:val="00964220"/>
    <w:rsid w:val="00973B8F"/>
    <w:rsid w:val="009740E7"/>
    <w:rsid w:val="0098018F"/>
    <w:rsid w:val="009806E6"/>
    <w:rsid w:val="0099039A"/>
    <w:rsid w:val="009A0243"/>
    <w:rsid w:val="009A43E8"/>
    <w:rsid w:val="009A4C1A"/>
    <w:rsid w:val="009A77FE"/>
    <w:rsid w:val="009C52A9"/>
    <w:rsid w:val="009C5902"/>
    <w:rsid w:val="009C6E6B"/>
    <w:rsid w:val="009D5489"/>
    <w:rsid w:val="009E0052"/>
    <w:rsid w:val="009E06C5"/>
    <w:rsid w:val="009E328D"/>
    <w:rsid w:val="009E5EB5"/>
    <w:rsid w:val="009E7BF0"/>
    <w:rsid w:val="009F25D8"/>
    <w:rsid w:val="00A1176F"/>
    <w:rsid w:val="00A14214"/>
    <w:rsid w:val="00A36D78"/>
    <w:rsid w:val="00A40CD0"/>
    <w:rsid w:val="00A54028"/>
    <w:rsid w:val="00A6139B"/>
    <w:rsid w:val="00A65239"/>
    <w:rsid w:val="00A656B0"/>
    <w:rsid w:val="00A804E8"/>
    <w:rsid w:val="00A82FF2"/>
    <w:rsid w:val="00A86BF4"/>
    <w:rsid w:val="00A9750B"/>
    <w:rsid w:val="00AA0F4D"/>
    <w:rsid w:val="00AA57BD"/>
    <w:rsid w:val="00AB0F0A"/>
    <w:rsid w:val="00AB6D0F"/>
    <w:rsid w:val="00AD3AB5"/>
    <w:rsid w:val="00AD549B"/>
    <w:rsid w:val="00AD5E0E"/>
    <w:rsid w:val="00AE147C"/>
    <w:rsid w:val="00AE5673"/>
    <w:rsid w:val="00AF5F64"/>
    <w:rsid w:val="00AF73E6"/>
    <w:rsid w:val="00B0139C"/>
    <w:rsid w:val="00B018CA"/>
    <w:rsid w:val="00B05539"/>
    <w:rsid w:val="00B13188"/>
    <w:rsid w:val="00B13EBA"/>
    <w:rsid w:val="00B14725"/>
    <w:rsid w:val="00B334B2"/>
    <w:rsid w:val="00B40DA0"/>
    <w:rsid w:val="00B46305"/>
    <w:rsid w:val="00B46919"/>
    <w:rsid w:val="00B5619B"/>
    <w:rsid w:val="00B65012"/>
    <w:rsid w:val="00B72078"/>
    <w:rsid w:val="00B721F3"/>
    <w:rsid w:val="00B72A1C"/>
    <w:rsid w:val="00B80D1D"/>
    <w:rsid w:val="00B834F6"/>
    <w:rsid w:val="00B83637"/>
    <w:rsid w:val="00B908B7"/>
    <w:rsid w:val="00B94593"/>
    <w:rsid w:val="00BA1975"/>
    <w:rsid w:val="00BA4EC4"/>
    <w:rsid w:val="00BA79FE"/>
    <w:rsid w:val="00BB3442"/>
    <w:rsid w:val="00BD5CF3"/>
    <w:rsid w:val="00BE1272"/>
    <w:rsid w:val="00BE1D33"/>
    <w:rsid w:val="00BF01E4"/>
    <w:rsid w:val="00BF0937"/>
    <w:rsid w:val="00BF2E27"/>
    <w:rsid w:val="00C00AD5"/>
    <w:rsid w:val="00C02C70"/>
    <w:rsid w:val="00C05473"/>
    <w:rsid w:val="00C10CA9"/>
    <w:rsid w:val="00C26347"/>
    <w:rsid w:val="00C31634"/>
    <w:rsid w:val="00C321FE"/>
    <w:rsid w:val="00C32C4D"/>
    <w:rsid w:val="00C339C9"/>
    <w:rsid w:val="00C33A6E"/>
    <w:rsid w:val="00C4606C"/>
    <w:rsid w:val="00C5033A"/>
    <w:rsid w:val="00C54109"/>
    <w:rsid w:val="00C56AE0"/>
    <w:rsid w:val="00C85DC9"/>
    <w:rsid w:val="00C87721"/>
    <w:rsid w:val="00C92697"/>
    <w:rsid w:val="00CB2AFA"/>
    <w:rsid w:val="00CB3199"/>
    <w:rsid w:val="00CC0DB1"/>
    <w:rsid w:val="00CC19CB"/>
    <w:rsid w:val="00CC6AB4"/>
    <w:rsid w:val="00CD3092"/>
    <w:rsid w:val="00CE249D"/>
    <w:rsid w:val="00CE3A2B"/>
    <w:rsid w:val="00CE6E40"/>
    <w:rsid w:val="00CF3648"/>
    <w:rsid w:val="00CF3A08"/>
    <w:rsid w:val="00D0642D"/>
    <w:rsid w:val="00D24B90"/>
    <w:rsid w:val="00D27E79"/>
    <w:rsid w:val="00D35175"/>
    <w:rsid w:val="00D552B1"/>
    <w:rsid w:val="00D62AAF"/>
    <w:rsid w:val="00D70E99"/>
    <w:rsid w:val="00D752ED"/>
    <w:rsid w:val="00D918BE"/>
    <w:rsid w:val="00D9674F"/>
    <w:rsid w:val="00D96866"/>
    <w:rsid w:val="00D968DF"/>
    <w:rsid w:val="00D97F76"/>
    <w:rsid w:val="00DA716C"/>
    <w:rsid w:val="00DA7496"/>
    <w:rsid w:val="00DB1F7A"/>
    <w:rsid w:val="00DB2562"/>
    <w:rsid w:val="00DB69FA"/>
    <w:rsid w:val="00DC2113"/>
    <w:rsid w:val="00DD0373"/>
    <w:rsid w:val="00DD0B09"/>
    <w:rsid w:val="00DF6EC2"/>
    <w:rsid w:val="00E00E86"/>
    <w:rsid w:val="00E037A3"/>
    <w:rsid w:val="00E1172B"/>
    <w:rsid w:val="00E23CE2"/>
    <w:rsid w:val="00E41221"/>
    <w:rsid w:val="00E5547F"/>
    <w:rsid w:val="00E652DD"/>
    <w:rsid w:val="00E851F1"/>
    <w:rsid w:val="00E9267C"/>
    <w:rsid w:val="00E92D3D"/>
    <w:rsid w:val="00E95088"/>
    <w:rsid w:val="00EA4EAB"/>
    <w:rsid w:val="00EB48E4"/>
    <w:rsid w:val="00EC0E79"/>
    <w:rsid w:val="00ED0434"/>
    <w:rsid w:val="00ED4E93"/>
    <w:rsid w:val="00EF0502"/>
    <w:rsid w:val="00EF53F0"/>
    <w:rsid w:val="00F01A24"/>
    <w:rsid w:val="00F324F3"/>
    <w:rsid w:val="00F430A6"/>
    <w:rsid w:val="00F529EC"/>
    <w:rsid w:val="00F53BFD"/>
    <w:rsid w:val="00F6069A"/>
    <w:rsid w:val="00F75615"/>
    <w:rsid w:val="00F93F54"/>
    <w:rsid w:val="00F9411F"/>
    <w:rsid w:val="00F969A9"/>
    <w:rsid w:val="00FA57E3"/>
    <w:rsid w:val="00FA610D"/>
    <w:rsid w:val="00FC44E5"/>
    <w:rsid w:val="00FD01B5"/>
    <w:rsid w:val="00FD5F77"/>
    <w:rsid w:val="00FE1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A5905"/>
  <w15:chartTrackingRefBased/>
  <w15:docId w15:val="{D195F9D2-5333-4B3A-B967-6EEEE3533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6212"/>
    <w:rPr>
      <w:kern w:val="0"/>
      <w14:ligatures w14:val="none"/>
    </w:rPr>
  </w:style>
  <w:style w:type="paragraph" w:styleId="Heading1">
    <w:name w:val="heading 1"/>
    <w:basedOn w:val="Normal"/>
    <w:next w:val="Normal"/>
    <w:link w:val="Heading1Char"/>
    <w:uiPriority w:val="9"/>
    <w:qFormat/>
    <w:rsid w:val="005D6212"/>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5D6212"/>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5D6212"/>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5D6212"/>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5D6212"/>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5D6212"/>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5D6212"/>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5D6212"/>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5D6212"/>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62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62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62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62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62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62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62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62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6212"/>
    <w:rPr>
      <w:rFonts w:eastAsiaTheme="majorEastAsia" w:cstheme="majorBidi"/>
      <w:color w:val="272727" w:themeColor="text1" w:themeTint="D8"/>
    </w:rPr>
  </w:style>
  <w:style w:type="paragraph" w:styleId="Title">
    <w:name w:val="Title"/>
    <w:basedOn w:val="Normal"/>
    <w:next w:val="Normal"/>
    <w:link w:val="TitleChar"/>
    <w:uiPriority w:val="10"/>
    <w:qFormat/>
    <w:rsid w:val="005D6212"/>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5D62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6212"/>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5D62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6212"/>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5D6212"/>
    <w:rPr>
      <w:i/>
      <w:iCs/>
      <w:color w:val="404040" w:themeColor="text1" w:themeTint="BF"/>
    </w:rPr>
  </w:style>
  <w:style w:type="paragraph" w:styleId="ListParagraph">
    <w:name w:val="List Paragraph"/>
    <w:basedOn w:val="Normal"/>
    <w:uiPriority w:val="34"/>
    <w:qFormat/>
    <w:rsid w:val="005D6212"/>
    <w:pPr>
      <w:ind w:left="720"/>
      <w:contextualSpacing/>
    </w:pPr>
    <w:rPr>
      <w:kern w:val="2"/>
      <w14:ligatures w14:val="standardContextual"/>
    </w:rPr>
  </w:style>
  <w:style w:type="character" w:styleId="IntenseEmphasis">
    <w:name w:val="Intense Emphasis"/>
    <w:basedOn w:val="DefaultParagraphFont"/>
    <w:uiPriority w:val="21"/>
    <w:qFormat/>
    <w:rsid w:val="005D6212"/>
    <w:rPr>
      <w:i/>
      <w:iCs/>
      <w:color w:val="0F4761" w:themeColor="accent1" w:themeShade="BF"/>
    </w:rPr>
  </w:style>
  <w:style w:type="paragraph" w:styleId="IntenseQuote">
    <w:name w:val="Intense Quote"/>
    <w:basedOn w:val="Normal"/>
    <w:next w:val="Normal"/>
    <w:link w:val="IntenseQuoteChar"/>
    <w:uiPriority w:val="30"/>
    <w:qFormat/>
    <w:rsid w:val="005D62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5D6212"/>
    <w:rPr>
      <w:i/>
      <w:iCs/>
      <w:color w:val="0F4761" w:themeColor="accent1" w:themeShade="BF"/>
    </w:rPr>
  </w:style>
  <w:style w:type="character" w:styleId="IntenseReference">
    <w:name w:val="Intense Reference"/>
    <w:basedOn w:val="DefaultParagraphFont"/>
    <w:uiPriority w:val="32"/>
    <w:qFormat/>
    <w:rsid w:val="005D6212"/>
    <w:rPr>
      <w:b/>
      <w:bCs/>
      <w:smallCaps/>
      <w:color w:val="0F4761" w:themeColor="accent1" w:themeShade="BF"/>
      <w:spacing w:val="5"/>
    </w:rPr>
  </w:style>
  <w:style w:type="table" w:styleId="TableGrid">
    <w:name w:val="Table Grid"/>
    <w:basedOn w:val="TableNormal"/>
    <w:uiPriority w:val="59"/>
    <w:rsid w:val="005D6212"/>
    <w:pPr>
      <w:spacing w:after="0" w:line="240" w:lineRule="auto"/>
    </w:pPr>
    <w:rPr>
      <w:kern w:val="0"/>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1E73DD"/>
    <w:rPr>
      <w:color w:val="467886" w:themeColor="hyperlink"/>
      <w:u w:val="single"/>
    </w:rPr>
  </w:style>
  <w:style w:type="character" w:styleId="UnresolvedMention">
    <w:name w:val="Unresolved Mention"/>
    <w:basedOn w:val="DefaultParagraphFont"/>
    <w:uiPriority w:val="99"/>
    <w:semiHidden/>
    <w:unhideWhenUsed/>
    <w:rsid w:val="001E73DD"/>
    <w:rPr>
      <w:color w:val="605E5C"/>
      <w:shd w:val="clear" w:color="auto" w:fill="E1DFDD"/>
    </w:rPr>
  </w:style>
  <w:style w:type="paragraph" w:customStyle="1" w:styleId="whitespace-pre-wrap">
    <w:name w:val="whitespace-pre-wrap"/>
    <w:basedOn w:val="Normal"/>
    <w:rsid w:val="002320E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ndNoteBibliography">
    <w:name w:val="EndNote Bibliography"/>
    <w:basedOn w:val="Normal"/>
    <w:link w:val="EndNoteBibliographyChar"/>
    <w:rsid w:val="00EF53F0"/>
    <w:pPr>
      <w:spacing w:line="240" w:lineRule="auto"/>
    </w:pPr>
    <w:rPr>
      <w:rFonts w:ascii="Aptos" w:hAnsi="Aptos"/>
      <w:noProof/>
      <w:kern w:val="2"/>
      <w:lang w:val="en-US"/>
      <w14:ligatures w14:val="standardContextual"/>
    </w:rPr>
  </w:style>
  <w:style w:type="character" w:customStyle="1" w:styleId="EndNoteBibliographyChar">
    <w:name w:val="EndNote Bibliography Char"/>
    <w:basedOn w:val="DefaultParagraphFont"/>
    <w:link w:val="EndNoteBibliography"/>
    <w:rsid w:val="00EF53F0"/>
    <w:rPr>
      <w:rFonts w:ascii="Aptos" w:hAnsi="Aptos"/>
      <w:noProo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79929">
      <w:bodyDiv w:val="1"/>
      <w:marLeft w:val="0"/>
      <w:marRight w:val="0"/>
      <w:marTop w:val="0"/>
      <w:marBottom w:val="0"/>
      <w:divBdr>
        <w:top w:val="none" w:sz="0" w:space="0" w:color="auto"/>
        <w:left w:val="none" w:sz="0" w:space="0" w:color="auto"/>
        <w:bottom w:val="none" w:sz="0" w:space="0" w:color="auto"/>
        <w:right w:val="none" w:sz="0" w:space="0" w:color="auto"/>
      </w:divBdr>
    </w:div>
    <w:div w:id="8024967">
      <w:bodyDiv w:val="1"/>
      <w:marLeft w:val="0"/>
      <w:marRight w:val="0"/>
      <w:marTop w:val="0"/>
      <w:marBottom w:val="0"/>
      <w:divBdr>
        <w:top w:val="none" w:sz="0" w:space="0" w:color="auto"/>
        <w:left w:val="none" w:sz="0" w:space="0" w:color="auto"/>
        <w:bottom w:val="none" w:sz="0" w:space="0" w:color="auto"/>
        <w:right w:val="none" w:sz="0" w:space="0" w:color="auto"/>
      </w:divBdr>
    </w:div>
    <w:div w:id="27218613">
      <w:bodyDiv w:val="1"/>
      <w:marLeft w:val="0"/>
      <w:marRight w:val="0"/>
      <w:marTop w:val="0"/>
      <w:marBottom w:val="0"/>
      <w:divBdr>
        <w:top w:val="none" w:sz="0" w:space="0" w:color="auto"/>
        <w:left w:val="none" w:sz="0" w:space="0" w:color="auto"/>
        <w:bottom w:val="none" w:sz="0" w:space="0" w:color="auto"/>
        <w:right w:val="none" w:sz="0" w:space="0" w:color="auto"/>
      </w:divBdr>
    </w:div>
    <w:div w:id="66651527">
      <w:bodyDiv w:val="1"/>
      <w:marLeft w:val="0"/>
      <w:marRight w:val="0"/>
      <w:marTop w:val="0"/>
      <w:marBottom w:val="0"/>
      <w:divBdr>
        <w:top w:val="none" w:sz="0" w:space="0" w:color="auto"/>
        <w:left w:val="none" w:sz="0" w:space="0" w:color="auto"/>
        <w:bottom w:val="none" w:sz="0" w:space="0" w:color="auto"/>
        <w:right w:val="none" w:sz="0" w:space="0" w:color="auto"/>
      </w:divBdr>
    </w:div>
    <w:div w:id="67579278">
      <w:bodyDiv w:val="1"/>
      <w:marLeft w:val="0"/>
      <w:marRight w:val="0"/>
      <w:marTop w:val="0"/>
      <w:marBottom w:val="0"/>
      <w:divBdr>
        <w:top w:val="none" w:sz="0" w:space="0" w:color="auto"/>
        <w:left w:val="none" w:sz="0" w:space="0" w:color="auto"/>
        <w:bottom w:val="none" w:sz="0" w:space="0" w:color="auto"/>
        <w:right w:val="none" w:sz="0" w:space="0" w:color="auto"/>
      </w:divBdr>
    </w:div>
    <w:div w:id="84308850">
      <w:bodyDiv w:val="1"/>
      <w:marLeft w:val="0"/>
      <w:marRight w:val="0"/>
      <w:marTop w:val="0"/>
      <w:marBottom w:val="0"/>
      <w:divBdr>
        <w:top w:val="none" w:sz="0" w:space="0" w:color="auto"/>
        <w:left w:val="none" w:sz="0" w:space="0" w:color="auto"/>
        <w:bottom w:val="none" w:sz="0" w:space="0" w:color="auto"/>
        <w:right w:val="none" w:sz="0" w:space="0" w:color="auto"/>
      </w:divBdr>
    </w:div>
    <w:div w:id="86001634">
      <w:bodyDiv w:val="1"/>
      <w:marLeft w:val="0"/>
      <w:marRight w:val="0"/>
      <w:marTop w:val="0"/>
      <w:marBottom w:val="0"/>
      <w:divBdr>
        <w:top w:val="none" w:sz="0" w:space="0" w:color="auto"/>
        <w:left w:val="none" w:sz="0" w:space="0" w:color="auto"/>
        <w:bottom w:val="none" w:sz="0" w:space="0" w:color="auto"/>
        <w:right w:val="none" w:sz="0" w:space="0" w:color="auto"/>
      </w:divBdr>
    </w:div>
    <w:div w:id="94785730">
      <w:bodyDiv w:val="1"/>
      <w:marLeft w:val="0"/>
      <w:marRight w:val="0"/>
      <w:marTop w:val="0"/>
      <w:marBottom w:val="0"/>
      <w:divBdr>
        <w:top w:val="none" w:sz="0" w:space="0" w:color="auto"/>
        <w:left w:val="none" w:sz="0" w:space="0" w:color="auto"/>
        <w:bottom w:val="none" w:sz="0" w:space="0" w:color="auto"/>
        <w:right w:val="none" w:sz="0" w:space="0" w:color="auto"/>
      </w:divBdr>
    </w:div>
    <w:div w:id="108163778">
      <w:bodyDiv w:val="1"/>
      <w:marLeft w:val="0"/>
      <w:marRight w:val="0"/>
      <w:marTop w:val="0"/>
      <w:marBottom w:val="0"/>
      <w:divBdr>
        <w:top w:val="none" w:sz="0" w:space="0" w:color="auto"/>
        <w:left w:val="none" w:sz="0" w:space="0" w:color="auto"/>
        <w:bottom w:val="none" w:sz="0" w:space="0" w:color="auto"/>
        <w:right w:val="none" w:sz="0" w:space="0" w:color="auto"/>
      </w:divBdr>
    </w:div>
    <w:div w:id="130367257">
      <w:bodyDiv w:val="1"/>
      <w:marLeft w:val="0"/>
      <w:marRight w:val="0"/>
      <w:marTop w:val="0"/>
      <w:marBottom w:val="0"/>
      <w:divBdr>
        <w:top w:val="none" w:sz="0" w:space="0" w:color="auto"/>
        <w:left w:val="none" w:sz="0" w:space="0" w:color="auto"/>
        <w:bottom w:val="none" w:sz="0" w:space="0" w:color="auto"/>
        <w:right w:val="none" w:sz="0" w:space="0" w:color="auto"/>
      </w:divBdr>
    </w:div>
    <w:div w:id="131294141">
      <w:bodyDiv w:val="1"/>
      <w:marLeft w:val="0"/>
      <w:marRight w:val="0"/>
      <w:marTop w:val="0"/>
      <w:marBottom w:val="0"/>
      <w:divBdr>
        <w:top w:val="none" w:sz="0" w:space="0" w:color="auto"/>
        <w:left w:val="none" w:sz="0" w:space="0" w:color="auto"/>
        <w:bottom w:val="none" w:sz="0" w:space="0" w:color="auto"/>
        <w:right w:val="none" w:sz="0" w:space="0" w:color="auto"/>
      </w:divBdr>
    </w:div>
    <w:div w:id="142552156">
      <w:bodyDiv w:val="1"/>
      <w:marLeft w:val="0"/>
      <w:marRight w:val="0"/>
      <w:marTop w:val="0"/>
      <w:marBottom w:val="0"/>
      <w:divBdr>
        <w:top w:val="none" w:sz="0" w:space="0" w:color="auto"/>
        <w:left w:val="none" w:sz="0" w:space="0" w:color="auto"/>
        <w:bottom w:val="none" w:sz="0" w:space="0" w:color="auto"/>
        <w:right w:val="none" w:sz="0" w:space="0" w:color="auto"/>
      </w:divBdr>
    </w:div>
    <w:div w:id="164826170">
      <w:bodyDiv w:val="1"/>
      <w:marLeft w:val="0"/>
      <w:marRight w:val="0"/>
      <w:marTop w:val="0"/>
      <w:marBottom w:val="0"/>
      <w:divBdr>
        <w:top w:val="none" w:sz="0" w:space="0" w:color="auto"/>
        <w:left w:val="none" w:sz="0" w:space="0" w:color="auto"/>
        <w:bottom w:val="none" w:sz="0" w:space="0" w:color="auto"/>
        <w:right w:val="none" w:sz="0" w:space="0" w:color="auto"/>
      </w:divBdr>
    </w:div>
    <w:div w:id="168301617">
      <w:bodyDiv w:val="1"/>
      <w:marLeft w:val="0"/>
      <w:marRight w:val="0"/>
      <w:marTop w:val="0"/>
      <w:marBottom w:val="0"/>
      <w:divBdr>
        <w:top w:val="none" w:sz="0" w:space="0" w:color="auto"/>
        <w:left w:val="none" w:sz="0" w:space="0" w:color="auto"/>
        <w:bottom w:val="none" w:sz="0" w:space="0" w:color="auto"/>
        <w:right w:val="none" w:sz="0" w:space="0" w:color="auto"/>
      </w:divBdr>
    </w:div>
    <w:div w:id="176963677">
      <w:bodyDiv w:val="1"/>
      <w:marLeft w:val="0"/>
      <w:marRight w:val="0"/>
      <w:marTop w:val="0"/>
      <w:marBottom w:val="0"/>
      <w:divBdr>
        <w:top w:val="none" w:sz="0" w:space="0" w:color="auto"/>
        <w:left w:val="none" w:sz="0" w:space="0" w:color="auto"/>
        <w:bottom w:val="none" w:sz="0" w:space="0" w:color="auto"/>
        <w:right w:val="none" w:sz="0" w:space="0" w:color="auto"/>
      </w:divBdr>
    </w:div>
    <w:div w:id="203451474">
      <w:bodyDiv w:val="1"/>
      <w:marLeft w:val="0"/>
      <w:marRight w:val="0"/>
      <w:marTop w:val="0"/>
      <w:marBottom w:val="0"/>
      <w:divBdr>
        <w:top w:val="none" w:sz="0" w:space="0" w:color="auto"/>
        <w:left w:val="none" w:sz="0" w:space="0" w:color="auto"/>
        <w:bottom w:val="none" w:sz="0" w:space="0" w:color="auto"/>
        <w:right w:val="none" w:sz="0" w:space="0" w:color="auto"/>
      </w:divBdr>
    </w:div>
    <w:div w:id="212468721">
      <w:bodyDiv w:val="1"/>
      <w:marLeft w:val="0"/>
      <w:marRight w:val="0"/>
      <w:marTop w:val="0"/>
      <w:marBottom w:val="0"/>
      <w:divBdr>
        <w:top w:val="none" w:sz="0" w:space="0" w:color="auto"/>
        <w:left w:val="none" w:sz="0" w:space="0" w:color="auto"/>
        <w:bottom w:val="none" w:sz="0" w:space="0" w:color="auto"/>
        <w:right w:val="none" w:sz="0" w:space="0" w:color="auto"/>
      </w:divBdr>
    </w:div>
    <w:div w:id="214243358">
      <w:bodyDiv w:val="1"/>
      <w:marLeft w:val="0"/>
      <w:marRight w:val="0"/>
      <w:marTop w:val="0"/>
      <w:marBottom w:val="0"/>
      <w:divBdr>
        <w:top w:val="none" w:sz="0" w:space="0" w:color="auto"/>
        <w:left w:val="none" w:sz="0" w:space="0" w:color="auto"/>
        <w:bottom w:val="none" w:sz="0" w:space="0" w:color="auto"/>
        <w:right w:val="none" w:sz="0" w:space="0" w:color="auto"/>
      </w:divBdr>
    </w:div>
    <w:div w:id="232544203">
      <w:bodyDiv w:val="1"/>
      <w:marLeft w:val="0"/>
      <w:marRight w:val="0"/>
      <w:marTop w:val="0"/>
      <w:marBottom w:val="0"/>
      <w:divBdr>
        <w:top w:val="none" w:sz="0" w:space="0" w:color="auto"/>
        <w:left w:val="none" w:sz="0" w:space="0" w:color="auto"/>
        <w:bottom w:val="none" w:sz="0" w:space="0" w:color="auto"/>
        <w:right w:val="none" w:sz="0" w:space="0" w:color="auto"/>
      </w:divBdr>
    </w:div>
    <w:div w:id="248930761">
      <w:bodyDiv w:val="1"/>
      <w:marLeft w:val="0"/>
      <w:marRight w:val="0"/>
      <w:marTop w:val="0"/>
      <w:marBottom w:val="0"/>
      <w:divBdr>
        <w:top w:val="none" w:sz="0" w:space="0" w:color="auto"/>
        <w:left w:val="none" w:sz="0" w:space="0" w:color="auto"/>
        <w:bottom w:val="none" w:sz="0" w:space="0" w:color="auto"/>
        <w:right w:val="none" w:sz="0" w:space="0" w:color="auto"/>
      </w:divBdr>
    </w:div>
    <w:div w:id="250311819">
      <w:bodyDiv w:val="1"/>
      <w:marLeft w:val="0"/>
      <w:marRight w:val="0"/>
      <w:marTop w:val="0"/>
      <w:marBottom w:val="0"/>
      <w:divBdr>
        <w:top w:val="none" w:sz="0" w:space="0" w:color="auto"/>
        <w:left w:val="none" w:sz="0" w:space="0" w:color="auto"/>
        <w:bottom w:val="none" w:sz="0" w:space="0" w:color="auto"/>
        <w:right w:val="none" w:sz="0" w:space="0" w:color="auto"/>
      </w:divBdr>
    </w:div>
    <w:div w:id="289819956">
      <w:bodyDiv w:val="1"/>
      <w:marLeft w:val="0"/>
      <w:marRight w:val="0"/>
      <w:marTop w:val="0"/>
      <w:marBottom w:val="0"/>
      <w:divBdr>
        <w:top w:val="none" w:sz="0" w:space="0" w:color="auto"/>
        <w:left w:val="none" w:sz="0" w:space="0" w:color="auto"/>
        <w:bottom w:val="none" w:sz="0" w:space="0" w:color="auto"/>
        <w:right w:val="none" w:sz="0" w:space="0" w:color="auto"/>
      </w:divBdr>
    </w:div>
    <w:div w:id="307639183">
      <w:bodyDiv w:val="1"/>
      <w:marLeft w:val="0"/>
      <w:marRight w:val="0"/>
      <w:marTop w:val="0"/>
      <w:marBottom w:val="0"/>
      <w:divBdr>
        <w:top w:val="none" w:sz="0" w:space="0" w:color="auto"/>
        <w:left w:val="none" w:sz="0" w:space="0" w:color="auto"/>
        <w:bottom w:val="none" w:sz="0" w:space="0" w:color="auto"/>
        <w:right w:val="none" w:sz="0" w:space="0" w:color="auto"/>
      </w:divBdr>
    </w:div>
    <w:div w:id="308478323">
      <w:bodyDiv w:val="1"/>
      <w:marLeft w:val="0"/>
      <w:marRight w:val="0"/>
      <w:marTop w:val="0"/>
      <w:marBottom w:val="0"/>
      <w:divBdr>
        <w:top w:val="none" w:sz="0" w:space="0" w:color="auto"/>
        <w:left w:val="none" w:sz="0" w:space="0" w:color="auto"/>
        <w:bottom w:val="none" w:sz="0" w:space="0" w:color="auto"/>
        <w:right w:val="none" w:sz="0" w:space="0" w:color="auto"/>
      </w:divBdr>
    </w:div>
    <w:div w:id="343944525">
      <w:bodyDiv w:val="1"/>
      <w:marLeft w:val="0"/>
      <w:marRight w:val="0"/>
      <w:marTop w:val="0"/>
      <w:marBottom w:val="0"/>
      <w:divBdr>
        <w:top w:val="none" w:sz="0" w:space="0" w:color="auto"/>
        <w:left w:val="none" w:sz="0" w:space="0" w:color="auto"/>
        <w:bottom w:val="none" w:sz="0" w:space="0" w:color="auto"/>
        <w:right w:val="none" w:sz="0" w:space="0" w:color="auto"/>
      </w:divBdr>
    </w:div>
    <w:div w:id="372510437">
      <w:bodyDiv w:val="1"/>
      <w:marLeft w:val="0"/>
      <w:marRight w:val="0"/>
      <w:marTop w:val="0"/>
      <w:marBottom w:val="0"/>
      <w:divBdr>
        <w:top w:val="none" w:sz="0" w:space="0" w:color="auto"/>
        <w:left w:val="none" w:sz="0" w:space="0" w:color="auto"/>
        <w:bottom w:val="none" w:sz="0" w:space="0" w:color="auto"/>
        <w:right w:val="none" w:sz="0" w:space="0" w:color="auto"/>
      </w:divBdr>
      <w:divsChild>
        <w:div w:id="1579248334">
          <w:marLeft w:val="300"/>
          <w:marRight w:val="0"/>
          <w:marTop w:val="0"/>
          <w:marBottom w:val="300"/>
          <w:divBdr>
            <w:top w:val="none" w:sz="0" w:space="0" w:color="auto"/>
            <w:left w:val="none" w:sz="0" w:space="0" w:color="auto"/>
            <w:bottom w:val="none" w:sz="0" w:space="0" w:color="auto"/>
            <w:right w:val="none" w:sz="0" w:space="0" w:color="auto"/>
          </w:divBdr>
        </w:div>
        <w:div w:id="1768427310">
          <w:marLeft w:val="0"/>
          <w:marRight w:val="0"/>
          <w:marTop w:val="0"/>
          <w:marBottom w:val="150"/>
          <w:divBdr>
            <w:top w:val="none" w:sz="0" w:space="0" w:color="auto"/>
            <w:left w:val="none" w:sz="0" w:space="0" w:color="auto"/>
            <w:bottom w:val="none" w:sz="0" w:space="0" w:color="auto"/>
            <w:right w:val="none" w:sz="0" w:space="0" w:color="auto"/>
          </w:divBdr>
        </w:div>
      </w:divsChild>
    </w:div>
    <w:div w:id="379524836">
      <w:bodyDiv w:val="1"/>
      <w:marLeft w:val="0"/>
      <w:marRight w:val="0"/>
      <w:marTop w:val="0"/>
      <w:marBottom w:val="0"/>
      <w:divBdr>
        <w:top w:val="none" w:sz="0" w:space="0" w:color="auto"/>
        <w:left w:val="none" w:sz="0" w:space="0" w:color="auto"/>
        <w:bottom w:val="none" w:sz="0" w:space="0" w:color="auto"/>
        <w:right w:val="none" w:sz="0" w:space="0" w:color="auto"/>
      </w:divBdr>
    </w:div>
    <w:div w:id="426267573">
      <w:bodyDiv w:val="1"/>
      <w:marLeft w:val="0"/>
      <w:marRight w:val="0"/>
      <w:marTop w:val="0"/>
      <w:marBottom w:val="0"/>
      <w:divBdr>
        <w:top w:val="none" w:sz="0" w:space="0" w:color="auto"/>
        <w:left w:val="none" w:sz="0" w:space="0" w:color="auto"/>
        <w:bottom w:val="none" w:sz="0" w:space="0" w:color="auto"/>
        <w:right w:val="none" w:sz="0" w:space="0" w:color="auto"/>
      </w:divBdr>
    </w:div>
    <w:div w:id="454175938">
      <w:bodyDiv w:val="1"/>
      <w:marLeft w:val="0"/>
      <w:marRight w:val="0"/>
      <w:marTop w:val="0"/>
      <w:marBottom w:val="0"/>
      <w:divBdr>
        <w:top w:val="none" w:sz="0" w:space="0" w:color="auto"/>
        <w:left w:val="none" w:sz="0" w:space="0" w:color="auto"/>
        <w:bottom w:val="none" w:sz="0" w:space="0" w:color="auto"/>
        <w:right w:val="none" w:sz="0" w:space="0" w:color="auto"/>
      </w:divBdr>
    </w:div>
    <w:div w:id="458381320">
      <w:bodyDiv w:val="1"/>
      <w:marLeft w:val="0"/>
      <w:marRight w:val="0"/>
      <w:marTop w:val="0"/>
      <w:marBottom w:val="0"/>
      <w:divBdr>
        <w:top w:val="none" w:sz="0" w:space="0" w:color="auto"/>
        <w:left w:val="none" w:sz="0" w:space="0" w:color="auto"/>
        <w:bottom w:val="none" w:sz="0" w:space="0" w:color="auto"/>
        <w:right w:val="none" w:sz="0" w:space="0" w:color="auto"/>
      </w:divBdr>
    </w:div>
    <w:div w:id="504243236">
      <w:bodyDiv w:val="1"/>
      <w:marLeft w:val="0"/>
      <w:marRight w:val="0"/>
      <w:marTop w:val="0"/>
      <w:marBottom w:val="0"/>
      <w:divBdr>
        <w:top w:val="none" w:sz="0" w:space="0" w:color="auto"/>
        <w:left w:val="none" w:sz="0" w:space="0" w:color="auto"/>
        <w:bottom w:val="none" w:sz="0" w:space="0" w:color="auto"/>
        <w:right w:val="none" w:sz="0" w:space="0" w:color="auto"/>
      </w:divBdr>
      <w:divsChild>
        <w:div w:id="351616402">
          <w:marLeft w:val="300"/>
          <w:marRight w:val="0"/>
          <w:marTop w:val="0"/>
          <w:marBottom w:val="300"/>
          <w:divBdr>
            <w:top w:val="none" w:sz="0" w:space="0" w:color="auto"/>
            <w:left w:val="none" w:sz="0" w:space="0" w:color="auto"/>
            <w:bottom w:val="none" w:sz="0" w:space="0" w:color="auto"/>
            <w:right w:val="none" w:sz="0" w:space="0" w:color="auto"/>
          </w:divBdr>
        </w:div>
        <w:div w:id="1094131504">
          <w:marLeft w:val="0"/>
          <w:marRight w:val="0"/>
          <w:marTop w:val="0"/>
          <w:marBottom w:val="150"/>
          <w:divBdr>
            <w:top w:val="none" w:sz="0" w:space="0" w:color="auto"/>
            <w:left w:val="none" w:sz="0" w:space="0" w:color="auto"/>
            <w:bottom w:val="none" w:sz="0" w:space="0" w:color="auto"/>
            <w:right w:val="none" w:sz="0" w:space="0" w:color="auto"/>
          </w:divBdr>
        </w:div>
      </w:divsChild>
    </w:div>
    <w:div w:id="507644734">
      <w:bodyDiv w:val="1"/>
      <w:marLeft w:val="0"/>
      <w:marRight w:val="0"/>
      <w:marTop w:val="0"/>
      <w:marBottom w:val="0"/>
      <w:divBdr>
        <w:top w:val="none" w:sz="0" w:space="0" w:color="auto"/>
        <w:left w:val="none" w:sz="0" w:space="0" w:color="auto"/>
        <w:bottom w:val="none" w:sz="0" w:space="0" w:color="auto"/>
        <w:right w:val="none" w:sz="0" w:space="0" w:color="auto"/>
      </w:divBdr>
    </w:div>
    <w:div w:id="534149948">
      <w:bodyDiv w:val="1"/>
      <w:marLeft w:val="0"/>
      <w:marRight w:val="0"/>
      <w:marTop w:val="0"/>
      <w:marBottom w:val="0"/>
      <w:divBdr>
        <w:top w:val="none" w:sz="0" w:space="0" w:color="auto"/>
        <w:left w:val="none" w:sz="0" w:space="0" w:color="auto"/>
        <w:bottom w:val="none" w:sz="0" w:space="0" w:color="auto"/>
        <w:right w:val="none" w:sz="0" w:space="0" w:color="auto"/>
      </w:divBdr>
    </w:div>
    <w:div w:id="544686041">
      <w:bodyDiv w:val="1"/>
      <w:marLeft w:val="0"/>
      <w:marRight w:val="0"/>
      <w:marTop w:val="0"/>
      <w:marBottom w:val="0"/>
      <w:divBdr>
        <w:top w:val="none" w:sz="0" w:space="0" w:color="auto"/>
        <w:left w:val="none" w:sz="0" w:space="0" w:color="auto"/>
        <w:bottom w:val="none" w:sz="0" w:space="0" w:color="auto"/>
        <w:right w:val="none" w:sz="0" w:space="0" w:color="auto"/>
      </w:divBdr>
    </w:div>
    <w:div w:id="547304530">
      <w:bodyDiv w:val="1"/>
      <w:marLeft w:val="0"/>
      <w:marRight w:val="0"/>
      <w:marTop w:val="0"/>
      <w:marBottom w:val="0"/>
      <w:divBdr>
        <w:top w:val="none" w:sz="0" w:space="0" w:color="auto"/>
        <w:left w:val="none" w:sz="0" w:space="0" w:color="auto"/>
        <w:bottom w:val="none" w:sz="0" w:space="0" w:color="auto"/>
        <w:right w:val="none" w:sz="0" w:space="0" w:color="auto"/>
      </w:divBdr>
    </w:div>
    <w:div w:id="575357176">
      <w:bodyDiv w:val="1"/>
      <w:marLeft w:val="0"/>
      <w:marRight w:val="0"/>
      <w:marTop w:val="0"/>
      <w:marBottom w:val="0"/>
      <w:divBdr>
        <w:top w:val="none" w:sz="0" w:space="0" w:color="auto"/>
        <w:left w:val="none" w:sz="0" w:space="0" w:color="auto"/>
        <w:bottom w:val="none" w:sz="0" w:space="0" w:color="auto"/>
        <w:right w:val="none" w:sz="0" w:space="0" w:color="auto"/>
      </w:divBdr>
    </w:div>
    <w:div w:id="583300144">
      <w:bodyDiv w:val="1"/>
      <w:marLeft w:val="0"/>
      <w:marRight w:val="0"/>
      <w:marTop w:val="0"/>
      <w:marBottom w:val="0"/>
      <w:divBdr>
        <w:top w:val="none" w:sz="0" w:space="0" w:color="auto"/>
        <w:left w:val="none" w:sz="0" w:space="0" w:color="auto"/>
        <w:bottom w:val="none" w:sz="0" w:space="0" w:color="auto"/>
        <w:right w:val="none" w:sz="0" w:space="0" w:color="auto"/>
      </w:divBdr>
    </w:div>
    <w:div w:id="598102508">
      <w:bodyDiv w:val="1"/>
      <w:marLeft w:val="0"/>
      <w:marRight w:val="0"/>
      <w:marTop w:val="0"/>
      <w:marBottom w:val="0"/>
      <w:divBdr>
        <w:top w:val="none" w:sz="0" w:space="0" w:color="auto"/>
        <w:left w:val="none" w:sz="0" w:space="0" w:color="auto"/>
        <w:bottom w:val="none" w:sz="0" w:space="0" w:color="auto"/>
        <w:right w:val="none" w:sz="0" w:space="0" w:color="auto"/>
      </w:divBdr>
    </w:div>
    <w:div w:id="599874840">
      <w:bodyDiv w:val="1"/>
      <w:marLeft w:val="0"/>
      <w:marRight w:val="0"/>
      <w:marTop w:val="0"/>
      <w:marBottom w:val="0"/>
      <w:divBdr>
        <w:top w:val="none" w:sz="0" w:space="0" w:color="auto"/>
        <w:left w:val="none" w:sz="0" w:space="0" w:color="auto"/>
        <w:bottom w:val="none" w:sz="0" w:space="0" w:color="auto"/>
        <w:right w:val="none" w:sz="0" w:space="0" w:color="auto"/>
      </w:divBdr>
    </w:div>
    <w:div w:id="600071985">
      <w:bodyDiv w:val="1"/>
      <w:marLeft w:val="0"/>
      <w:marRight w:val="0"/>
      <w:marTop w:val="0"/>
      <w:marBottom w:val="0"/>
      <w:divBdr>
        <w:top w:val="none" w:sz="0" w:space="0" w:color="auto"/>
        <w:left w:val="none" w:sz="0" w:space="0" w:color="auto"/>
        <w:bottom w:val="none" w:sz="0" w:space="0" w:color="auto"/>
        <w:right w:val="none" w:sz="0" w:space="0" w:color="auto"/>
      </w:divBdr>
      <w:divsChild>
        <w:div w:id="383678360">
          <w:marLeft w:val="300"/>
          <w:marRight w:val="0"/>
          <w:marTop w:val="0"/>
          <w:marBottom w:val="300"/>
          <w:divBdr>
            <w:top w:val="none" w:sz="0" w:space="0" w:color="auto"/>
            <w:left w:val="none" w:sz="0" w:space="0" w:color="auto"/>
            <w:bottom w:val="none" w:sz="0" w:space="0" w:color="auto"/>
            <w:right w:val="none" w:sz="0" w:space="0" w:color="auto"/>
          </w:divBdr>
        </w:div>
        <w:div w:id="1198658448">
          <w:marLeft w:val="0"/>
          <w:marRight w:val="0"/>
          <w:marTop w:val="0"/>
          <w:marBottom w:val="150"/>
          <w:divBdr>
            <w:top w:val="none" w:sz="0" w:space="0" w:color="auto"/>
            <w:left w:val="none" w:sz="0" w:space="0" w:color="auto"/>
            <w:bottom w:val="none" w:sz="0" w:space="0" w:color="auto"/>
            <w:right w:val="none" w:sz="0" w:space="0" w:color="auto"/>
          </w:divBdr>
        </w:div>
      </w:divsChild>
    </w:div>
    <w:div w:id="607127931">
      <w:bodyDiv w:val="1"/>
      <w:marLeft w:val="0"/>
      <w:marRight w:val="0"/>
      <w:marTop w:val="0"/>
      <w:marBottom w:val="0"/>
      <w:divBdr>
        <w:top w:val="none" w:sz="0" w:space="0" w:color="auto"/>
        <w:left w:val="none" w:sz="0" w:space="0" w:color="auto"/>
        <w:bottom w:val="none" w:sz="0" w:space="0" w:color="auto"/>
        <w:right w:val="none" w:sz="0" w:space="0" w:color="auto"/>
      </w:divBdr>
    </w:div>
    <w:div w:id="623120193">
      <w:bodyDiv w:val="1"/>
      <w:marLeft w:val="0"/>
      <w:marRight w:val="0"/>
      <w:marTop w:val="0"/>
      <w:marBottom w:val="0"/>
      <w:divBdr>
        <w:top w:val="none" w:sz="0" w:space="0" w:color="auto"/>
        <w:left w:val="none" w:sz="0" w:space="0" w:color="auto"/>
        <w:bottom w:val="none" w:sz="0" w:space="0" w:color="auto"/>
        <w:right w:val="none" w:sz="0" w:space="0" w:color="auto"/>
      </w:divBdr>
    </w:div>
    <w:div w:id="635716227">
      <w:bodyDiv w:val="1"/>
      <w:marLeft w:val="0"/>
      <w:marRight w:val="0"/>
      <w:marTop w:val="0"/>
      <w:marBottom w:val="0"/>
      <w:divBdr>
        <w:top w:val="none" w:sz="0" w:space="0" w:color="auto"/>
        <w:left w:val="none" w:sz="0" w:space="0" w:color="auto"/>
        <w:bottom w:val="none" w:sz="0" w:space="0" w:color="auto"/>
        <w:right w:val="none" w:sz="0" w:space="0" w:color="auto"/>
      </w:divBdr>
      <w:divsChild>
        <w:div w:id="76171283">
          <w:marLeft w:val="0"/>
          <w:marRight w:val="0"/>
          <w:marTop w:val="0"/>
          <w:marBottom w:val="0"/>
          <w:divBdr>
            <w:top w:val="none" w:sz="0" w:space="0" w:color="auto"/>
            <w:left w:val="none" w:sz="0" w:space="0" w:color="auto"/>
            <w:bottom w:val="none" w:sz="0" w:space="0" w:color="auto"/>
            <w:right w:val="none" w:sz="0" w:space="0" w:color="auto"/>
          </w:divBdr>
          <w:divsChild>
            <w:div w:id="342822272">
              <w:marLeft w:val="0"/>
              <w:marRight w:val="0"/>
              <w:marTop w:val="0"/>
              <w:marBottom w:val="0"/>
              <w:divBdr>
                <w:top w:val="none" w:sz="0" w:space="0" w:color="auto"/>
                <w:left w:val="none" w:sz="0" w:space="0" w:color="auto"/>
                <w:bottom w:val="none" w:sz="0" w:space="0" w:color="auto"/>
                <w:right w:val="none" w:sz="0" w:space="0" w:color="auto"/>
              </w:divBdr>
              <w:divsChild>
                <w:div w:id="651444195">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114131684">
          <w:marLeft w:val="0"/>
          <w:marRight w:val="0"/>
          <w:marTop w:val="0"/>
          <w:marBottom w:val="0"/>
          <w:divBdr>
            <w:top w:val="none" w:sz="0" w:space="0" w:color="auto"/>
            <w:left w:val="none" w:sz="0" w:space="0" w:color="auto"/>
            <w:bottom w:val="none" w:sz="0" w:space="0" w:color="auto"/>
            <w:right w:val="none" w:sz="0" w:space="0" w:color="auto"/>
          </w:divBdr>
          <w:divsChild>
            <w:div w:id="63995344">
              <w:marLeft w:val="0"/>
              <w:marRight w:val="0"/>
              <w:marTop w:val="0"/>
              <w:marBottom w:val="0"/>
              <w:divBdr>
                <w:top w:val="none" w:sz="0" w:space="0" w:color="auto"/>
                <w:left w:val="none" w:sz="0" w:space="0" w:color="auto"/>
                <w:bottom w:val="none" w:sz="0" w:space="0" w:color="auto"/>
                <w:right w:val="none" w:sz="0" w:space="0" w:color="auto"/>
              </w:divBdr>
              <w:divsChild>
                <w:div w:id="769008109">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 w:id="1663241592">
          <w:marLeft w:val="0"/>
          <w:marRight w:val="0"/>
          <w:marTop w:val="0"/>
          <w:marBottom w:val="0"/>
          <w:divBdr>
            <w:top w:val="none" w:sz="0" w:space="0" w:color="auto"/>
            <w:left w:val="none" w:sz="0" w:space="0" w:color="auto"/>
            <w:bottom w:val="none" w:sz="0" w:space="0" w:color="auto"/>
            <w:right w:val="none" w:sz="0" w:space="0" w:color="auto"/>
          </w:divBdr>
          <w:divsChild>
            <w:div w:id="391006359">
              <w:marLeft w:val="0"/>
              <w:marRight w:val="0"/>
              <w:marTop w:val="0"/>
              <w:marBottom w:val="0"/>
              <w:divBdr>
                <w:top w:val="none" w:sz="0" w:space="0" w:color="auto"/>
                <w:left w:val="none" w:sz="0" w:space="0" w:color="auto"/>
                <w:bottom w:val="none" w:sz="0" w:space="0" w:color="auto"/>
                <w:right w:val="none" w:sz="0" w:space="0" w:color="auto"/>
              </w:divBdr>
              <w:divsChild>
                <w:div w:id="1926920441">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2111050274">
          <w:marLeft w:val="0"/>
          <w:marRight w:val="0"/>
          <w:marTop w:val="0"/>
          <w:marBottom w:val="0"/>
          <w:divBdr>
            <w:top w:val="none" w:sz="0" w:space="0" w:color="auto"/>
            <w:left w:val="none" w:sz="0" w:space="0" w:color="auto"/>
            <w:bottom w:val="none" w:sz="0" w:space="0" w:color="auto"/>
            <w:right w:val="none" w:sz="0" w:space="0" w:color="auto"/>
          </w:divBdr>
          <w:divsChild>
            <w:div w:id="2062705537">
              <w:marLeft w:val="0"/>
              <w:marRight w:val="0"/>
              <w:marTop w:val="0"/>
              <w:marBottom w:val="0"/>
              <w:divBdr>
                <w:top w:val="none" w:sz="0" w:space="0" w:color="auto"/>
                <w:left w:val="none" w:sz="0" w:space="0" w:color="auto"/>
                <w:bottom w:val="none" w:sz="0" w:space="0" w:color="auto"/>
                <w:right w:val="none" w:sz="0" w:space="0" w:color="auto"/>
              </w:divBdr>
              <w:divsChild>
                <w:div w:id="53280862">
                  <w:marLeft w:val="-420"/>
                  <w:marRight w:val="0"/>
                  <w:marTop w:val="0"/>
                  <w:marBottom w:val="0"/>
                  <w:divBdr>
                    <w:top w:val="none" w:sz="0" w:space="0" w:color="auto"/>
                    <w:left w:val="none" w:sz="0" w:space="0" w:color="auto"/>
                    <w:bottom w:val="none" w:sz="0" w:space="0" w:color="auto"/>
                    <w:right w:val="none" w:sz="0" w:space="0" w:color="auto"/>
                  </w:divBdr>
                  <w:divsChild>
                    <w:div w:id="1365249979">
                      <w:marLeft w:val="0"/>
                      <w:marRight w:val="0"/>
                      <w:marTop w:val="0"/>
                      <w:marBottom w:val="0"/>
                      <w:divBdr>
                        <w:top w:val="none" w:sz="0" w:space="0" w:color="auto"/>
                        <w:left w:val="none" w:sz="0" w:space="0" w:color="auto"/>
                        <w:bottom w:val="none" w:sz="0" w:space="0" w:color="auto"/>
                        <w:right w:val="none" w:sz="0" w:space="0" w:color="auto"/>
                      </w:divBdr>
                      <w:divsChild>
                        <w:div w:id="2066950689">
                          <w:marLeft w:val="0"/>
                          <w:marRight w:val="0"/>
                          <w:marTop w:val="0"/>
                          <w:marBottom w:val="0"/>
                          <w:divBdr>
                            <w:top w:val="none" w:sz="0" w:space="0" w:color="auto"/>
                            <w:left w:val="none" w:sz="0" w:space="0" w:color="auto"/>
                            <w:bottom w:val="none" w:sz="0" w:space="0" w:color="auto"/>
                            <w:right w:val="none" w:sz="0" w:space="0" w:color="auto"/>
                          </w:divBdr>
                          <w:divsChild>
                            <w:div w:id="719134148">
                              <w:marLeft w:val="0"/>
                              <w:marRight w:val="0"/>
                              <w:marTop w:val="0"/>
                              <w:marBottom w:val="0"/>
                              <w:divBdr>
                                <w:top w:val="none" w:sz="0" w:space="0" w:color="auto"/>
                                <w:left w:val="none" w:sz="0" w:space="0" w:color="auto"/>
                                <w:bottom w:val="none" w:sz="0" w:space="0" w:color="auto"/>
                                <w:right w:val="none" w:sz="0" w:space="0" w:color="auto"/>
                              </w:divBdr>
                            </w:div>
                            <w:div w:id="968166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197527">
                  <w:marLeft w:val="-420"/>
                  <w:marRight w:val="0"/>
                  <w:marTop w:val="0"/>
                  <w:marBottom w:val="0"/>
                  <w:divBdr>
                    <w:top w:val="none" w:sz="0" w:space="0" w:color="auto"/>
                    <w:left w:val="none" w:sz="0" w:space="0" w:color="auto"/>
                    <w:bottom w:val="none" w:sz="0" w:space="0" w:color="auto"/>
                    <w:right w:val="none" w:sz="0" w:space="0" w:color="auto"/>
                  </w:divBdr>
                  <w:divsChild>
                    <w:div w:id="1496457472">
                      <w:marLeft w:val="0"/>
                      <w:marRight w:val="0"/>
                      <w:marTop w:val="0"/>
                      <w:marBottom w:val="0"/>
                      <w:divBdr>
                        <w:top w:val="none" w:sz="0" w:space="0" w:color="auto"/>
                        <w:left w:val="none" w:sz="0" w:space="0" w:color="auto"/>
                        <w:bottom w:val="none" w:sz="0" w:space="0" w:color="auto"/>
                        <w:right w:val="none" w:sz="0" w:space="0" w:color="auto"/>
                      </w:divBdr>
                      <w:divsChild>
                        <w:div w:id="1523320034">
                          <w:marLeft w:val="0"/>
                          <w:marRight w:val="0"/>
                          <w:marTop w:val="0"/>
                          <w:marBottom w:val="0"/>
                          <w:divBdr>
                            <w:top w:val="none" w:sz="0" w:space="0" w:color="auto"/>
                            <w:left w:val="none" w:sz="0" w:space="0" w:color="auto"/>
                            <w:bottom w:val="none" w:sz="0" w:space="0" w:color="auto"/>
                            <w:right w:val="none" w:sz="0" w:space="0" w:color="auto"/>
                          </w:divBdr>
                          <w:divsChild>
                            <w:div w:id="326985978">
                              <w:marLeft w:val="0"/>
                              <w:marRight w:val="0"/>
                              <w:marTop w:val="0"/>
                              <w:marBottom w:val="0"/>
                              <w:divBdr>
                                <w:top w:val="none" w:sz="0" w:space="0" w:color="auto"/>
                                <w:left w:val="none" w:sz="0" w:space="0" w:color="auto"/>
                                <w:bottom w:val="none" w:sz="0" w:space="0" w:color="auto"/>
                                <w:right w:val="none" w:sz="0" w:space="0" w:color="auto"/>
                              </w:divBdr>
                            </w:div>
                            <w:div w:id="41120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586389">
                  <w:marLeft w:val="-420"/>
                  <w:marRight w:val="0"/>
                  <w:marTop w:val="0"/>
                  <w:marBottom w:val="0"/>
                  <w:divBdr>
                    <w:top w:val="none" w:sz="0" w:space="0" w:color="auto"/>
                    <w:left w:val="none" w:sz="0" w:space="0" w:color="auto"/>
                    <w:bottom w:val="none" w:sz="0" w:space="0" w:color="auto"/>
                    <w:right w:val="none" w:sz="0" w:space="0" w:color="auto"/>
                  </w:divBdr>
                  <w:divsChild>
                    <w:div w:id="774254476">
                      <w:marLeft w:val="0"/>
                      <w:marRight w:val="0"/>
                      <w:marTop w:val="0"/>
                      <w:marBottom w:val="0"/>
                      <w:divBdr>
                        <w:top w:val="none" w:sz="0" w:space="0" w:color="auto"/>
                        <w:left w:val="none" w:sz="0" w:space="0" w:color="auto"/>
                        <w:bottom w:val="none" w:sz="0" w:space="0" w:color="auto"/>
                        <w:right w:val="none" w:sz="0" w:space="0" w:color="auto"/>
                      </w:divBdr>
                      <w:divsChild>
                        <w:div w:id="1143962547">
                          <w:marLeft w:val="0"/>
                          <w:marRight w:val="0"/>
                          <w:marTop w:val="0"/>
                          <w:marBottom w:val="0"/>
                          <w:divBdr>
                            <w:top w:val="none" w:sz="0" w:space="0" w:color="auto"/>
                            <w:left w:val="none" w:sz="0" w:space="0" w:color="auto"/>
                            <w:bottom w:val="none" w:sz="0" w:space="0" w:color="auto"/>
                            <w:right w:val="none" w:sz="0" w:space="0" w:color="auto"/>
                          </w:divBdr>
                          <w:divsChild>
                            <w:div w:id="1137261801">
                              <w:marLeft w:val="0"/>
                              <w:marRight w:val="0"/>
                              <w:marTop w:val="0"/>
                              <w:marBottom w:val="0"/>
                              <w:divBdr>
                                <w:top w:val="none" w:sz="0" w:space="0" w:color="auto"/>
                                <w:left w:val="none" w:sz="0" w:space="0" w:color="auto"/>
                                <w:bottom w:val="none" w:sz="0" w:space="0" w:color="auto"/>
                                <w:right w:val="none" w:sz="0" w:space="0" w:color="auto"/>
                              </w:divBdr>
                            </w:div>
                            <w:div w:id="1170485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364897">
                  <w:marLeft w:val="-420"/>
                  <w:marRight w:val="0"/>
                  <w:marTop w:val="0"/>
                  <w:marBottom w:val="0"/>
                  <w:divBdr>
                    <w:top w:val="none" w:sz="0" w:space="0" w:color="auto"/>
                    <w:left w:val="none" w:sz="0" w:space="0" w:color="auto"/>
                    <w:bottom w:val="none" w:sz="0" w:space="0" w:color="auto"/>
                    <w:right w:val="none" w:sz="0" w:space="0" w:color="auto"/>
                  </w:divBdr>
                  <w:divsChild>
                    <w:div w:id="1175920790">
                      <w:marLeft w:val="0"/>
                      <w:marRight w:val="0"/>
                      <w:marTop w:val="0"/>
                      <w:marBottom w:val="0"/>
                      <w:divBdr>
                        <w:top w:val="none" w:sz="0" w:space="0" w:color="auto"/>
                        <w:left w:val="none" w:sz="0" w:space="0" w:color="auto"/>
                        <w:bottom w:val="none" w:sz="0" w:space="0" w:color="auto"/>
                        <w:right w:val="none" w:sz="0" w:space="0" w:color="auto"/>
                      </w:divBdr>
                      <w:divsChild>
                        <w:div w:id="307444278">
                          <w:marLeft w:val="0"/>
                          <w:marRight w:val="0"/>
                          <w:marTop w:val="0"/>
                          <w:marBottom w:val="0"/>
                          <w:divBdr>
                            <w:top w:val="none" w:sz="0" w:space="0" w:color="auto"/>
                            <w:left w:val="none" w:sz="0" w:space="0" w:color="auto"/>
                            <w:bottom w:val="none" w:sz="0" w:space="0" w:color="auto"/>
                            <w:right w:val="none" w:sz="0" w:space="0" w:color="auto"/>
                          </w:divBdr>
                          <w:divsChild>
                            <w:div w:id="622228842">
                              <w:marLeft w:val="0"/>
                              <w:marRight w:val="0"/>
                              <w:marTop w:val="0"/>
                              <w:marBottom w:val="0"/>
                              <w:divBdr>
                                <w:top w:val="none" w:sz="0" w:space="0" w:color="auto"/>
                                <w:left w:val="none" w:sz="0" w:space="0" w:color="auto"/>
                                <w:bottom w:val="none" w:sz="0" w:space="0" w:color="auto"/>
                                <w:right w:val="none" w:sz="0" w:space="0" w:color="auto"/>
                              </w:divBdr>
                            </w:div>
                            <w:div w:id="85114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208649">
                  <w:marLeft w:val="-420"/>
                  <w:marRight w:val="0"/>
                  <w:marTop w:val="0"/>
                  <w:marBottom w:val="0"/>
                  <w:divBdr>
                    <w:top w:val="none" w:sz="0" w:space="0" w:color="auto"/>
                    <w:left w:val="none" w:sz="0" w:space="0" w:color="auto"/>
                    <w:bottom w:val="none" w:sz="0" w:space="0" w:color="auto"/>
                    <w:right w:val="none" w:sz="0" w:space="0" w:color="auto"/>
                  </w:divBdr>
                  <w:divsChild>
                    <w:div w:id="1906452861">
                      <w:marLeft w:val="0"/>
                      <w:marRight w:val="0"/>
                      <w:marTop w:val="0"/>
                      <w:marBottom w:val="0"/>
                      <w:divBdr>
                        <w:top w:val="none" w:sz="0" w:space="0" w:color="auto"/>
                        <w:left w:val="none" w:sz="0" w:space="0" w:color="auto"/>
                        <w:bottom w:val="none" w:sz="0" w:space="0" w:color="auto"/>
                        <w:right w:val="none" w:sz="0" w:space="0" w:color="auto"/>
                      </w:divBdr>
                      <w:divsChild>
                        <w:div w:id="1491292168">
                          <w:marLeft w:val="0"/>
                          <w:marRight w:val="0"/>
                          <w:marTop w:val="0"/>
                          <w:marBottom w:val="0"/>
                          <w:divBdr>
                            <w:top w:val="none" w:sz="0" w:space="0" w:color="auto"/>
                            <w:left w:val="none" w:sz="0" w:space="0" w:color="auto"/>
                            <w:bottom w:val="none" w:sz="0" w:space="0" w:color="auto"/>
                            <w:right w:val="none" w:sz="0" w:space="0" w:color="auto"/>
                          </w:divBdr>
                          <w:divsChild>
                            <w:div w:id="408581530">
                              <w:marLeft w:val="0"/>
                              <w:marRight w:val="0"/>
                              <w:marTop w:val="0"/>
                              <w:marBottom w:val="0"/>
                              <w:divBdr>
                                <w:top w:val="none" w:sz="0" w:space="0" w:color="auto"/>
                                <w:left w:val="none" w:sz="0" w:space="0" w:color="auto"/>
                                <w:bottom w:val="none" w:sz="0" w:space="0" w:color="auto"/>
                                <w:right w:val="none" w:sz="0" w:space="0" w:color="auto"/>
                              </w:divBdr>
                            </w:div>
                            <w:div w:id="100200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994519">
                  <w:marLeft w:val="-420"/>
                  <w:marRight w:val="0"/>
                  <w:marTop w:val="0"/>
                  <w:marBottom w:val="0"/>
                  <w:divBdr>
                    <w:top w:val="none" w:sz="0" w:space="0" w:color="auto"/>
                    <w:left w:val="none" w:sz="0" w:space="0" w:color="auto"/>
                    <w:bottom w:val="none" w:sz="0" w:space="0" w:color="auto"/>
                    <w:right w:val="none" w:sz="0" w:space="0" w:color="auto"/>
                  </w:divBdr>
                  <w:divsChild>
                    <w:div w:id="962034491">
                      <w:marLeft w:val="0"/>
                      <w:marRight w:val="0"/>
                      <w:marTop w:val="0"/>
                      <w:marBottom w:val="0"/>
                      <w:divBdr>
                        <w:top w:val="none" w:sz="0" w:space="0" w:color="auto"/>
                        <w:left w:val="none" w:sz="0" w:space="0" w:color="auto"/>
                        <w:bottom w:val="none" w:sz="0" w:space="0" w:color="auto"/>
                        <w:right w:val="none" w:sz="0" w:space="0" w:color="auto"/>
                      </w:divBdr>
                      <w:divsChild>
                        <w:div w:id="1210843858">
                          <w:marLeft w:val="0"/>
                          <w:marRight w:val="0"/>
                          <w:marTop w:val="0"/>
                          <w:marBottom w:val="0"/>
                          <w:divBdr>
                            <w:top w:val="none" w:sz="0" w:space="0" w:color="auto"/>
                            <w:left w:val="none" w:sz="0" w:space="0" w:color="auto"/>
                            <w:bottom w:val="none" w:sz="0" w:space="0" w:color="auto"/>
                            <w:right w:val="none" w:sz="0" w:space="0" w:color="auto"/>
                          </w:divBdr>
                          <w:divsChild>
                            <w:div w:id="1506364451">
                              <w:marLeft w:val="0"/>
                              <w:marRight w:val="0"/>
                              <w:marTop w:val="0"/>
                              <w:marBottom w:val="0"/>
                              <w:divBdr>
                                <w:top w:val="none" w:sz="0" w:space="0" w:color="auto"/>
                                <w:left w:val="none" w:sz="0" w:space="0" w:color="auto"/>
                                <w:bottom w:val="none" w:sz="0" w:space="0" w:color="auto"/>
                                <w:right w:val="none" w:sz="0" w:space="0" w:color="auto"/>
                              </w:divBdr>
                            </w:div>
                            <w:div w:id="183410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080740">
                  <w:marLeft w:val="-420"/>
                  <w:marRight w:val="0"/>
                  <w:marTop w:val="0"/>
                  <w:marBottom w:val="0"/>
                  <w:divBdr>
                    <w:top w:val="none" w:sz="0" w:space="0" w:color="auto"/>
                    <w:left w:val="none" w:sz="0" w:space="0" w:color="auto"/>
                    <w:bottom w:val="none" w:sz="0" w:space="0" w:color="auto"/>
                    <w:right w:val="none" w:sz="0" w:space="0" w:color="auto"/>
                  </w:divBdr>
                  <w:divsChild>
                    <w:div w:id="1982033907">
                      <w:marLeft w:val="0"/>
                      <w:marRight w:val="0"/>
                      <w:marTop w:val="0"/>
                      <w:marBottom w:val="0"/>
                      <w:divBdr>
                        <w:top w:val="none" w:sz="0" w:space="0" w:color="auto"/>
                        <w:left w:val="none" w:sz="0" w:space="0" w:color="auto"/>
                        <w:bottom w:val="none" w:sz="0" w:space="0" w:color="auto"/>
                        <w:right w:val="none" w:sz="0" w:space="0" w:color="auto"/>
                      </w:divBdr>
                      <w:divsChild>
                        <w:div w:id="62029389">
                          <w:marLeft w:val="0"/>
                          <w:marRight w:val="0"/>
                          <w:marTop w:val="0"/>
                          <w:marBottom w:val="0"/>
                          <w:divBdr>
                            <w:top w:val="none" w:sz="0" w:space="0" w:color="auto"/>
                            <w:left w:val="none" w:sz="0" w:space="0" w:color="auto"/>
                            <w:bottom w:val="none" w:sz="0" w:space="0" w:color="auto"/>
                            <w:right w:val="none" w:sz="0" w:space="0" w:color="auto"/>
                          </w:divBdr>
                          <w:divsChild>
                            <w:div w:id="1361739058">
                              <w:marLeft w:val="0"/>
                              <w:marRight w:val="0"/>
                              <w:marTop w:val="0"/>
                              <w:marBottom w:val="0"/>
                              <w:divBdr>
                                <w:top w:val="none" w:sz="0" w:space="0" w:color="auto"/>
                                <w:left w:val="none" w:sz="0" w:space="0" w:color="auto"/>
                                <w:bottom w:val="none" w:sz="0" w:space="0" w:color="auto"/>
                                <w:right w:val="none" w:sz="0" w:space="0" w:color="auto"/>
                              </w:divBdr>
                            </w:div>
                            <w:div w:id="1904751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407036">
                  <w:marLeft w:val="-420"/>
                  <w:marRight w:val="0"/>
                  <w:marTop w:val="0"/>
                  <w:marBottom w:val="0"/>
                  <w:divBdr>
                    <w:top w:val="none" w:sz="0" w:space="0" w:color="auto"/>
                    <w:left w:val="none" w:sz="0" w:space="0" w:color="auto"/>
                    <w:bottom w:val="none" w:sz="0" w:space="0" w:color="auto"/>
                    <w:right w:val="none" w:sz="0" w:space="0" w:color="auto"/>
                  </w:divBdr>
                  <w:divsChild>
                    <w:div w:id="41295413">
                      <w:marLeft w:val="0"/>
                      <w:marRight w:val="0"/>
                      <w:marTop w:val="0"/>
                      <w:marBottom w:val="0"/>
                      <w:divBdr>
                        <w:top w:val="none" w:sz="0" w:space="0" w:color="auto"/>
                        <w:left w:val="none" w:sz="0" w:space="0" w:color="auto"/>
                        <w:bottom w:val="none" w:sz="0" w:space="0" w:color="auto"/>
                        <w:right w:val="none" w:sz="0" w:space="0" w:color="auto"/>
                      </w:divBdr>
                      <w:divsChild>
                        <w:div w:id="343631229">
                          <w:marLeft w:val="0"/>
                          <w:marRight w:val="0"/>
                          <w:marTop w:val="0"/>
                          <w:marBottom w:val="0"/>
                          <w:divBdr>
                            <w:top w:val="none" w:sz="0" w:space="0" w:color="auto"/>
                            <w:left w:val="none" w:sz="0" w:space="0" w:color="auto"/>
                            <w:bottom w:val="none" w:sz="0" w:space="0" w:color="auto"/>
                            <w:right w:val="none" w:sz="0" w:space="0" w:color="auto"/>
                          </w:divBdr>
                          <w:divsChild>
                            <w:div w:id="629213470">
                              <w:marLeft w:val="0"/>
                              <w:marRight w:val="0"/>
                              <w:marTop w:val="0"/>
                              <w:marBottom w:val="0"/>
                              <w:divBdr>
                                <w:top w:val="none" w:sz="0" w:space="0" w:color="auto"/>
                                <w:left w:val="none" w:sz="0" w:space="0" w:color="auto"/>
                                <w:bottom w:val="none" w:sz="0" w:space="0" w:color="auto"/>
                                <w:right w:val="none" w:sz="0" w:space="0" w:color="auto"/>
                              </w:divBdr>
                            </w:div>
                            <w:div w:id="1588222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228163">
                  <w:marLeft w:val="-420"/>
                  <w:marRight w:val="0"/>
                  <w:marTop w:val="0"/>
                  <w:marBottom w:val="0"/>
                  <w:divBdr>
                    <w:top w:val="none" w:sz="0" w:space="0" w:color="auto"/>
                    <w:left w:val="none" w:sz="0" w:space="0" w:color="auto"/>
                    <w:bottom w:val="none" w:sz="0" w:space="0" w:color="auto"/>
                    <w:right w:val="none" w:sz="0" w:space="0" w:color="auto"/>
                  </w:divBdr>
                  <w:divsChild>
                    <w:div w:id="580918787">
                      <w:marLeft w:val="0"/>
                      <w:marRight w:val="0"/>
                      <w:marTop w:val="0"/>
                      <w:marBottom w:val="0"/>
                      <w:divBdr>
                        <w:top w:val="none" w:sz="0" w:space="0" w:color="auto"/>
                        <w:left w:val="none" w:sz="0" w:space="0" w:color="auto"/>
                        <w:bottom w:val="none" w:sz="0" w:space="0" w:color="auto"/>
                        <w:right w:val="none" w:sz="0" w:space="0" w:color="auto"/>
                      </w:divBdr>
                      <w:divsChild>
                        <w:div w:id="1208761572">
                          <w:marLeft w:val="0"/>
                          <w:marRight w:val="0"/>
                          <w:marTop w:val="0"/>
                          <w:marBottom w:val="0"/>
                          <w:divBdr>
                            <w:top w:val="none" w:sz="0" w:space="0" w:color="auto"/>
                            <w:left w:val="none" w:sz="0" w:space="0" w:color="auto"/>
                            <w:bottom w:val="none" w:sz="0" w:space="0" w:color="auto"/>
                            <w:right w:val="none" w:sz="0" w:space="0" w:color="auto"/>
                          </w:divBdr>
                          <w:divsChild>
                            <w:div w:id="461576876">
                              <w:marLeft w:val="0"/>
                              <w:marRight w:val="0"/>
                              <w:marTop w:val="0"/>
                              <w:marBottom w:val="0"/>
                              <w:divBdr>
                                <w:top w:val="none" w:sz="0" w:space="0" w:color="auto"/>
                                <w:left w:val="none" w:sz="0" w:space="0" w:color="auto"/>
                                <w:bottom w:val="none" w:sz="0" w:space="0" w:color="auto"/>
                                <w:right w:val="none" w:sz="0" w:space="0" w:color="auto"/>
                              </w:divBdr>
                            </w:div>
                            <w:div w:id="964310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886544">
                  <w:marLeft w:val="-420"/>
                  <w:marRight w:val="0"/>
                  <w:marTop w:val="0"/>
                  <w:marBottom w:val="0"/>
                  <w:divBdr>
                    <w:top w:val="none" w:sz="0" w:space="0" w:color="auto"/>
                    <w:left w:val="none" w:sz="0" w:space="0" w:color="auto"/>
                    <w:bottom w:val="none" w:sz="0" w:space="0" w:color="auto"/>
                    <w:right w:val="none" w:sz="0" w:space="0" w:color="auto"/>
                  </w:divBdr>
                  <w:divsChild>
                    <w:div w:id="1265457291">
                      <w:marLeft w:val="0"/>
                      <w:marRight w:val="0"/>
                      <w:marTop w:val="0"/>
                      <w:marBottom w:val="0"/>
                      <w:divBdr>
                        <w:top w:val="none" w:sz="0" w:space="0" w:color="auto"/>
                        <w:left w:val="none" w:sz="0" w:space="0" w:color="auto"/>
                        <w:bottom w:val="none" w:sz="0" w:space="0" w:color="auto"/>
                        <w:right w:val="none" w:sz="0" w:space="0" w:color="auto"/>
                      </w:divBdr>
                      <w:divsChild>
                        <w:div w:id="1174958493">
                          <w:marLeft w:val="0"/>
                          <w:marRight w:val="0"/>
                          <w:marTop w:val="0"/>
                          <w:marBottom w:val="0"/>
                          <w:divBdr>
                            <w:top w:val="none" w:sz="0" w:space="0" w:color="auto"/>
                            <w:left w:val="none" w:sz="0" w:space="0" w:color="auto"/>
                            <w:bottom w:val="none" w:sz="0" w:space="0" w:color="auto"/>
                            <w:right w:val="none" w:sz="0" w:space="0" w:color="auto"/>
                          </w:divBdr>
                          <w:divsChild>
                            <w:div w:id="654261884">
                              <w:marLeft w:val="0"/>
                              <w:marRight w:val="0"/>
                              <w:marTop w:val="0"/>
                              <w:marBottom w:val="0"/>
                              <w:divBdr>
                                <w:top w:val="none" w:sz="0" w:space="0" w:color="auto"/>
                                <w:left w:val="none" w:sz="0" w:space="0" w:color="auto"/>
                                <w:bottom w:val="none" w:sz="0" w:space="0" w:color="auto"/>
                                <w:right w:val="none" w:sz="0" w:space="0" w:color="auto"/>
                              </w:divBdr>
                            </w:div>
                            <w:div w:id="98902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778050">
                  <w:marLeft w:val="-420"/>
                  <w:marRight w:val="0"/>
                  <w:marTop w:val="0"/>
                  <w:marBottom w:val="0"/>
                  <w:divBdr>
                    <w:top w:val="none" w:sz="0" w:space="0" w:color="auto"/>
                    <w:left w:val="none" w:sz="0" w:space="0" w:color="auto"/>
                    <w:bottom w:val="none" w:sz="0" w:space="0" w:color="auto"/>
                    <w:right w:val="none" w:sz="0" w:space="0" w:color="auto"/>
                  </w:divBdr>
                  <w:divsChild>
                    <w:div w:id="2024743585">
                      <w:marLeft w:val="0"/>
                      <w:marRight w:val="0"/>
                      <w:marTop w:val="0"/>
                      <w:marBottom w:val="0"/>
                      <w:divBdr>
                        <w:top w:val="none" w:sz="0" w:space="0" w:color="auto"/>
                        <w:left w:val="none" w:sz="0" w:space="0" w:color="auto"/>
                        <w:bottom w:val="none" w:sz="0" w:space="0" w:color="auto"/>
                        <w:right w:val="none" w:sz="0" w:space="0" w:color="auto"/>
                      </w:divBdr>
                      <w:divsChild>
                        <w:div w:id="1129864155">
                          <w:marLeft w:val="0"/>
                          <w:marRight w:val="0"/>
                          <w:marTop w:val="0"/>
                          <w:marBottom w:val="0"/>
                          <w:divBdr>
                            <w:top w:val="none" w:sz="0" w:space="0" w:color="auto"/>
                            <w:left w:val="none" w:sz="0" w:space="0" w:color="auto"/>
                            <w:bottom w:val="none" w:sz="0" w:space="0" w:color="auto"/>
                            <w:right w:val="none" w:sz="0" w:space="0" w:color="auto"/>
                          </w:divBdr>
                          <w:divsChild>
                            <w:div w:id="653219037">
                              <w:marLeft w:val="0"/>
                              <w:marRight w:val="0"/>
                              <w:marTop w:val="0"/>
                              <w:marBottom w:val="0"/>
                              <w:divBdr>
                                <w:top w:val="none" w:sz="0" w:space="0" w:color="auto"/>
                                <w:left w:val="none" w:sz="0" w:space="0" w:color="auto"/>
                                <w:bottom w:val="none" w:sz="0" w:space="0" w:color="auto"/>
                                <w:right w:val="none" w:sz="0" w:space="0" w:color="auto"/>
                              </w:divBdr>
                            </w:div>
                            <w:div w:id="1234664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6226256">
      <w:bodyDiv w:val="1"/>
      <w:marLeft w:val="0"/>
      <w:marRight w:val="0"/>
      <w:marTop w:val="0"/>
      <w:marBottom w:val="0"/>
      <w:divBdr>
        <w:top w:val="none" w:sz="0" w:space="0" w:color="auto"/>
        <w:left w:val="none" w:sz="0" w:space="0" w:color="auto"/>
        <w:bottom w:val="none" w:sz="0" w:space="0" w:color="auto"/>
        <w:right w:val="none" w:sz="0" w:space="0" w:color="auto"/>
      </w:divBdr>
      <w:divsChild>
        <w:div w:id="518663806">
          <w:marLeft w:val="0"/>
          <w:marRight w:val="0"/>
          <w:marTop w:val="0"/>
          <w:marBottom w:val="0"/>
          <w:divBdr>
            <w:top w:val="none" w:sz="0" w:space="0" w:color="auto"/>
            <w:left w:val="none" w:sz="0" w:space="0" w:color="auto"/>
            <w:bottom w:val="none" w:sz="0" w:space="0" w:color="auto"/>
            <w:right w:val="none" w:sz="0" w:space="0" w:color="auto"/>
          </w:divBdr>
          <w:divsChild>
            <w:div w:id="7218096">
              <w:marLeft w:val="0"/>
              <w:marRight w:val="0"/>
              <w:marTop w:val="0"/>
              <w:marBottom w:val="0"/>
              <w:divBdr>
                <w:top w:val="none" w:sz="0" w:space="0" w:color="auto"/>
                <w:left w:val="none" w:sz="0" w:space="0" w:color="auto"/>
                <w:bottom w:val="none" w:sz="0" w:space="0" w:color="auto"/>
                <w:right w:val="none" w:sz="0" w:space="0" w:color="auto"/>
              </w:divBdr>
              <w:divsChild>
                <w:div w:id="180842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232029">
      <w:bodyDiv w:val="1"/>
      <w:marLeft w:val="0"/>
      <w:marRight w:val="0"/>
      <w:marTop w:val="0"/>
      <w:marBottom w:val="0"/>
      <w:divBdr>
        <w:top w:val="none" w:sz="0" w:space="0" w:color="auto"/>
        <w:left w:val="none" w:sz="0" w:space="0" w:color="auto"/>
        <w:bottom w:val="none" w:sz="0" w:space="0" w:color="auto"/>
        <w:right w:val="none" w:sz="0" w:space="0" w:color="auto"/>
      </w:divBdr>
    </w:div>
    <w:div w:id="646252151">
      <w:bodyDiv w:val="1"/>
      <w:marLeft w:val="0"/>
      <w:marRight w:val="0"/>
      <w:marTop w:val="0"/>
      <w:marBottom w:val="0"/>
      <w:divBdr>
        <w:top w:val="none" w:sz="0" w:space="0" w:color="auto"/>
        <w:left w:val="none" w:sz="0" w:space="0" w:color="auto"/>
        <w:bottom w:val="none" w:sz="0" w:space="0" w:color="auto"/>
        <w:right w:val="none" w:sz="0" w:space="0" w:color="auto"/>
      </w:divBdr>
    </w:div>
    <w:div w:id="649866660">
      <w:bodyDiv w:val="1"/>
      <w:marLeft w:val="0"/>
      <w:marRight w:val="0"/>
      <w:marTop w:val="0"/>
      <w:marBottom w:val="0"/>
      <w:divBdr>
        <w:top w:val="none" w:sz="0" w:space="0" w:color="auto"/>
        <w:left w:val="none" w:sz="0" w:space="0" w:color="auto"/>
        <w:bottom w:val="none" w:sz="0" w:space="0" w:color="auto"/>
        <w:right w:val="none" w:sz="0" w:space="0" w:color="auto"/>
      </w:divBdr>
    </w:div>
    <w:div w:id="668949706">
      <w:bodyDiv w:val="1"/>
      <w:marLeft w:val="0"/>
      <w:marRight w:val="0"/>
      <w:marTop w:val="0"/>
      <w:marBottom w:val="0"/>
      <w:divBdr>
        <w:top w:val="none" w:sz="0" w:space="0" w:color="auto"/>
        <w:left w:val="none" w:sz="0" w:space="0" w:color="auto"/>
        <w:bottom w:val="none" w:sz="0" w:space="0" w:color="auto"/>
        <w:right w:val="none" w:sz="0" w:space="0" w:color="auto"/>
      </w:divBdr>
    </w:div>
    <w:div w:id="683897582">
      <w:bodyDiv w:val="1"/>
      <w:marLeft w:val="0"/>
      <w:marRight w:val="0"/>
      <w:marTop w:val="0"/>
      <w:marBottom w:val="0"/>
      <w:divBdr>
        <w:top w:val="none" w:sz="0" w:space="0" w:color="auto"/>
        <w:left w:val="none" w:sz="0" w:space="0" w:color="auto"/>
        <w:bottom w:val="none" w:sz="0" w:space="0" w:color="auto"/>
        <w:right w:val="none" w:sz="0" w:space="0" w:color="auto"/>
      </w:divBdr>
    </w:div>
    <w:div w:id="694841368">
      <w:bodyDiv w:val="1"/>
      <w:marLeft w:val="0"/>
      <w:marRight w:val="0"/>
      <w:marTop w:val="0"/>
      <w:marBottom w:val="0"/>
      <w:divBdr>
        <w:top w:val="none" w:sz="0" w:space="0" w:color="auto"/>
        <w:left w:val="none" w:sz="0" w:space="0" w:color="auto"/>
        <w:bottom w:val="none" w:sz="0" w:space="0" w:color="auto"/>
        <w:right w:val="none" w:sz="0" w:space="0" w:color="auto"/>
      </w:divBdr>
    </w:div>
    <w:div w:id="752318205">
      <w:bodyDiv w:val="1"/>
      <w:marLeft w:val="0"/>
      <w:marRight w:val="0"/>
      <w:marTop w:val="0"/>
      <w:marBottom w:val="0"/>
      <w:divBdr>
        <w:top w:val="none" w:sz="0" w:space="0" w:color="auto"/>
        <w:left w:val="none" w:sz="0" w:space="0" w:color="auto"/>
        <w:bottom w:val="none" w:sz="0" w:space="0" w:color="auto"/>
        <w:right w:val="none" w:sz="0" w:space="0" w:color="auto"/>
      </w:divBdr>
    </w:div>
    <w:div w:id="791553727">
      <w:bodyDiv w:val="1"/>
      <w:marLeft w:val="0"/>
      <w:marRight w:val="0"/>
      <w:marTop w:val="0"/>
      <w:marBottom w:val="0"/>
      <w:divBdr>
        <w:top w:val="none" w:sz="0" w:space="0" w:color="auto"/>
        <w:left w:val="none" w:sz="0" w:space="0" w:color="auto"/>
        <w:bottom w:val="none" w:sz="0" w:space="0" w:color="auto"/>
        <w:right w:val="none" w:sz="0" w:space="0" w:color="auto"/>
      </w:divBdr>
    </w:div>
    <w:div w:id="807749276">
      <w:bodyDiv w:val="1"/>
      <w:marLeft w:val="0"/>
      <w:marRight w:val="0"/>
      <w:marTop w:val="0"/>
      <w:marBottom w:val="0"/>
      <w:divBdr>
        <w:top w:val="none" w:sz="0" w:space="0" w:color="auto"/>
        <w:left w:val="none" w:sz="0" w:space="0" w:color="auto"/>
        <w:bottom w:val="none" w:sz="0" w:space="0" w:color="auto"/>
        <w:right w:val="none" w:sz="0" w:space="0" w:color="auto"/>
      </w:divBdr>
    </w:div>
    <w:div w:id="826483279">
      <w:bodyDiv w:val="1"/>
      <w:marLeft w:val="0"/>
      <w:marRight w:val="0"/>
      <w:marTop w:val="0"/>
      <w:marBottom w:val="0"/>
      <w:divBdr>
        <w:top w:val="none" w:sz="0" w:space="0" w:color="auto"/>
        <w:left w:val="none" w:sz="0" w:space="0" w:color="auto"/>
        <w:bottom w:val="none" w:sz="0" w:space="0" w:color="auto"/>
        <w:right w:val="none" w:sz="0" w:space="0" w:color="auto"/>
      </w:divBdr>
    </w:div>
    <w:div w:id="838302610">
      <w:bodyDiv w:val="1"/>
      <w:marLeft w:val="0"/>
      <w:marRight w:val="0"/>
      <w:marTop w:val="0"/>
      <w:marBottom w:val="0"/>
      <w:divBdr>
        <w:top w:val="none" w:sz="0" w:space="0" w:color="auto"/>
        <w:left w:val="none" w:sz="0" w:space="0" w:color="auto"/>
        <w:bottom w:val="none" w:sz="0" w:space="0" w:color="auto"/>
        <w:right w:val="none" w:sz="0" w:space="0" w:color="auto"/>
      </w:divBdr>
    </w:div>
    <w:div w:id="861934691">
      <w:bodyDiv w:val="1"/>
      <w:marLeft w:val="0"/>
      <w:marRight w:val="0"/>
      <w:marTop w:val="0"/>
      <w:marBottom w:val="0"/>
      <w:divBdr>
        <w:top w:val="none" w:sz="0" w:space="0" w:color="auto"/>
        <w:left w:val="none" w:sz="0" w:space="0" w:color="auto"/>
        <w:bottom w:val="none" w:sz="0" w:space="0" w:color="auto"/>
        <w:right w:val="none" w:sz="0" w:space="0" w:color="auto"/>
      </w:divBdr>
    </w:div>
    <w:div w:id="882524294">
      <w:bodyDiv w:val="1"/>
      <w:marLeft w:val="0"/>
      <w:marRight w:val="0"/>
      <w:marTop w:val="0"/>
      <w:marBottom w:val="0"/>
      <w:divBdr>
        <w:top w:val="none" w:sz="0" w:space="0" w:color="auto"/>
        <w:left w:val="none" w:sz="0" w:space="0" w:color="auto"/>
        <w:bottom w:val="none" w:sz="0" w:space="0" w:color="auto"/>
        <w:right w:val="none" w:sz="0" w:space="0" w:color="auto"/>
      </w:divBdr>
    </w:div>
    <w:div w:id="891387234">
      <w:bodyDiv w:val="1"/>
      <w:marLeft w:val="0"/>
      <w:marRight w:val="0"/>
      <w:marTop w:val="0"/>
      <w:marBottom w:val="0"/>
      <w:divBdr>
        <w:top w:val="none" w:sz="0" w:space="0" w:color="auto"/>
        <w:left w:val="none" w:sz="0" w:space="0" w:color="auto"/>
        <w:bottom w:val="none" w:sz="0" w:space="0" w:color="auto"/>
        <w:right w:val="none" w:sz="0" w:space="0" w:color="auto"/>
      </w:divBdr>
    </w:div>
    <w:div w:id="919562069">
      <w:bodyDiv w:val="1"/>
      <w:marLeft w:val="0"/>
      <w:marRight w:val="0"/>
      <w:marTop w:val="0"/>
      <w:marBottom w:val="0"/>
      <w:divBdr>
        <w:top w:val="none" w:sz="0" w:space="0" w:color="auto"/>
        <w:left w:val="none" w:sz="0" w:space="0" w:color="auto"/>
        <w:bottom w:val="none" w:sz="0" w:space="0" w:color="auto"/>
        <w:right w:val="none" w:sz="0" w:space="0" w:color="auto"/>
      </w:divBdr>
      <w:divsChild>
        <w:div w:id="481704819">
          <w:marLeft w:val="300"/>
          <w:marRight w:val="0"/>
          <w:marTop w:val="0"/>
          <w:marBottom w:val="300"/>
          <w:divBdr>
            <w:top w:val="none" w:sz="0" w:space="0" w:color="auto"/>
            <w:left w:val="none" w:sz="0" w:space="0" w:color="auto"/>
            <w:bottom w:val="none" w:sz="0" w:space="0" w:color="auto"/>
            <w:right w:val="none" w:sz="0" w:space="0" w:color="auto"/>
          </w:divBdr>
        </w:div>
        <w:div w:id="746806876">
          <w:marLeft w:val="0"/>
          <w:marRight w:val="0"/>
          <w:marTop w:val="0"/>
          <w:marBottom w:val="150"/>
          <w:divBdr>
            <w:top w:val="none" w:sz="0" w:space="0" w:color="auto"/>
            <w:left w:val="none" w:sz="0" w:space="0" w:color="auto"/>
            <w:bottom w:val="none" w:sz="0" w:space="0" w:color="auto"/>
            <w:right w:val="none" w:sz="0" w:space="0" w:color="auto"/>
          </w:divBdr>
        </w:div>
      </w:divsChild>
    </w:div>
    <w:div w:id="935093798">
      <w:bodyDiv w:val="1"/>
      <w:marLeft w:val="0"/>
      <w:marRight w:val="0"/>
      <w:marTop w:val="0"/>
      <w:marBottom w:val="0"/>
      <w:divBdr>
        <w:top w:val="none" w:sz="0" w:space="0" w:color="auto"/>
        <w:left w:val="none" w:sz="0" w:space="0" w:color="auto"/>
        <w:bottom w:val="none" w:sz="0" w:space="0" w:color="auto"/>
        <w:right w:val="none" w:sz="0" w:space="0" w:color="auto"/>
      </w:divBdr>
    </w:div>
    <w:div w:id="937644051">
      <w:bodyDiv w:val="1"/>
      <w:marLeft w:val="0"/>
      <w:marRight w:val="0"/>
      <w:marTop w:val="0"/>
      <w:marBottom w:val="0"/>
      <w:divBdr>
        <w:top w:val="none" w:sz="0" w:space="0" w:color="auto"/>
        <w:left w:val="none" w:sz="0" w:space="0" w:color="auto"/>
        <w:bottom w:val="none" w:sz="0" w:space="0" w:color="auto"/>
        <w:right w:val="none" w:sz="0" w:space="0" w:color="auto"/>
      </w:divBdr>
    </w:div>
    <w:div w:id="974721360">
      <w:bodyDiv w:val="1"/>
      <w:marLeft w:val="0"/>
      <w:marRight w:val="0"/>
      <w:marTop w:val="0"/>
      <w:marBottom w:val="0"/>
      <w:divBdr>
        <w:top w:val="none" w:sz="0" w:space="0" w:color="auto"/>
        <w:left w:val="none" w:sz="0" w:space="0" w:color="auto"/>
        <w:bottom w:val="none" w:sz="0" w:space="0" w:color="auto"/>
        <w:right w:val="none" w:sz="0" w:space="0" w:color="auto"/>
      </w:divBdr>
    </w:div>
    <w:div w:id="988099000">
      <w:bodyDiv w:val="1"/>
      <w:marLeft w:val="0"/>
      <w:marRight w:val="0"/>
      <w:marTop w:val="0"/>
      <w:marBottom w:val="0"/>
      <w:divBdr>
        <w:top w:val="none" w:sz="0" w:space="0" w:color="auto"/>
        <w:left w:val="none" w:sz="0" w:space="0" w:color="auto"/>
        <w:bottom w:val="none" w:sz="0" w:space="0" w:color="auto"/>
        <w:right w:val="none" w:sz="0" w:space="0" w:color="auto"/>
      </w:divBdr>
    </w:div>
    <w:div w:id="1026172912">
      <w:bodyDiv w:val="1"/>
      <w:marLeft w:val="0"/>
      <w:marRight w:val="0"/>
      <w:marTop w:val="0"/>
      <w:marBottom w:val="0"/>
      <w:divBdr>
        <w:top w:val="none" w:sz="0" w:space="0" w:color="auto"/>
        <w:left w:val="none" w:sz="0" w:space="0" w:color="auto"/>
        <w:bottom w:val="none" w:sz="0" w:space="0" w:color="auto"/>
        <w:right w:val="none" w:sz="0" w:space="0" w:color="auto"/>
      </w:divBdr>
    </w:div>
    <w:div w:id="1026979212">
      <w:bodyDiv w:val="1"/>
      <w:marLeft w:val="0"/>
      <w:marRight w:val="0"/>
      <w:marTop w:val="0"/>
      <w:marBottom w:val="0"/>
      <w:divBdr>
        <w:top w:val="none" w:sz="0" w:space="0" w:color="auto"/>
        <w:left w:val="none" w:sz="0" w:space="0" w:color="auto"/>
        <w:bottom w:val="none" w:sz="0" w:space="0" w:color="auto"/>
        <w:right w:val="none" w:sz="0" w:space="0" w:color="auto"/>
      </w:divBdr>
    </w:div>
    <w:div w:id="1035883011">
      <w:bodyDiv w:val="1"/>
      <w:marLeft w:val="0"/>
      <w:marRight w:val="0"/>
      <w:marTop w:val="0"/>
      <w:marBottom w:val="0"/>
      <w:divBdr>
        <w:top w:val="none" w:sz="0" w:space="0" w:color="auto"/>
        <w:left w:val="none" w:sz="0" w:space="0" w:color="auto"/>
        <w:bottom w:val="none" w:sz="0" w:space="0" w:color="auto"/>
        <w:right w:val="none" w:sz="0" w:space="0" w:color="auto"/>
      </w:divBdr>
    </w:div>
    <w:div w:id="1047219340">
      <w:bodyDiv w:val="1"/>
      <w:marLeft w:val="0"/>
      <w:marRight w:val="0"/>
      <w:marTop w:val="0"/>
      <w:marBottom w:val="0"/>
      <w:divBdr>
        <w:top w:val="none" w:sz="0" w:space="0" w:color="auto"/>
        <w:left w:val="none" w:sz="0" w:space="0" w:color="auto"/>
        <w:bottom w:val="none" w:sz="0" w:space="0" w:color="auto"/>
        <w:right w:val="none" w:sz="0" w:space="0" w:color="auto"/>
      </w:divBdr>
    </w:div>
    <w:div w:id="1053819441">
      <w:bodyDiv w:val="1"/>
      <w:marLeft w:val="0"/>
      <w:marRight w:val="0"/>
      <w:marTop w:val="0"/>
      <w:marBottom w:val="0"/>
      <w:divBdr>
        <w:top w:val="none" w:sz="0" w:space="0" w:color="auto"/>
        <w:left w:val="none" w:sz="0" w:space="0" w:color="auto"/>
        <w:bottom w:val="none" w:sz="0" w:space="0" w:color="auto"/>
        <w:right w:val="none" w:sz="0" w:space="0" w:color="auto"/>
      </w:divBdr>
    </w:div>
    <w:div w:id="1074353470">
      <w:bodyDiv w:val="1"/>
      <w:marLeft w:val="0"/>
      <w:marRight w:val="0"/>
      <w:marTop w:val="0"/>
      <w:marBottom w:val="0"/>
      <w:divBdr>
        <w:top w:val="none" w:sz="0" w:space="0" w:color="auto"/>
        <w:left w:val="none" w:sz="0" w:space="0" w:color="auto"/>
        <w:bottom w:val="none" w:sz="0" w:space="0" w:color="auto"/>
        <w:right w:val="none" w:sz="0" w:space="0" w:color="auto"/>
      </w:divBdr>
    </w:div>
    <w:div w:id="1094744151">
      <w:bodyDiv w:val="1"/>
      <w:marLeft w:val="0"/>
      <w:marRight w:val="0"/>
      <w:marTop w:val="0"/>
      <w:marBottom w:val="0"/>
      <w:divBdr>
        <w:top w:val="none" w:sz="0" w:space="0" w:color="auto"/>
        <w:left w:val="none" w:sz="0" w:space="0" w:color="auto"/>
        <w:bottom w:val="none" w:sz="0" w:space="0" w:color="auto"/>
        <w:right w:val="none" w:sz="0" w:space="0" w:color="auto"/>
      </w:divBdr>
    </w:div>
    <w:div w:id="1101804549">
      <w:bodyDiv w:val="1"/>
      <w:marLeft w:val="0"/>
      <w:marRight w:val="0"/>
      <w:marTop w:val="0"/>
      <w:marBottom w:val="0"/>
      <w:divBdr>
        <w:top w:val="none" w:sz="0" w:space="0" w:color="auto"/>
        <w:left w:val="none" w:sz="0" w:space="0" w:color="auto"/>
        <w:bottom w:val="none" w:sz="0" w:space="0" w:color="auto"/>
        <w:right w:val="none" w:sz="0" w:space="0" w:color="auto"/>
      </w:divBdr>
    </w:div>
    <w:div w:id="1180466295">
      <w:bodyDiv w:val="1"/>
      <w:marLeft w:val="0"/>
      <w:marRight w:val="0"/>
      <w:marTop w:val="0"/>
      <w:marBottom w:val="0"/>
      <w:divBdr>
        <w:top w:val="none" w:sz="0" w:space="0" w:color="auto"/>
        <w:left w:val="none" w:sz="0" w:space="0" w:color="auto"/>
        <w:bottom w:val="none" w:sz="0" w:space="0" w:color="auto"/>
        <w:right w:val="none" w:sz="0" w:space="0" w:color="auto"/>
      </w:divBdr>
    </w:div>
    <w:div w:id="1186213743">
      <w:bodyDiv w:val="1"/>
      <w:marLeft w:val="0"/>
      <w:marRight w:val="0"/>
      <w:marTop w:val="0"/>
      <w:marBottom w:val="0"/>
      <w:divBdr>
        <w:top w:val="none" w:sz="0" w:space="0" w:color="auto"/>
        <w:left w:val="none" w:sz="0" w:space="0" w:color="auto"/>
        <w:bottom w:val="none" w:sz="0" w:space="0" w:color="auto"/>
        <w:right w:val="none" w:sz="0" w:space="0" w:color="auto"/>
      </w:divBdr>
    </w:div>
    <w:div w:id="1194614738">
      <w:bodyDiv w:val="1"/>
      <w:marLeft w:val="0"/>
      <w:marRight w:val="0"/>
      <w:marTop w:val="0"/>
      <w:marBottom w:val="0"/>
      <w:divBdr>
        <w:top w:val="none" w:sz="0" w:space="0" w:color="auto"/>
        <w:left w:val="none" w:sz="0" w:space="0" w:color="auto"/>
        <w:bottom w:val="none" w:sz="0" w:space="0" w:color="auto"/>
        <w:right w:val="none" w:sz="0" w:space="0" w:color="auto"/>
      </w:divBdr>
    </w:div>
    <w:div w:id="1195727589">
      <w:bodyDiv w:val="1"/>
      <w:marLeft w:val="0"/>
      <w:marRight w:val="0"/>
      <w:marTop w:val="0"/>
      <w:marBottom w:val="0"/>
      <w:divBdr>
        <w:top w:val="none" w:sz="0" w:space="0" w:color="auto"/>
        <w:left w:val="none" w:sz="0" w:space="0" w:color="auto"/>
        <w:bottom w:val="none" w:sz="0" w:space="0" w:color="auto"/>
        <w:right w:val="none" w:sz="0" w:space="0" w:color="auto"/>
      </w:divBdr>
    </w:div>
    <w:div w:id="1197694570">
      <w:bodyDiv w:val="1"/>
      <w:marLeft w:val="0"/>
      <w:marRight w:val="0"/>
      <w:marTop w:val="0"/>
      <w:marBottom w:val="0"/>
      <w:divBdr>
        <w:top w:val="none" w:sz="0" w:space="0" w:color="auto"/>
        <w:left w:val="none" w:sz="0" w:space="0" w:color="auto"/>
        <w:bottom w:val="none" w:sz="0" w:space="0" w:color="auto"/>
        <w:right w:val="none" w:sz="0" w:space="0" w:color="auto"/>
      </w:divBdr>
    </w:div>
    <w:div w:id="1198352314">
      <w:bodyDiv w:val="1"/>
      <w:marLeft w:val="0"/>
      <w:marRight w:val="0"/>
      <w:marTop w:val="0"/>
      <w:marBottom w:val="0"/>
      <w:divBdr>
        <w:top w:val="none" w:sz="0" w:space="0" w:color="auto"/>
        <w:left w:val="none" w:sz="0" w:space="0" w:color="auto"/>
        <w:bottom w:val="none" w:sz="0" w:space="0" w:color="auto"/>
        <w:right w:val="none" w:sz="0" w:space="0" w:color="auto"/>
      </w:divBdr>
    </w:div>
    <w:div w:id="1209495195">
      <w:bodyDiv w:val="1"/>
      <w:marLeft w:val="0"/>
      <w:marRight w:val="0"/>
      <w:marTop w:val="0"/>
      <w:marBottom w:val="0"/>
      <w:divBdr>
        <w:top w:val="none" w:sz="0" w:space="0" w:color="auto"/>
        <w:left w:val="none" w:sz="0" w:space="0" w:color="auto"/>
        <w:bottom w:val="none" w:sz="0" w:space="0" w:color="auto"/>
        <w:right w:val="none" w:sz="0" w:space="0" w:color="auto"/>
      </w:divBdr>
    </w:div>
    <w:div w:id="1214348095">
      <w:bodyDiv w:val="1"/>
      <w:marLeft w:val="0"/>
      <w:marRight w:val="0"/>
      <w:marTop w:val="0"/>
      <w:marBottom w:val="0"/>
      <w:divBdr>
        <w:top w:val="none" w:sz="0" w:space="0" w:color="auto"/>
        <w:left w:val="none" w:sz="0" w:space="0" w:color="auto"/>
        <w:bottom w:val="none" w:sz="0" w:space="0" w:color="auto"/>
        <w:right w:val="none" w:sz="0" w:space="0" w:color="auto"/>
      </w:divBdr>
    </w:div>
    <w:div w:id="1216967863">
      <w:bodyDiv w:val="1"/>
      <w:marLeft w:val="0"/>
      <w:marRight w:val="0"/>
      <w:marTop w:val="0"/>
      <w:marBottom w:val="0"/>
      <w:divBdr>
        <w:top w:val="none" w:sz="0" w:space="0" w:color="auto"/>
        <w:left w:val="none" w:sz="0" w:space="0" w:color="auto"/>
        <w:bottom w:val="none" w:sz="0" w:space="0" w:color="auto"/>
        <w:right w:val="none" w:sz="0" w:space="0" w:color="auto"/>
      </w:divBdr>
    </w:div>
    <w:div w:id="1248854178">
      <w:bodyDiv w:val="1"/>
      <w:marLeft w:val="0"/>
      <w:marRight w:val="0"/>
      <w:marTop w:val="0"/>
      <w:marBottom w:val="0"/>
      <w:divBdr>
        <w:top w:val="none" w:sz="0" w:space="0" w:color="auto"/>
        <w:left w:val="none" w:sz="0" w:space="0" w:color="auto"/>
        <w:bottom w:val="none" w:sz="0" w:space="0" w:color="auto"/>
        <w:right w:val="none" w:sz="0" w:space="0" w:color="auto"/>
      </w:divBdr>
    </w:div>
    <w:div w:id="1252814068">
      <w:bodyDiv w:val="1"/>
      <w:marLeft w:val="0"/>
      <w:marRight w:val="0"/>
      <w:marTop w:val="0"/>
      <w:marBottom w:val="0"/>
      <w:divBdr>
        <w:top w:val="none" w:sz="0" w:space="0" w:color="auto"/>
        <w:left w:val="none" w:sz="0" w:space="0" w:color="auto"/>
        <w:bottom w:val="none" w:sz="0" w:space="0" w:color="auto"/>
        <w:right w:val="none" w:sz="0" w:space="0" w:color="auto"/>
      </w:divBdr>
    </w:div>
    <w:div w:id="1268781334">
      <w:bodyDiv w:val="1"/>
      <w:marLeft w:val="0"/>
      <w:marRight w:val="0"/>
      <w:marTop w:val="0"/>
      <w:marBottom w:val="0"/>
      <w:divBdr>
        <w:top w:val="none" w:sz="0" w:space="0" w:color="auto"/>
        <w:left w:val="none" w:sz="0" w:space="0" w:color="auto"/>
        <w:bottom w:val="none" w:sz="0" w:space="0" w:color="auto"/>
        <w:right w:val="none" w:sz="0" w:space="0" w:color="auto"/>
      </w:divBdr>
    </w:div>
    <w:div w:id="1279992399">
      <w:bodyDiv w:val="1"/>
      <w:marLeft w:val="0"/>
      <w:marRight w:val="0"/>
      <w:marTop w:val="0"/>
      <w:marBottom w:val="0"/>
      <w:divBdr>
        <w:top w:val="none" w:sz="0" w:space="0" w:color="auto"/>
        <w:left w:val="none" w:sz="0" w:space="0" w:color="auto"/>
        <w:bottom w:val="none" w:sz="0" w:space="0" w:color="auto"/>
        <w:right w:val="none" w:sz="0" w:space="0" w:color="auto"/>
      </w:divBdr>
    </w:div>
    <w:div w:id="1300914491">
      <w:bodyDiv w:val="1"/>
      <w:marLeft w:val="0"/>
      <w:marRight w:val="0"/>
      <w:marTop w:val="0"/>
      <w:marBottom w:val="0"/>
      <w:divBdr>
        <w:top w:val="none" w:sz="0" w:space="0" w:color="auto"/>
        <w:left w:val="none" w:sz="0" w:space="0" w:color="auto"/>
        <w:bottom w:val="none" w:sz="0" w:space="0" w:color="auto"/>
        <w:right w:val="none" w:sz="0" w:space="0" w:color="auto"/>
      </w:divBdr>
    </w:div>
    <w:div w:id="1300915305">
      <w:bodyDiv w:val="1"/>
      <w:marLeft w:val="0"/>
      <w:marRight w:val="0"/>
      <w:marTop w:val="0"/>
      <w:marBottom w:val="0"/>
      <w:divBdr>
        <w:top w:val="none" w:sz="0" w:space="0" w:color="auto"/>
        <w:left w:val="none" w:sz="0" w:space="0" w:color="auto"/>
        <w:bottom w:val="none" w:sz="0" w:space="0" w:color="auto"/>
        <w:right w:val="none" w:sz="0" w:space="0" w:color="auto"/>
      </w:divBdr>
    </w:div>
    <w:div w:id="1305887683">
      <w:bodyDiv w:val="1"/>
      <w:marLeft w:val="0"/>
      <w:marRight w:val="0"/>
      <w:marTop w:val="0"/>
      <w:marBottom w:val="0"/>
      <w:divBdr>
        <w:top w:val="none" w:sz="0" w:space="0" w:color="auto"/>
        <w:left w:val="none" w:sz="0" w:space="0" w:color="auto"/>
        <w:bottom w:val="none" w:sz="0" w:space="0" w:color="auto"/>
        <w:right w:val="none" w:sz="0" w:space="0" w:color="auto"/>
      </w:divBdr>
    </w:div>
    <w:div w:id="1312907962">
      <w:bodyDiv w:val="1"/>
      <w:marLeft w:val="0"/>
      <w:marRight w:val="0"/>
      <w:marTop w:val="0"/>
      <w:marBottom w:val="0"/>
      <w:divBdr>
        <w:top w:val="none" w:sz="0" w:space="0" w:color="auto"/>
        <w:left w:val="none" w:sz="0" w:space="0" w:color="auto"/>
        <w:bottom w:val="none" w:sz="0" w:space="0" w:color="auto"/>
        <w:right w:val="none" w:sz="0" w:space="0" w:color="auto"/>
      </w:divBdr>
    </w:div>
    <w:div w:id="1318992586">
      <w:bodyDiv w:val="1"/>
      <w:marLeft w:val="0"/>
      <w:marRight w:val="0"/>
      <w:marTop w:val="0"/>
      <w:marBottom w:val="0"/>
      <w:divBdr>
        <w:top w:val="none" w:sz="0" w:space="0" w:color="auto"/>
        <w:left w:val="none" w:sz="0" w:space="0" w:color="auto"/>
        <w:bottom w:val="none" w:sz="0" w:space="0" w:color="auto"/>
        <w:right w:val="none" w:sz="0" w:space="0" w:color="auto"/>
      </w:divBdr>
    </w:div>
    <w:div w:id="1356615119">
      <w:bodyDiv w:val="1"/>
      <w:marLeft w:val="0"/>
      <w:marRight w:val="0"/>
      <w:marTop w:val="0"/>
      <w:marBottom w:val="0"/>
      <w:divBdr>
        <w:top w:val="none" w:sz="0" w:space="0" w:color="auto"/>
        <w:left w:val="none" w:sz="0" w:space="0" w:color="auto"/>
        <w:bottom w:val="none" w:sz="0" w:space="0" w:color="auto"/>
        <w:right w:val="none" w:sz="0" w:space="0" w:color="auto"/>
      </w:divBdr>
    </w:div>
    <w:div w:id="1358896297">
      <w:bodyDiv w:val="1"/>
      <w:marLeft w:val="0"/>
      <w:marRight w:val="0"/>
      <w:marTop w:val="0"/>
      <w:marBottom w:val="0"/>
      <w:divBdr>
        <w:top w:val="none" w:sz="0" w:space="0" w:color="auto"/>
        <w:left w:val="none" w:sz="0" w:space="0" w:color="auto"/>
        <w:bottom w:val="none" w:sz="0" w:space="0" w:color="auto"/>
        <w:right w:val="none" w:sz="0" w:space="0" w:color="auto"/>
      </w:divBdr>
    </w:div>
    <w:div w:id="1411274805">
      <w:bodyDiv w:val="1"/>
      <w:marLeft w:val="0"/>
      <w:marRight w:val="0"/>
      <w:marTop w:val="0"/>
      <w:marBottom w:val="0"/>
      <w:divBdr>
        <w:top w:val="none" w:sz="0" w:space="0" w:color="auto"/>
        <w:left w:val="none" w:sz="0" w:space="0" w:color="auto"/>
        <w:bottom w:val="none" w:sz="0" w:space="0" w:color="auto"/>
        <w:right w:val="none" w:sz="0" w:space="0" w:color="auto"/>
      </w:divBdr>
    </w:div>
    <w:div w:id="1469545666">
      <w:bodyDiv w:val="1"/>
      <w:marLeft w:val="0"/>
      <w:marRight w:val="0"/>
      <w:marTop w:val="0"/>
      <w:marBottom w:val="0"/>
      <w:divBdr>
        <w:top w:val="none" w:sz="0" w:space="0" w:color="auto"/>
        <w:left w:val="none" w:sz="0" w:space="0" w:color="auto"/>
        <w:bottom w:val="none" w:sz="0" w:space="0" w:color="auto"/>
        <w:right w:val="none" w:sz="0" w:space="0" w:color="auto"/>
      </w:divBdr>
    </w:div>
    <w:div w:id="1475875131">
      <w:bodyDiv w:val="1"/>
      <w:marLeft w:val="0"/>
      <w:marRight w:val="0"/>
      <w:marTop w:val="0"/>
      <w:marBottom w:val="0"/>
      <w:divBdr>
        <w:top w:val="none" w:sz="0" w:space="0" w:color="auto"/>
        <w:left w:val="none" w:sz="0" w:space="0" w:color="auto"/>
        <w:bottom w:val="none" w:sz="0" w:space="0" w:color="auto"/>
        <w:right w:val="none" w:sz="0" w:space="0" w:color="auto"/>
      </w:divBdr>
    </w:div>
    <w:div w:id="1494225827">
      <w:bodyDiv w:val="1"/>
      <w:marLeft w:val="0"/>
      <w:marRight w:val="0"/>
      <w:marTop w:val="0"/>
      <w:marBottom w:val="0"/>
      <w:divBdr>
        <w:top w:val="none" w:sz="0" w:space="0" w:color="auto"/>
        <w:left w:val="none" w:sz="0" w:space="0" w:color="auto"/>
        <w:bottom w:val="none" w:sz="0" w:space="0" w:color="auto"/>
        <w:right w:val="none" w:sz="0" w:space="0" w:color="auto"/>
      </w:divBdr>
    </w:div>
    <w:div w:id="1510409854">
      <w:bodyDiv w:val="1"/>
      <w:marLeft w:val="0"/>
      <w:marRight w:val="0"/>
      <w:marTop w:val="0"/>
      <w:marBottom w:val="0"/>
      <w:divBdr>
        <w:top w:val="none" w:sz="0" w:space="0" w:color="auto"/>
        <w:left w:val="none" w:sz="0" w:space="0" w:color="auto"/>
        <w:bottom w:val="none" w:sz="0" w:space="0" w:color="auto"/>
        <w:right w:val="none" w:sz="0" w:space="0" w:color="auto"/>
      </w:divBdr>
      <w:divsChild>
        <w:div w:id="109591715">
          <w:marLeft w:val="0"/>
          <w:marRight w:val="0"/>
          <w:marTop w:val="0"/>
          <w:marBottom w:val="150"/>
          <w:divBdr>
            <w:top w:val="none" w:sz="0" w:space="0" w:color="auto"/>
            <w:left w:val="none" w:sz="0" w:space="0" w:color="auto"/>
            <w:bottom w:val="none" w:sz="0" w:space="0" w:color="auto"/>
            <w:right w:val="none" w:sz="0" w:space="0" w:color="auto"/>
          </w:divBdr>
        </w:div>
        <w:div w:id="1710491951">
          <w:marLeft w:val="300"/>
          <w:marRight w:val="0"/>
          <w:marTop w:val="0"/>
          <w:marBottom w:val="300"/>
          <w:divBdr>
            <w:top w:val="none" w:sz="0" w:space="0" w:color="auto"/>
            <w:left w:val="none" w:sz="0" w:space="0" w:color="auto"/>
            <w:bottom w:val="none" w:sz="0" w:space="0" w:color="auto"/>
            <w:right w:val="none" w:sz="0" w:space="0" w:color="auto"/>
          </w:divBdr>
        </w:div>
      </w:divsChild>
    </w:div>
    <w:div w:id="1517034554">
      <w:bodyDiv w:val="1"/>
      <w:marLeft w:val="0"/>
      <w:marRight w:val="0"/>
      <w:marTop w:val="0"/>
      <w:marBottom w:val="0"/>
      <w:divBdr>
        <w:top w:val="none" w:sz="0" w:space="0" w:color="auto"/>
        <w:left w:val="none" w:sz="0" w:space="0" w:color="auto"/>
        <w:bottom w:val="none" w:sz="0" w:space="0" w:color="auto"/>
        <w:right w:val="none" w:sz="0" w:space="0" w:color="auto"/>
      </w:divBdr>
      <w:divsChild>
        <w:div w:id="224268216">
          <w:marLeft w:val="0"/>
          <w:marRight w:val="0"/>
          <w:marTop w:val="0"/>
          <w:marBottom w:val="150"/>
          <w:divBdr>
            <w:top w:val="none" w:sz="0" w:space="0" w:color="auto"/>
            <w:left w:val="none" w:sz="0" w:space="0" w:color="auto"/>
            <w:bottom w:val="none" w:sz="0" w:space="0" w:color="auto"/>
            <w:right w:val="none" w:sz="0" w:space="0" w:color="auto"/>
          </w:divBdr>
        </w:div>
        <w:div w:id="328678373">
          <w:marLeft w:val="300"/>
          <w:marRight w:val="0"/>
          <w:marTop w:val="0"/>
          <w:marBottom w:val="300"/>
          <w:divBdr>
            <w:top w:val="none" w:sz="0" w:space="0" w:color="auto"/>
            <w:left w:val="none" w:sz="0" w:space="0" w:color="auto"/>
            <w:bottom w:val="none" w:sz="0" w:space="0" w:color="auto"/>
            <w:right w:val="none" w:sz="0" w:space="0" w:color="auto"/>
          </w:divBdr>
        </w:div>
      </w:divsChild>
    </w:div>
    <w:div w:id="1518739037">
      <w:bodyDiv w:val="1"/>
      <w:marLeft w:val="0"/>
      <w:marRight w:val="0"/>
      <w:marTop w:val="0"/>
      <w:marBottom w:val="0"/>
      <w:divBdr>
        <w:top w:val="none" w:sz="0" w:space="0" w:color="auto"/>
        <w:left w:val="none" w:sz="0" w:space="0" w:color="auto"/>
        <w:bottom w:val="none" w:sz="0" w:space="0" w:color="auto"/>
        <w:right w:val="none" w:sz="0" w:space="0" w:color="auto"/>
      </w:divBdr>
    </w:div>
    <w:div w:id="1520192368">
      <w:bodyDiv w:val="1"/>
      <w:marLeft w:val="0"/>
      <w:marRight w:val="0"/>
      <w:marTop w:val="0"/>
      <w:marBottom w:val="0"/>
      <w:divBdr>
        <w:top w:val="none" w:sz="0" w:space="0" w:color="auto"/>
        <w:left w:val="none" w:sz="0" w:space="0" w:color="auto"/>
        <w:bottom w:val="none" w:sz="0" w:space="0" w:color="auto"/>
        <w:right w:val="none" w:sz="0" w:space="0" w:color="auto"/>
      </w:divBdr>
    </w:div>
    <w:div w:id="1525485672">
      <w:bodyDiv w:val="1"/>
      <w:marLeft w:val="0"/>
      <w:marRight w:val="0"/>
      <w:marTop w:val="0"/>
      <w:marBottom w:val="0"/>
      <w:divBdr>
        <w:top w:val="none" w:sz="0" w:space="0" w:color="auto"/>
        <w:left w:val="none" w:sz="0" w:space="0" w:color="auto"/>
        <w:bottom w:val="none" w:sz="0" w:space="0" w:color="auto"/>
        <w:right w:val="none" w:sz="0" w:space="0" w:color="auto"/>
      </w:divBdr>
    </w:div>
    <w:div w:id="1543979111">
      <w:bodyDiv w:val="1"/>
      <w:marLeft w:val="0"/>
      <w:marRight w:val="0"/>
      <w:marTop w:val="0"/>
      <w:marBottom w:val="0"/>
      <w:divBdr>
        <w:top w:val="none" w:sz="0" w:space="0" w:color="auto"/>
        <w:left w:val="none" w:sz="0" w:space="0" w:color="auto"/>
        <w:bottom w:val="none" w:sz="0" w:space="0" w:color="auto"/>
        <w:right w:val="none" w:sz="0" w:space="0" w:color="auto"/>
      </w:divBdr>
    </w:div>
    <w:div w:id="1567183848">
      <w:bodyDiv w:val="1"/>
      <w:marLeft w:val="0"/>
      <w:marRight w:val="0"/>
      <w:marTop w:val="0"/>
      <w:marBottom w:val="0"/>
      <w:divBdr>
        <w:top w:val="none" w:sz="0" w:space="0" w:color="auto"/>
        <w:left w:val="none" w:sz="0" w:space="0" w:color="auto"/>
        <w:bottom w:val="none" w:sz="0" w:space="0" w:color="auto"/>
        <w:right w:val="none" w:sz="0" w:space="0" w:color="auto"/>
      </w:divBdr>
      <w:divsChild>
        <w:div w:id="359863423">
          <w:marLeft w:val="225"/>
          <w:marRight w:val="225"/>
          <w:marTop w:val="0"/>
          <w:marBottom w:val="0"/>
          <w:divBdr>
            <w:top w:val="none" w:sz="0" w:space="0" w:color="auto"/>
            <w:left w:val="none" w:sz="0" w:space="0" w:color="auto"/>
            <w:bottom w:val="none" w:sz="0" w:space="0" w:color="auto"/>
            <w:right w:val="none" w:sz="0" w:space="0" w:color="auto"/>
          </w:divBdr>
        </w:div>
        <w:div w:id="1997680026">
          <w:marLeft w:val="0"/>
          <w:marRight w:val="0"/>
          <w:marTop w:val="0"/>
          <w:marBottom w:val="0"/>
          <w:divBdr>
            <w:top w:val="single" w:sz="12" w:space="8" w:color="002554"/>
            <w:left w:val="single" w:sz="12" w:space="15" w:color="002554"/>
            <w:bottom w:val="single" w:sz="12" w:space="8" w:color="002554"/>
            <w:right w:val="single" w:sz="12" w:space="15" w:color="002554"/>
          </w:divBdr>
        </w:div>
      </w:divsChild>
    </w:div>
    <w:div w:id="1583754193">
      <w:bodyDiv w:val="1"/>
      <w:marLeft w:val="0"/>
      <w:marRight w:val="0"/>
      <w:marTop w:val="0"/>
      <w:marBottom w:val="0"/>
      <w:divBdr>
        <w:top w:val="none" w:sz="0" w:space="0" w:color="auto"/>
        <w:left w:val="none" w:sz="0" w:space="0" w:color="auto"/>
        <w:bottom w:val="none" w:sz="0" w:space="0" w:color="auto"/>
        <w:right w:val="none" w:sz="0" w:space="0" w:color="auto"/>
      </w:divBdr>
    </w:div>
    <w:div w:id="1584803665">
      <w:bodyDiv w:val="1"/>
      <w:marLeft w:val="0"/>
      <w:marRight w:val="0"/>
      <w:marTop w:val="0"/>
      <w:marBottom w:val="0"/>
      <w:divBdr>
        <w:top w:val="none" w:sz="0" w:space="0" w:color="auto"/>
        <w:left w:val="none" w:sz="0" w:space="0" w:color="auto"/>
        <w:bottom w:val="none" w:sz="0" w:space="0" w:color="auto"/>
        <w:right w:val="none" w:sz="0" w:space="0" w:color="auto"/>
      </w:divBdr>
    </w:div>
    <w:div w:id="1613055016">
      <w:bodyDiv w:val="1"/>
      <w:marLeft w:val="0"/>
      <w:marRight w:val="0"/>
      <w:marTop w:val="0"/>
      <w:marBottom w:val="0"/>
      <w:divBdr>
        <w:top w:val="none" w:sz="0" w:space="0" w:color="auto"/>
        <w:left w:val="none" w:sz="0" w:space="0" w:color="auto"/>
        <w:bottom w:val="none" w:sz="0" w:space="0" w:color="auto"/>
        <w:right w:val="none" w:sz="0" w:space="0" w:color="auto"/>
      </w:divBdr>
    </w:div>
    <w:div w:id="1633748880">
      <w:bodyDiv w:val="1"/>
      <w:marLeft w:val="0"/>
      <w:marRight w:val="0"/>
      <w:marTop w:val="0"/>
      <w:marBottom w:val="0"/>
      <w:divBdr>
        <w:top w:val="none" w:sz="0" w:space="0" w:color="auto"/>
        <w:left w:val="none" w:sz="0" w:space="0" w:color="auto"/>
        <w:bottom w:val="none" w:sz="0" w:space="0" w:color="auto"/>
        <w:right w:val="none" w:sz="0" w:space="0" w:color="auto"/>
      </w:divBdr>
    </w:div>
    <w:div w:id="1669208822">
      <w:bodyDiv w:val="1"/>
      <w:marLeft w:val="0"/>
      <w:marRight w:val="0"/>
      <w:marTop w:val="0"/>
      <w:marBottom w:val="0"/>
      <w:divBdr>
        <w:top w:val="none" w:sz="0" w:space="0" w:color="auto"/>
        <w:left w:val="none" w:sz="0" w:space="0" w:color="auto"/>
        <w:bottom w:val="none" w:sz="0" w:space="0" w:color="auto"/>
        <w:right w:val="none" w:sz="0" w:space="0" w:color="auto"/>
      </w:divBdr>
    </w:div>
    <w:div w:id="1675107275">
      <w:bodyDiv w:val="1"/>
      <w:marLeft w:val="0"/>
      <w:marRight w:val="0"/>
      <w:marTop w:val="0"/>
      <w:marBottom w:val="0"/>
      <w:divBdr>
        <w:top w:val="none" w:sz="0" w:space="0" w:color="auto"/>
        <w:left w:val="none" w:sz="0" w:space="0" w:color="auto"/>
        <w:bottom w:val="none" w:sz="0" w:space="0" w:color="auto"/>
        <w:right w:val="none" w:sz="0" w:space="0" w:color="auto"/>
      </w:divBdr>
    </w:div>
    <w:div w:id="1703045422">
      <w:bodyDiv w:val="1"/>
      <w:marLeft w:val="0"/>
      <w:marRight w:val="0"/>
      <w:marTop w:val="0"/>
      <w:marBottom w:val="0"/>
      <w:divBdr>
        <w:top w:val="none" w:sz="0" w:space="0" w:color="auto"/>
        <w:left w:val="none" w:sz="0" w:space="0" w:color="auto"/>
        <w:bottom w:val="none" w:sz="0" w:space="0" w:color="auto"/>
        <w:right w:val="none" w:sz="0" w:space="0" w:color="auto"/>
      </w:divBdr>
    </w:div>
    <w:div w:id="1707676413">
      <w:bodyDiv w:val="1"/>
      <w:marLeft w:val="0"/>
      <w:marRight w:val="0"/>
      <w:marTop w:val="0"/>
      <w:marBottom w:val="0"/>
      <w:divBdr>
        <w:top w:val="none" w:sz="0" w:space="0" w:color="auto"/>
        <w:left w:val="none" w:sz="0" w:space="0" w:color="auto"/>
        <w:bottom w:val="none" w:sz="0" w:space="0" w:color="auto"/>
        <w:right w:val="none" w:sz="0" w:space="0" w:color="auto"/>
      </w:divBdr>
    </w:div>
    <w:div w:id="1716734155">
      <w:bodyDiv w:val="1"/>
      <w:marLeft w:val="0"/>
      <w:marRight w:val="0"/>
      <w:marTop w:val="0"/>
      <w:marBottom w:val="0"/>
      <w:divBdr>
        <w:top w:val="none" w:sz="0" w:space="0" w:color="auto"/>
        <w:left w:val="none" w:sz="0" w:space="0" w:color="auto"/>
        <w:bottom w:val="none" w:sz="0" w:space="0" w:color="auto"/>
        <w:right w:val="none" w:sz="0" w:space="0" w:color="auto"/>
      </w:divBdr>
    </w:div>
    <w:div w:id="1719861904">
      <w:bodyDiv w:val="1"/>
      <w:marLeft w:val="0"/>
      <w:marRight w:val="0"/>
      <w:marTop w:val="0"/>
      <w:marBottom w:val="0"/>
      <w:divBdr>
        <w:top w:val="none" w:sz="0" w:space="0" w:color="auto"/>
        <w:left w:val="none" w:sz="0" w:space="0" w:color="auto"/>
        <w:bottom w:val="none" w:sz="0" w:space="0" w:color="auto"/>
        <w:right w:val="none" w:sz="0" w:space="0" w:color="auto"/>
      </w:divBdr>
    </w:div>
    <w:div w:id="1724518629">
      <w:bodyDiv w:val="1"/>
      <w:marLeft w:val="0"/>
      <w:marRight w:val="0"/>
      <w:marTop w:val="0"/>
      <w:marBottom w:val="0"/>
      <w:divBdr>
        <w:top w:val="none" w:sz="0" w:space="0" w:color="auto"/>
        <w:left w:val="none" w:sz="0" w:space="0" w:color="auto"/>
        <w:bottom w:val="none" w:sz="0" w:space="0" w:color="auto"/>
        <w:right w:val="none" w:sz="0" w:space="0" w:color="auto"/>
      </w:divBdr>
      <w:divsChild>
        <w:div w:id="763495847">
          <w:marLeft w:val="225"/>
          <w:marRight w:val="225"/>
          <w:marTop w:val="0"/>
          <w:marBottom w:val="0"/>
          <w:divBdr>
            <w:top w:val="none" w:sz="0" w:space="0" w:color="auto"/>
            <w:left w:val="none" w:sz="0" w:space="0" w:color="auto"/>
            <w:bottom w:val="none" w:sz="0" w:space="0" w:color="auto"/>
            <w:right w:val="none" w:sz="0" w:space="0" w:color="auto"/>
          </w:divBdr>
        </w:div>
        <w:div w:id="766655597">
          <w:marLeft w:val="0"/>
          <w:marRight w:val="0"/>
          <w:marTop w:val="0"/>
          <w:marBottom w:val="0"/>
          <w:divBdr>
            <w:top w:val="single" w:sz="12" w:space="8" w:color="002554"/>
            <w:left w:val="single" w:sz="12" w:space="15" w:color="002554"/>
            <w:bottom w:val="single" w:sz="12" w:space="8" w:color="002554"/>
            <w:right w:val="single" w:sz="12" w:space="15" w:color="002554"/>
          </w:divBdr>
        </w:div>
      </w:divsChild>
    </w:div>
    <w:div w:id="1742214602">
      <w:bodyDiv w:val="1"/>
      <w:marLeft w:val="0"/>
      <w:marRight w:val="0"/>
      <w:marTop w:val="0"/>
      <w:marBottom w:val="0"/>
      <w:divBdr>
        <w:top w:val="none" w:sz="0" w:space="0" w:color="auto"/>
        <w:left w:val="none" w:sz="0" w:space="0" w:color="auto"/>
        <w:bottom w:val="none" w:sz="0" w:space="0" w:color="auto"/>
        <w:right w:val="none" w:sz="0" w:space="0" w:color="auto"/>
      </w:divBdr>
      <w:divsChild>
        <w:div w:id="256208059">
          <w:marLeft w:val="0"/>
          <w:marRight w:val="0"/>
          <w:marTop w:val="0"/>
          <w:marBottom w:val="0"/>
          <w:divBdr>
            <w:top w:val="none" w:sz="0" w:space="0" w:color="auto"/>
            <w:left w:val="none" w:sz="0" w:space="0" w:color="auto"/>
            <w:bottom w:val="none" w:sz="0" w:space="0" w:color="auto"/>
            <w:right w:val="none" w:sz="0" w:space="0" w:color="auto"/>
          </w:divBdr>
        </w:div>
      </w:divsChild>
    </w:div>
    <w:div w:id="1820146890">
      <w:bodyDiv w:val="1"/>
      <w:marLeft w:val="0"/>
      <w:marRight w:val="0"/>
      <w:marTop w:val="0"/>
      <w:marBottom w:val="0"/>
      <w:divBdr>
        <w:top w:val="none" w:sz="0" w:space="0" w:color="auto"/>
        <w:left w:val="none" w:sz="0" w:space="0" w:color="auto"/>
        <w:bottom w:val="none" w:sz="0" w:space="0" w:color="auto"/>
        <w:right w:val="none" w:sz="0" w:space="0" w:color="auto"/>
      </w:divBdr>
    </w:div>
    <w:div w:id="1821727222">
      <w:bodyDiv w:val="1"/>
      <w:marLeft w:val="0"/>
      <w:marRight w:val="0"/>
      <w:marTop w:val="0"/>
      <w:marBottom w:val="0"/>
      <w:divBdr>
        <w:top w:val="none" w:sz="0" w:space="0" w:color="auto"/>
        <w:left w:val="none" w:sz="0" w:space="0" w:color="auto"/>
        <w:bottom w:val="none" w:sz="0" w:space="0" w:color="auto"/>
        <w:right w:val="none" w:sz="0" w:space="0" w:color="auto"/>
      </w:divBdr>
    </w:div>
    <w:div w:id="1834292789">
      <w:bodyDiv w:val="1"/>
      <w:marLeft w:val="0"/>
      <w:marRight w:val="0"/>
      <w:marTop w:val="0"/>
      <w:marBottom w:val="0"/>
      <w:divBdr>
        <w:top w:val="none" w:sz="0" w:space="0" w:color="auto"/>
        <w:left w:val="none" w:sz="0" w:space="0" w:color="auto"/>
        <w:bottom w:val="none" w:sz="0" w:space="0" w:color="auto"/>
        <w:right w:val="none" w:sz="0" w:space="0" w:color="auto"/>
      </w:divBdr>
      <w:divsChild>
        <w:div w:id="444934553">
          <w:marLeft w:val="300"/>
          <w:marRight w:val="0"/>
          <w:marTop w:val="0"/>
          <w:marBottom w:val="300"/>
          <w:divBdr>
            <w:top w:val="none" w:sz="0" w:space="0" w:color="auto"/>
            <w:left w:val="none" w:sz="0" w:space="0" w:color="auto"/>
            <w:bottom w:val="none" w:sz="0" w:space="0" w:color="auto"/>
            <w:right w:val="none" w:sz="0" w:space="0" w:color="auto"/>
          </w:divBdr>
        </w:div>
        <w:div w:id="1281915980">
          <w:marLeft w:val="0"/>
          <w:marRight w:val="0"/>
          <w:marTop w:val="0"/>
          <w:marBottom w:val="150"/>
          <w:divBdr>
            <w:top w:val="none" w:sz="0" w:space="0" w:color="auto"/>
            <w:left w:val="none" w:sz="0" w:space="0" w:color="auto"/>
            <w:bottom w:val="none" w:sz="0" w:space="0" w:color="auto"/>
            <w:right w:val="none" w:sz="0" w:space="0" w:color="auto"/>
          </w:divBdr>
        </w:div>
      </w:divsChild>
    </w:div>
    <w:div w:id="1837378869">
      <w:bodyDiv w:val="1"/>
      <w:marLeft w:val="0"/>
      <w:marRight w:val="0"/>
      <w:marTop w:val="0"/>
      <w:marBottom w:val="0"/>
      <w:divBdr>
        <w:top w:val="none" w:sz="0" w:space="0" w:color="auto"/>
        <w:left w:val="none" w:sz="0" w:space="0" w:color="auto"/>
        <w:bottom w:val="none" w:sz="0" w:space="0" w:color="auto"/>
        <w:right w:val="none" w:sz="0" w:space="0" w:color="auto"/>
      </w:divBdr>
    </w:div>
    <w:div w:id="1849441556">
      <w:bodyDiv w:val="1"/>
      <w:marLeft w:val="0"/>
      <w:marRight w:val="0"/>
      <w:marTop w:val="0"/>
      <w:marBottom w:val="0"/>
      <w:divBdr>
        <w:top w:val="none" w:sz="0" w:space="0" w:color="auto"/>
        <w:left w:val="none" w:sz="0" w:space="0" w:color="auto"/>
        <w:bottom w:val="none" w:sz="0" w:space="0" w:color="auto"/>
        <w:right w:val="none" w:sz="0" w:space="0" w:color="auto"/>
      </w:divBdr>
    </w:div>
    <w:div w:id="1851748215">
      <w:bodyDiv w:val="1"/>
      <w:marLeft w:val="0"/>
      <w:marRight w:val="0"/>
      <w:marTop w:val="0"/>
      <w:marBottom w:val="0"/>
      <w:divBdr>
        <w:top w:val="none" w:sz="0" w:space="0" w:color="auto"/>
        <w:left w:val="none" w:sz="0" w:space="0" w:color="auto"/>
        <w:bottom w:val="none" w:sz="0" w:space="0" w:color="auto"/>
        <w:right w:val="none" w:sz="0" w:space="0" w:color="auto"/>
      </w:divBdr>
      <w:divsChild>
        <w:div w:id="368917352">
          <w:marLeft w:val="0"/>
          <w:marRight w:val="0"/>
          <w:marTop w:val="0"/>
          <w:marBottom w:val="150"/>
          <w:divBdr>
            <w:top w:val="none" w:sz="0" w:space="0" w:color="auto"/>
            <w:left w:val="none" w:sz="0" w:space="0" w:color="auto"/>
            <w:bottom w:val="none" w:sz="0" w:space="0" w:color="auto"/>
            <w:right w:val="none" w:sz="0" w:space="0" w:color="auto"/>
          </w:divBdr>
        </w:div>
        <w:div w:id="653796481">
          <w:marLeft w:val="300"/>
          <w:marRight w:val="0"/>
          <w:marTop w:val="0"/>
          <w:marBottom w:val="300"/>
          <w:divBdr>
            <w:top w:val="none" w:sz="0" w:space="0" w:color="auto"/>
            <w:left w:val="none" w:sz="0" w:space="0" w:color="auto"/>
            <w:bottom w:val="none" w:sz="0" w:space="0" w:color="auto"/>
            <w:right w:val="none" w:sz="0" w:space="0" w:color="auto"/>
          </w:divBdr>
        </w:div>
      </w:divsChild>
    </w:div>
    <w:div w:id="1852597947">
      <w:bodyDiv w:val="1"/>
      <w:marLeft w:val="0"/>
      <w:marRight w:val="0"/>
      <w:marTop w:val="0"/>
      <w:marBottom w:val="0"/>
      <w:divBdr>
        <w:top w:val="none" w:sz="0" w:space="0" w:color="auto"/>
        <w:left w:val="none" w:sz="0" w:space="0" w:color="auto"/>
        <w:bottom w:val="none" w:sz="0" w:space="0" w:color="auto"/>
        <w:right w:val="none" w:sz="0" w:space="0" w:color="auto"/>
      </w:divBdr>
    </w:div>
    <w:div w:id="1862081733">
      <w:bodyDiv w:val="1"/>
      <w:marLeft w:val="0"/>
      <w:marRight w:val="0"/>
      <w:marTop w:val="0"/>
      <w:marBottom w:val="0"/>
      <w:divBdr>
        <w:top w:val="none" w:sz="0" w:space="0" w:color="auto"/>
        <w:left w:val="none" w:sz="0" w:space="0" w:color="auto"/>
        <w:bottom w:val="none" w:sz="0" w:space="0" w:color="auto"/>
        <w:right w:val="none" w:sz="0" w:space="0" w:color="auto"/>
      </w:divBdr>
      <w:divsChild>
        <w:div w:id="1543203353">
          <w:marLeft w:val="0"/>
          <w:marRight w:val="0"/>
          <w:marTop w:val="0"/>
          <w:marBottom w:val="0"/>
          <w:divBdr>
            <w:top w:val="none" w:sz="0" w:space="0" w:color="auto"/>
            <w:left w:val="none" w:sz="0" w:space="0" w:color="auto"/>
            <w:bottom w:val="none" w:sz="0" w:space="0" w:color="auto"/>
            <w:right w:val="none" w:sz="0" w:space="0" w:color="auto"/>
          </w:divBdr>
          <w:divsChild>
            <w:div w:id="2074043865">
              <w:marLeft w:val="0"/>
              <w:marRight w:val="0"/>
              <w:marTop w:val="0"/>
              <w:marBottom w:val="0"/>
              <w:divBdr>
                <w:top w:val="none" w:sz="0" w:space="0" w:color="auto"/>
                <w:left w:val="none" w:sz="0" w:space="0" w:color="auto"/>
                <w:bottom w:val="none" w:sz="0" w:space="0" w:color="auto"/>
                <w:right w:val="none" w:sz="0" w:space="0" w:color="auto"/>
              </w:divBdr>
              <w:divsChild>
                <w:div w:id="156475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083531">
      <w:bodyDiv w:val="1"/>
      <w:marLeft w:val="0"/>
      <w:marRight w:val="0"/>
      <w:marTop w:val="0"/>
      <w:marBottom w:val="0"/>
      <w:divBdr>
        <w:top w:val="none" w:sz="0" w:space="0" w:color="auto"/>
        <w:left w:val="none" w:sz="0" w:space="0" w:color="auto"/>
        <w:bottom w:val="none" w:sz="0" w:space="0" w:color="auto"/>
        <w:right w:val="none" w:sz="0" w:space="0" w:color="auto"/>
      </w:divBdr>
    </w:div>
    <w:div w:id="1873640865">
      <w:bodyDiv w:val="1"/>
      <w:marLeft w:val="0"/>
      <w:marRight w:val="0"/>
      <w:marTop w:val="0"/>
      <w:marBottom w:val="0"/>
      <w:divBdr>
        <w:top w:val="none" w:sz="0" w:space="0" w:color="auto"/>
        <w:left w:val="none" w:sz="0" w:space="0" w:color="auto"/>
        <w:bottom w:val="none" w:sz="0" w:space="0" w:color="auto"/>
        <w:right w:val="none" w:sz="0" w:space="0" w:color="auto"/>
      </w:divBdr>
    </w:div>
    <w:div w:id="1882550949">
      <w:bodyDiv w:val="1"/>
      <w:marLeft w:val="0"/>
      <w:marRight w:val="0"/>
      <w:marTop w:val="0"/>
      <w:marBottom w:val="0"/>
      <w:divBdr>
        <w:top w:val="none" w:sz="0" w:space="0" w:color="auto"/>
        <w:left w:val="none" w:sz="0" w:space="0" w:color="auto"/>
        <w:bottom w:val="none" w:sz="0" w:space="0" w:color="auto"/>
        <w:right w:val="none" w:sz="0" w:space="0" w:color="auto"/>
      </w:divBdr>
      <w:divsChild>
        <w:div w:id="1301155367">
          <w:marLeft w:val="0"/>
          <w:marRight w:val="0"/>
          <w:marTop w:val="0"/>
          <w:marBottom w:val="0"/>
          <w:divBdr>
            <w:top w:val="none" w:sz="0" w:space="0" w:color="auto"/>
            <w:left w:val="none" w:sz="0" w:space="0" w:color="auto"/>
            <w:bottom w:val="none" w:sz="0" w:space="0" w:color="auto"/>
            <w:right w:val="none" w:sz="0" w:space="0" w:color="auto"/>
          </w:divBdr>
          <w:divsChild>
            <w:div w:id="16540624">
              <w:marLeft w:val="0"/>
              <w:marRight w:val="0"/>
              <w:marTop w:val="0"/>
              <w:marBottom w:val="0"/>
              <w:divBdr>
                <w:top w:val="none" w:sz="0" w:space="0" w:color="auto"/>
                <w:left w:val="none" w:sz="0" w:space="0" w:color="auto"/>
                <w:bottom w:val="none" w:sz="0" w:space="0" w:color="auto"/>
                <w:right w:val="none" w:sz="0" w:space="0" w:color="auto"/>
              </w:divBdr>
              <w:divsChild>
                <w:div w:id="194190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010248">
      <w:bodyDiv w:val="1"/>
      <w:marLeft w:val="0"/>
      <w:marRight w:val="0"/>
      <w:marTop w:val="0"/>
      <w:marBottom w:val="0"/>
      <w:divBdr>
        <w:top w:val="none" w:sz="0" w:space="0" w:color="auto"/>
        <w:left w:val="none" w:sz="0" w:space="0" w:color="auto"/>
        <w:bottom w:val="none" w:sz="0" w:space="0" w:color="auto"/>
        <w:right w:val="none" w:sz="0" w:space="0" w:color="auto"/>
      </w:divBdr>
    </w:div>
    <w:div w:id="1892956839">
      <w:bodyDiv w:val="1"/>
      <w:marLeft w:val="0"/>
      <w:marRight w:val="0"/>
      <w:marTop w:val="0"/>
      <w:marBottom w:val="0"/>
      <w:divBdr>
        <w:top w:val="none" w:sz="0" w:space="0" w:color="auto"/>
        <w:left w:val="none" w:sz="0" w:space="0" w:color="auto"/>
        <w:bottom w:val="none" w:sz="0" w:space="0" w:color="auto"/>
        <w:right w:val="none" w:sz="0" w:space="0" w:color="auto"/>
      </w:divBdr>
      <w:divsChild>
        <w:div w:id="185991938">
          <w:marLeft w:val="0"/>
          <w:marRight w:val="0"/>
          <w:marTop w:val="0"/>
          <w:marBottom w:val="0"/>
          <w:divBdr>
            <w:top w:val="none" w:sz="0" w:space="0" w:color="auto"/>
            <w:left w:val="none" w:sz="0" w:space="0" w:color="auto"/>
            <w:bottom w:val="none" w:sz="0" w:space="0" w:color="auto"/>
            <w:right w:val="none" w:sz="0" w:space="0" w:color="auto"/>
          </w:divBdr>
          <w:divsChild>
            <w:div w:id="1870608321">
              <w:marLeft w:val="0"/>
              <w:marRight w:val="0"/>
              <w:marTop w:val="0"/>
              <w:marBottom w:val="0"/>
              <w:divBdr>
                <w:top w:val="none" w:sz="0" w:space="0" w:color="auto"/>
                <w:left w:val="none" w:sz="0" w:space="0" w:color="auto"/>
                <w:bottom w:val="none" w:sz="0" w:space="0" w:color="auto"/>
                <w:right w:val="none" w:sz="0" w:space="0" w:color="auto"/>
              </w:divBdr>
              <w:divsChild>
                <w:div w:id="160976263">
                  <w:marLeft w:val="-420"/>
                  <w:marRight w:val="0"/>
                  <w:marTop w:val="0"/>
                  <w:marBottom w:val="0"/>
                  <w:divBdr>
                    <w:top w:val="none" w:sz="0" w:space="0" w:color="auto"/>
                    <w:left w:val="none" w:sz="0" w:space="0" w:color="auto"/>
                    <w:bottom w:val="none" w:sz="0" w:space="0" w:color="auto"/>
                    <w:right w:val="none" w:sz="0" w:space="0" w:color="auto"/>
                  </w:divBdr>
                  <w:divsChild>
                    <w:div w:id="1148325709">
                      <w:marLeft w:val="0"/>
                      <w:marRight w:val="0"/>
                      <w:marTop w:val="0"/>
                      <w:marBottom w:val="0"/>
                      <w:divBdr>
                        <w:top w:val="none" w:sz="0" w:space="0" w:color="auto"/>
                        <w:left w:val="none" w:sz="0" w:space="0" w:color="auto"/>
                        <w:bottom w:val="none" w:sz="0" w:space="0" w:color="auto"/>
                        <w:right w:val="none" w:sz="0" w:space="0" w:color="auto"/>
                      </w:divBdr>
                      <w:divsChild>
                        <w:div w:id="232156907">
                          <w:marLeft w:val="0"/>
                          <w:marRight w:val="0"/>
                          <w:marTop w:val="0"/>
                          <w:marBottom w:val="0"/>
                          <w:divBdr>
                            <w:top w:val="none" w:sz="0" w:space="0" w:color="auto"/>
                            <w:left w:val="none" w:sz="0" w:space="0" w:color="auto"/>
                            <w:bottom w:val="none" w:sz="0" w:space="0" w:color="auto"/>
                            <w:right w:val="none" w:sz="0" w:space="0" w:color="auto"/>
                          </w:divBdr>
                          <w:divsChild>
                            <w:div w:id="1138303762">
                              <w:marLeft w:val="0"/>
                              <w:marRight w:val="0"/>
                              <w:marTop w:val="0"/>
                              <w:marBottom w:val="0"/>
                              <w:divBdr>
                                <w:top w:val="none" w:sz="0" w:space="0" w:color="auto"/>
                                <w:left w:val="none" w:sz="0" w:space="0" w:color="auto"/>
                                <w:bottom w:val="none" w:sz="0" w:space="0" w:color="auto"/>
                                <w:right w:val="none" w:sz="0" w:space="0" w:color="auto"/>
                              </w:divBdr>
                            </w:div>
                            <w:div w:id="1245257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525982">
                  <w:marLeft w:val="-420"/>
                  <w:marRight w:val="0"/>
                  <w:marTop w:val="0"/>
                  <w:marBottom w:val="0"/>
                  <w:divBdr>
                    <w:top w:val="none" w:sz="0" w:space="0" w:color="auto"/>
                    <w:left w:val="none" w:sz="0" w:space="0" w:color="auto"/>
                    <w:bottom w:val="none" w:sz="0" w:space="0" w:color="auto"/>
                    <w:right w:val="none" w:sz="0" w:space="0" w:color="auto"/>
                  </w:divBdr>
                  <w:divsChild>
                    <w:div w:id="300112232">
                      <w:marLeft w:val="0"/>
                      <w:marRight w:val="0"/>
                      <w:marTop w:val="0"/>
                      <w:marBottom w:val="0"/>
                      <w:divBdr>
                        <w:top w:val="none" w:sz="0" w:space="0" w:color="auto"/>
                        <w:left w:val="none" w:sz="0" w:space="0" w:color="auto"/>
                        <w:bottom w:val="none" w:sz="0" w:space="0" w:color="auto"/>
                        <w:right w:val="none" w:sz="0" w:space="0" w:color="auto"/>
                      </w:divBdr>
                      <w:divsChild>
                        <w:div w:id="1900285349">
                          <w:marLeft w:val="0"/>
                          <w:marRight w:val="0"/>
                          <w:marTop w:val="0"/>
                          <w:marBottom w:val="0"/>
                          <w:divBdr>
                            <w:top w:val="none" w:sz="0" w:space="0" w:color="auto"/>
                            <w:left w:val="none" w:sz="0" w:space="0" w:color="auto"/>
                            <w:bottom w:val="none" w:sz="0" w:space="0" w:color="auto"/>
                            <w:right w:val="none" w:sz="0" w:space="0" w:color="auto"/>
                          </w:divBdr>
                          <w:divsChild>
                            <w:div w:id="847909398">
                              <w:marLeft w:val="0"/>
                              <w:marRight w:val="0"/>
                              <w:marTop w:val="0"/>
                              <w:marBottom w:val="0"/>
                              <w:divBdr>
                                <w:top w:val="none" w:sz="0" w:space="0" w:color="auto"/>
                                <w:left w:val="none" w:sz="0" w:space="0" w:color="auto"/>
                                <w:bottom w:val="none" w:sz="0" w:space="0" w:color="auto"/>
                                <w:right w:val="none" w:sz="0" w:space="0" w:color="auto"/>
                              </w:divBdr>
                            </w:div>
                            <w:div w:id="1824733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0898351">
                  <w:marLeft w:val="-420"/>
                  <w:marRight w:val="0"/>
                  <w:marTop w:val="0"/>
                  <w:marBottom w:val="0"/>
                  <w:divBdr>
                    <w:top w:val="none" w:sz="0" w:space="0" w:color="auto"/>
                    <w:left w:val="none" w:sz="0" w:space="0" w:color="auto"/>
                    <w:bottom w:val="none" w:sz="0" w:space="0" w:color="auto"/>
                    <w:right w:val="none" w:sz="0" w:space="0" w:color="auto"/>
                  </w:divBdr>
                  <w:divsChild>
                    <w:div w:id="1525365488">
                      <w:marLeft w:val="0"/>
                      <w:marRight w:val="0"/>
                      <w:marTop w:val="0"/>
                      <w:marBottom w:val="0"/>
                      <w:divBdr>
                        <w:top w:val="none" w:sz="0" w:space="0" w:color="auto"/>
                        <w:left w:val="none" w:sz="0" w:space="0" w:color="auto"/>
                        <w:bottom w:val="none" w:sz="0" w:space="0" w:color="auto"/>
                        <w:right w:val="none" w:sz="0" w:space="0" w:color="auto"/>
                      </w:divBdr>
                      <w:divsChild>
                        <w:div w:id="215312303">
                          <w:marLeft w:val="0"/>
                          <w:marRight w:val="0"/>
                          <w:marTop w:val="0"/>
                          <w:marBottom w:val="0"/>
                          <w:divBdr>
                            <w:top w:val="none" w:sz="0" w:space="0" w:color="auto"/>
                            <w:left w:val="none" w:sz="0" w:space="0" w:color="auto"/>
                            <w:bottom w:val="none" w:sz="0" w:space="0" w:color="auto"/>
                            <w:right w:val="none" w:sz="0" w:space="0" w:color="auto"/>
                          </w:divBdr>
                          <w:divsChild>
                            <w:div w:id="806513478">
                              <w:marLeft w:val="0"/>
                              <w:marRight w:val="0"/>
                              <w:marTop w:val="0"/>
                              <w:marBottom w:val="0"/>
                              <w:divBdr>
                                <w:top w:val="none" w:sz="0" w:space="0" w:color="auto"/>
                                <w:left w:val="none" w:sz="0" w:space="0" w:color="auto"/>
                                <w:bottom w:val="none" w:sz="0" w:space="0" w:color="auto"/>
                                <w:right w:val="none" w:sz="0" w:space="0" w:color="auto"/>
                              </w:divBdr>
                            </w:div>
                            <w:div w:id="1155224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757431">
                  <w:marLeft w:val="-420"/>
                  <w:marRight w:val="0"/>
                  <w:marTop w:val="0"/>
                  <w:marBottom w:val="0"/>
                  <w:divBdr>
                    <w:top w:val="none" w:sz="0" w:space="0" w:color="auto"/>
                    <w:left w:val="none" w:sz="0" w:space="0" w:color="auto"/>
                    <w:bottom w:val="none" w:sz="0" w:space="0" w:color="auto"/>
                    <w:right w:val="none" w:sz="0" w:space="0" w:color="auto"/>
                  </w:divBdr>
                  <w:divsChild>
                    <w:div w:id="1239628681">
                      <w:marLeft w:val="0"/>
                      <w:marRight w:val="0"/>
                      <w:marTop w:val="0"/>
                      <w:marBottom w:val="0"/>
                      <w:divBdr>
                        <w:top w:val="none" w:sz="0" w:space="0" w:color="auto"/>
                        <w:left w:val="none" w:sz="0" w:space="0" w:color="auto"/>
                        <w:bottom w:val="none" w:sz="0" w:space="0" w:color="auto"/>
                        <w:right w:val="none" w:sz="0" w:space="0" w:color="auto"/>
                      </w:divBdr>
                      <w:divsChild>
                        <w:div w:id="1279331828">
                          <w:marLeft w:val="0"/>
                          <w:marRight w:val="0"/>
                          <w:marTop w:val="0"/>
                          <w:marBottom w:val="0"/>
                          <w:divBdr>
                            <w:top w:val="none" w:sz="0" w:space="0" w:color="auto"/>
                            <w:left w:val="none" w:sz="0" w:space="0" w:color="auto"/>
                            <w:bottom w:val="none" w:sz="0" w:space="0" w:color="auto"/>
                            <w:right w:val="none" w:sz="0" w:space="0" w:color="auto"/>
                          </w:divBdr>
                          <w:divsChild>
                            <w:div w:id="4285082">
                              <w:marLeft w:val="0"/>
                              <w:marRight w:val="0"/>
                              <w:marTop w:val="0"/>
                              <w:marBottom w:val="0"/>
                              <w:divBdr>
                                <w:top w:val="none" w:sz="0" w:space="0" w:color="auto"/>
                                <w:left w:val="none" w:sz="0" w:space="0" w:color="auto"/>
                                <w:bottom w:val="none" w:sz="0" w:space="0" w:color="auto"/>
                                <w:right w:val="none" w:sz="0" w:space="0" w:color="auto"/>
                              </w:divBdr>
                            </w:div>
                            <w:div w:id="188752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017234">
                  <w:marLeft w:val="-420"/>
                  <w:marRight w:val="0"/>
                  <w:marTop w:val="0"/>
                  <w:marBottom w:val="0"/>
                  <w:divBdr>
                    <w:top w:val="none" w:sz="0" w:space="0" w:color="auto"/>
                    <w:left w:val="none" w:sz="0" w:space="0" w:color="auto"/>
                    <w:bottom w:val="none" w:sz="0" w:space="0" w:color="auto"/>
                    <w:right w:val="none" w:sz="0" w:space="0" w:color="auto"/>
                  </w:divBdr>
                  <w:divsChild>
                    <w:div w:id="487792526">
                      <w:marLeft w:val="0"/>
                      <w:marRight w:val="0"/>
                      <w:marTop w:val="0"/>
                      <w:marBottom w:val="0"/>
                      <w:divBdr>
                        <w:top w:val="none" w:sz="0" w:space="0" w:color="auto"/>
                        <w:left w:val="none" w:sz="0" w:space="0" w:color="auto"/>
                        <w:bottom w:val="none" w:sz="0" w:space="0" w:color="auto"/>
                        <w:right w:val="none" w:sz="0" w:space="0" w:color="auto"/>
                      </w:divBdr>
                      <w:divsChild>
                        <w:div w:id="887952566">
                          <w:marLeft w:val="0"/>
                          <w:marRight w:val="0"/>
                          <w:marTop w:val="0"/>
                          <w:marBottom w:val="0"/>
                          <w:divBdr>
                            <w:top w:val="none" w:sz="0" w:space="0" w:color="auto"/>
                            <w:left w:val="none" w:sz="0" w:space="0" w:color="auto"/>
                            <w:bottom w:val="none" w:sz="0" w:space="0" w:color="auto"/>
                            <w:right w:val="none" w:sz="0" w:space="0" w:color="auto"/>
                          </w:divBdr>
                          <w:divsChild>
                            <w:div w:id="611477656">
                              <w:marLeft w:val="0"/>
                              <w:marRight w:val="0"/>
                              <w:marTop w:val="0"/>
                              <w:marBottom w:val="0"/>
                              <w:divBdr>
                                <w:top w:val="none" w:sz="0" w:space="0" w:color="auto"/>
                                <w:left w:val="none" w:sz="0" w:space="0" w:color="auto"/>
                                <w:bottom w:val="none" w:sz="0" w:space="0" w:color="auto"/>
                                <w:right w:val="none" w:sz="0" w:space="0" w:color="auto"/>
                              </w:divBdr>
                            </w:div>
                            <w:div w:id="1157459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298219">
                  <w:marLeft w:val="-420"/>
                  <w:marRight w:val="0"/>
                  <w:marTop w:val="0"/>
                  <w:marBottom w:val="0"/>
                  <w:divBdr>
                    <w:top w:val="none" w:sz="0" w:space="0" w:color="auto"/>
                    <w:left w:val="none" w:sz="0" w:space="0" w:color="auto"/>
                    <w:bottom w:val="none" w:sz="0" w:space="0" w:color="auto"/>
                    <w:right w:val="none" w:sz="0" w:space="0" w:color="auto"/>
                  </w:divBdr>
                  <w:divsChild>
                    <w:div w:id="51773709">
                      <w:marLeft w:val="0"/>
                      <w:marRight w:val="0"/>
                      <w:marTop w:val="0"/>
                      <w:marBottom w:val="0"/>
                      <w:divBdr>
                        <w:top w:val="none" w:sz="0" w:space="0" w:color="auto"/>
                        <w:left w:val="none" w:sz="0" w:space="0" w:color="auto"/>
                        <w:bottom w:val="none" w:sz="0" w:space="0" w:color="auto"/>
                        <w:right w:val="none" w:sz="0" w:space="0" w:color="auto"/>
                      </w:divBdr>
                      <w:divsChild>
                        <w:div w:id="1310088362">
                          <w:marLeft w:val="0"/>
                          <w:marRight w:val="0"/>
                          <w:marTop w:val="0"/>
                          <w:marBottom w:val="0"/>
                          <w:divBdr>
                            <w:top w:val="none" w:sz="0" w:space="0" w:color="auto"/>
                            <w:left w:val="none" w:sz="0" w:space="0" w:color="auto"/>
                            <w:bottom w:val="none" w:sz="0" w:space="0" w:color="auto"/>
                            <w:right w:val="none" w:sz="0" w:space="0" w:color="auto"/>
                          </w:divBdr>
                          <w:divsChild>
                            <w:div w:id="912011473">
                              <w:marLeft w:val="0"/>
                              <w:marRight w:val="0"/>
                              <w:marTop w:val="0"/>
                              <w:marBottom w:val="0"/>
                              <w:divBdr>
                                <w:top w:val="none" w:sz="0" w:space="0" w:color="auto"/>
                                <w:left w:val="none" w:sz="0" w:space="0" w:color="auto"/>
                                <w:bottom w:val="none" w:sz="0" w:space="0" w:color="auto"/>
                                <w:right w:val="none" w:sz="0" w:space="0" w:color="auto"/>
                              </w:divBdr>
                            </w:div>
                            <w:div w:id="1111126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325030">
                  <w:marLeft w:val="-420"/>
                  <w:marRight w:val="0"/>
                  <w:marTop w:val="0"/>
                  <w:marBottom w:val="0"/>
                  <w:divBdr>
                    <w:top w:val="none" w:sz="0" w:space="0" w:color="auto"/>
                    <w:left w:val="none" w:sz="0" w:space="0" w:color="auto"/>
                    <w:bottom w:val="none" w:sz="0" w:space="0" w:color="auto"/>
                    <w:right w:val="none" w:sz="0" w:space="0" w:color="auto"/>
                  </w:divBdr>
                  <w:divsChild>
                    <w:div w:id="1251038339">
                      <w:marLeft w:val="0"/>
                      <w:marRight w:val="0"/>
                      <w:marTop w:val="0"/>
                      <w:marBottom w:val="0"/>
                      <w:divBdr>
                        <w:top w:val="none" w:sz="0" w:space="0" w:color="auto"/>
                        <w:left w:val="none" w:sz="0" w:space="0" w:color="auto"/>
                        <w:bottom w:val="none" w:sz="0" w:space="0" w:color="auto"/>
                        <w:right w:val="none" w:sz="0" w:space="0" w:color="auto"/>
                      </w:divBdr>
                      <w:divsChild>
                        <w:div w:id="1187131654">
                          <w:marLeft w:val="0"/>
                          <w:marRight w:val="0"/>
                          <w:marTop w:val="0"/>
                          <w:marBottom w:val="0"/>
                          <w:divBdr>
                            <w:top w:val="none" w:sz="0" w:space="0" w:color="auto"/>
                            <w:left w:val="none" w:sz="0" w:space="0" w:color="auto"/>
                            <w:bottom w:val="none" w:sz="0" w:space="0" w:color="auto"/>
                            <w:right w:val="none" w:sz="0" w:space="0" w:color="auto"/>
                          </w:divBdr>
                          <w:divsChild>
                            <w:div w:id="1097217317">
                              <w:marLeft w:val="0"/>
                              <w:marRight w:val="0"/>
                              <w:marTop w:val="0"/>
                              <w:marBottom w:val="0"/>
                              <w:divBdr>
                                <w:top w:val="none" w:sz="0" w:space="0" w:color="auto"/>
                                <w:left w:val="none" w:sz="0" w:space="0" w:color="auto"/>
                                <w:bottom w:val="none" w:sz="0" w:space="0" w:color="auto"/>
                                <w:right w:val="none" w:sz="0" w:space="0" w:color="auto"/>
                              </w:divBdr>
                            </w:div>
                            <w:div w:id="1885948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132899">
                  <w:marLeft w:val="-420"/>
                  <w:marRight w:val="0"/>
                  <w:marTop w:val="0"/>
                  <w:marBottom w:val="0"/>
                  <w:divBdr>
                    <w:top w:val="none" w:sz="0" w:space="0" w:color="auto"/>
                    <w:left w:val="none" w:sz="0" w:space="0" w:color="auto"/>
                    <w:bottom w:val="none" w:sz="0" w:space="0" w:color="auto"/>
                    <w:right w:val="none" w:sz="0" w:space="0" w:color="auto"/>
                  </w:divBdr>
                  <w:divsChild>
                    <w:div w:id="1729449762">
                      <w:marLeft w:val="0"/>
                      <w:marRight w:val="0"/>
                      <w:marTop w:val="0"/>
                      <w:marBottom w:val="0"/>
                      <w:divBdr>
                        <w:top w:val="none" w:sz="0" w:space="0" w:color="auto"/>
                        <w:left w:val="none" w:sz="0" w:space="0" w:color="auto"/>
                        <w:bottom w:val="none" w:sz="0" w:space="0" w:color="auto"/>
                        <w:right w:val="none" w:sz="0" w:space="0" w:color="auto"/>
                      </w:divBdr>
                      <w:divsChild>
                        <w:div w:id="598487229">
                          <w:marLeft w:val="0"/>
                          <w:marRight w:val="0"/>
                          <w:marTop w:val="0"/>
                          <w:marBottom w:val="0"/>
                          <w:divBdr>
                            <w:top w:val="none" w:sz="0" w:space="0" w:color="auto"/>
                            <w:left w:val="none" w:sz="0" w:space="0" w:color="auto"/>
                            <w:bottom w:val="none" w:sz="0" w:space="0" w:color="auto"/>
                            <w:right w:val="none" w:sz="0" w:space="0" w:color="auto"/>
                          </w:divBdr>
                          <w:divsChild>
                            <w:div w:id="1006206122">
                              <w:marLeft w:val="0"/>
                              <w:marRight w:val="0"/>
                              <w:marTop w:val="0"/>
                              <w:marBottom w:val="0"/>
                              <w:divBdr>
                                <w:top w:val="none" w:sz="0" w:space="0" w:color="auto"/>
                                <w:left w:val="none" w:sz="0" w:space="0" w:color="auto"/>
                                <w:bottom w:val="none" w:sz="0" w:space="0" w:color="auto"/>
                                <w:right w:val="none" w:sz="0" w:space="0" w:color="auto"/>
                              </w:divBdr>
                            </w:div>
                            <w:div w:id="169236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8616022">
                  <w:marLeft w:val="-420"/>
                  <w:marRight w:val="0"/>
                  <w:marTop w:val="0"/>
                  <w:marBottom w:val="0"/>
                  <w:divBdr>
                    <w:top w:val="none" w:sz="0" w:space="0" w:color="auto"/>
                    <w:left w:val="none" w:sz="0" w:space="0" w:color="auto"/>
                    <w:bottom w:val="none" w:sz="0" w:space="0" w:color="auto"/>
                    <w:right w:val="none" w:sz="0" w:space="0" w:color="auto"/>
                  </w:divBdr>
                  <w:divsChild>
                    <w:div w:id="1191337043">
                      <w:marLeft w:val="0"/>
                      <w:marRight w:val="0"/>
                      <w:marTop w:val="0"/>
                      <w:marBottom w:val="0"/>
                      <w:divBdr>
                        <w:top w:val="none" w:sz="0" w:space="0" w:color="auto"/>
                        <w:left w:val="none" w:sz="0" w:space="0" w:color="auto"/>
                        <w:bottom w:val="none" w:sz="0" w:space="0" w:color="auto"/>
                        <w:right w:val="none" w:sz="0" w:space="0" w:color="auto"/>
                      </w:divBdr>
                      <w:divsChild>
                        <w:div w:id="2096705628">
                          <w:marLeft w:val="0"/>
                          <w:marRight w:val="0"/>
                          <w:marTop w:val="0"/>
                          <w:marBottom w:val="0"/>
                          <w:divBdr>
                            <w:top w:val="none" w:sz="0" w:space="0" w:color="auto"/>
                            <w:left w:val="none" w:sz="0" w:space="0" w:color="auto"/>
                            <w:bottom w:val="none" w:sz="0" w:space="0" w:color="auto"/>
                            <w:right w:val="none" w:sz="0" w:space="0" w:color="auto"/>
                          </w:divBdr>
                          <w:divsChild>
                            <w:div w:id="1090392131">
                              <w:marLeft w:val="0"/>
                              <w:marRight w:val="0"/>
                              <w:marTop w:val="0"/>
                              <w:marBottom w:val="0"/>
                              <w:divBdr>
                                <w:top w:val="none" w:sz="0" w:space="0" w:color="auto"/>
                                <w:left w:val="none" w:sz="0" w:space="0" w:color="auto"/>
                                <w:bottom w:val="none" w:sz="0" w:space="0" w:color="auto"/>
                                <w:right w:val="none" w:sz="0" w:space="0" w:color="auto"/>
                              </w:divBdr>
                            </w:div>
                            <w:div w:id="1550416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060645">
                  <w:marLeft w:val="-420"/>
                  <w:marRight w:val="0"/>
                  <w:marTop w:val="0"/>
                  <w:marBottom w:val="0"/>
                  <w:divBdr>
                    <w:top w:val="none" w:sz="0" w:space="0" w:color="auto"/>
                    <w:left w:val="none" w:sz="0" w:space="0" w:color="auto"/>
                    <w:bottom w:val="none" w:sz="0" w:space="0" w:color="auto"/>
                    <w:right w:val="none" w:sz="0" w:space="0" w:color="auto"/>
                  </w:divBdr>
                  <w:divsChild>
                    <w:div w:id="922833218">
                      <w:marLeft w:val="0"/>
                      <w:marRight w:val="0"/>
                      <w:marTop w:val="0"/>
                      <w:marBottom w:val="0"/>
                      <w:divBdr>
                        <w:top w:val="none" w:sz="0" w:space="0" w:color="auto"/>
                        <w:left w:val="none" w:sz="0" w:space="0" w:color="auto"/>
                        <w:bottom w:val="none" w:sz="0" w:space="0" w:color="auto"/>
                        <w:right w:val="none" w:sz="0" w:space="0" w:color="auto"/>
                      </w:divBdr>
                      <w:divsChild>
                        <w:div w:id="470056246">
                          <w:marLeft w:val="0"/>
                          <w:marRight w:val="0"/>
                          <w:marTop w:val="0"/>
                          <w:marBottom w:val="0"/>
                          <w:divBdr>
                            <w:top w:val="none" w:sz="0" w:space="0" w:color="auto"/>
                            <w:left w:val="none" w:sz="0" w:space="0" w:color="auto"/>
                            <w:bottom w:val="none" w:sz="0" w:space="0" w:color="auto"/>
                            <w:right w:val="none" w:sz="0" w:space="0" w:color="auto"/>
                          </w:divBdr>
                          <w:divsChild>
                            <w:div w:id="477960038">
                              <w:marLeft w:val="0"/>
                              <w:marRight w:val="0"/>
                              <w:marTop w:val="0"/>
                              <w:marBottom w:val="0"/>
                              <w:divBdr>
                                <w:top w:val="none" w:sz="0" w:space="0" w:color="auto"/>
                                <w:left w:val="none" w:sz="0" w:space="0" w:color="auto"/>
                                <w:bottom w:val="none" w:sz="0" w:space="0" w:color="auto"/>
                                <w:right w:val="none" w:sz="0" w:space="0" w:color="auto"/>
                              </w:divBdr>
                            </w:div>
                            <w:div w:id="112797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325520">
                  <w:marLeft w:val="-420"/>
                  <w:marRight w:val="0"/>
                  <w:marTop w:val="0"/>
                  <w:marBottom w:val="0"/>
                  <w:divBdr>
                    <w:top w:val="none" w:sz="0" w:space="0" w:color="auto"/>
                    <w:left w:val="none" w:sz="0" w:space="0" w:color="auto"/>
                    <w:bottom w:val="none" w:sz="0" w:space="0" w:color="auto"/>
                    <w:right w:val="none" w:sz="0" w:space="0" w:color="auto"/>
                  </w:divBdr>
                  <w:divsChild>
                    <w:div w:id="1499341993">
                      <w:marLeft w:val="0"/>
                      <w:marRight w:val="0"/>
                      <w:marTop w:val="0"/>
                      <w:marBottom w:val="0"/>
                      <w:divBdr>
                        <w:top w:val="none" w:sz="0" w:space="0" w:color="auto"/>
                        <w:left w:val="none" w:sz="0" w:space="0" w:color="auto"/>
                        <w:bottom w:val="none" w:sz="0" w:space="0" w:color="auto"/>
                        <w:right w:val="none" w:sz="0" w:space="0" w:color="auto"/>
                      </w:divBdr>
                      <w:divsChild>
                        <w:div w:id="1039430479">
                          <w:marLeft w:val="0"/>
                          <w:marRight w:val="0"/>
                          <w:marTop w:val="0"/>
                          <w:marBottom w:val="0"/>
                          <w:divBdr>
                            <w:top w:val="none" w:sz="0" w:space="0" w:color="auto"/>
                            <w:left w:val="none" w:sz="0" w:space="0" w:color="auto"/>
                            <w:bottom w:val="none" w:sz="0" w:space="0" w:color="auto"/>
                            <w:right w:val="none" w:sz="0" w:space="0" w:color="auto"/>
                          </w:divBdr>
                          <w:divsChild>
                            <w:div w:id="622658845">
                              <w:marLeft w:val="0"/>
                              <w:marRight w:val="0"/>
                              <w:marTop w:val="0"/>
                              <w:marBottom w:val="0"/>
                              <w:divBdr>
                                <w:top w:val="none" w:sz="0" w:space="0" w:color="auto"/>
                                <w:left w:val="none" w:sz="0" w:space="0" w:color="auto"/>
                                <w:bottom w:val="none" w:sz="0" w:space="0" w:color="auto"/>
                                <w:right w:val="none" w:sz="0" w:space="0" w:color="auto"/>
                              </w:divBdr>
                            </w:div>
                            <w:div w:id="1547837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4264143">
          <w:marLeft w:val="0"/>
          <w:marRight w:val="0"/>
          <w:marTop w:val="0"/>
          <w:marBottom w:val="0"/>
          <w:divBdr>
            <w:top w:val="none" w:sz="0" w:space="0" w:color="auto"/>
            <w:left w:val="none" w:sz="0" w:space="0" w:color="auto"/>
            <w:bottom w:val="none" w:sz="0" w:space="0" w:color="auto"/>
            <w:right w:val="none" w:sz="0" w:space="0" w:color="auto"/>
          </w:divBdr>
          <w:divsChild>
            <w:div w:id="1937789995">
              <w:marLeft w:val="0"/>
              <w:marRight w:val="0"/>
              <w:marTop w:val="0"/>
              <w:marBottom w:val="0"/>
              <w:divBdr>
                <w:top w:val="none" w:sz="0" w:space="0" w:color="auto"/>
                <w:left w:val="none" w:sz="0" w:space="0" w:color="auto"/>
                <w:bottom w:val="none" w:sz="0" w:space="0" w:color="auto"/>
                <w:right w:val="none" w:sz="0" w:space="0" w:color="auto"/>
              </w:divBdr>
              <w:divsChild>
                <w:div w:id="28357980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845483173">
          <w:marLeft w:val="0"/>
          <w:marRight w:val="0"/>
          <w:marTop w:val="0"/>
          <w:marBottom w:val="0"/>
          <w:divBdr>
            <w:top w:val="none" w:sz="0" w:space="0" w:color="auto"/>
            <w:left w:val="none" w:sz="0" w:space="0" w:color="auto"/>
            <w:bottom w:val="none" w:sz="0" w:space="0" w:color="auto"/>
            <w:right w:val="none" w:sz="0" w:space="0" w:color="auto"/>
          </w:divBdr>
          <w:divsChild>
            <w:div w:id="1238251342">
              <w:marLeft w:val="0"/>
              <w:marRight w:val="0"/>
              <w:marTop w:val="0"/>
              <w:marBottom w:val="0"/>
              <w:divBdr>
                <w:top w:val="none" w:sz="0" w:space="0" w:color="auto"/>
                <w:left w:val="none" w:sz="0" w:space="0" w:color="auto"/>
                <w:bottom w:val="none" w:sz="0" w:space="0" w:color="auto"/>
                <w:right w:val="none" w:sz="0" w:space="0" w:color="auto"/>
              </w:divBdr>
              <w:divsChild>
                <w:div w:id="1089472357">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 w:id="1632978567">
          <w:marLeft w:val="0"/>
          <w:marRight w:val="0"/>
          <w:marTop w:val="0"/>
          <w:marBottom w:val="0"/>
          <w:divBdr>
            <w:top w:val="none" w:sz="0" w:space="0" w:color="auto"/>
            <w:left w:val="none" w:sz="0" w:space="0" w:color="auto"/>
            <w:bottom w:val="none" w:sz="0" w:space="0" w:color="auto"/>
            <w:right w:val="none" w:sz="0" w:space="0" w:color="auto"/>
          </w:divBdr>
          <w:divsChild>
            <w:div w:id="1126656060">
              <w:marLeft w:val="0"/>
              <w:marRight w:val="0"/>
              <w:marTop w:val="0"/>
              <w:marBottom w:val="0"/>
              <w:divBdr>
                <w:top w:val="none" w:sz="0" w:space="0" w:color="auto"/>
                <w:left w:val="none" w:sz="0" w:space="0" w:color="auto"/>
                <w:bottom w:val="none" w:sz="0" w:space="0" w:color="auto"/>
                <w:right w:val="none" w:sz="0" w:space="0" w:color="auto"/>
              </w:divBdr>
              <w:divsChild>
                <w:div w:id="321079686">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sChild>
    </w:div>
    <w:div w:id="1906335392">
      <w:bodyDiv w:val="1"/>
      <w:marLeft w:val="0"/>
      <w:marRight w:val="0"/>
      <w:marTop w:val="0"/>
      <w:marBottom w:val="0"/>
      <w:divBdr>
        <w:top w:val="none" w:sz="0" w:space="0" w:color="auto"/>
        <w:left w:val="none" w:sz="0" w:space="0" w:color="auto"/>
        <w:bottom w:val="none" w:sz="0" w:space="0" w:color="auto"/>
        <w:right w:val="none" w:sz="0" w:space="0" w:color="auto"/>
      </w:divBdr>
    </w:div>
    <w:div w:id="1928879263">
      <w:bodyDiv w:val="1"/>
      <w:marLeft w:val="0"/>
      <w:marRight w:val="0"/>
      <w:marTop w:val="0"/>
      <w:marBottom w:val="0"/>
      <w:divBdr>
        <w:top w:val="none" w:sz="0" w:space="0" w:color="auto"/>
        <w:left w:val="none" w:sz="0" w:space="0" w:color="auto"/>
        <w:bottom w:val="none" w:sz="0" w:space="0" w:color="auto"/>
        <w:right w:val="none" w:sz="0" w:space="0" w:color="auto"/>
      </w:divBdr>
    </w:div>
    <w:div w:id="1928884372">
      <w:bodyDiv w:val="1"/>
      <w:marLeft w:val="0"/>
      <w:marRight w:val="0"/>
      <w:marTop w:val="0"/>
      <w:marBottom w:val="0"/>
      <w:divBdr>
        <w:top w:val="none" w:sz="0" w:space="0" w:color="auto"/>
        <w:left w:val="none" w:sz="0" w:space="0" w:color="auto"/>
        <w:bottom w:val="none" w:sz="0" w:space="0" w:color="auto"/>
        <w:right w:val="none" w:sz="0" w:space="0" w:color="auto"/>
      </w:divBdr>
    </w:div>
    <w:div w:id="1938128065">
      <w:bodyDiv w:val="1"/>
      <w:marLeft w:val="0"/>
      <w:marRight w:val="0"/>
      <w:marTop w:val="0"/>
      <w:marBottom w:val="0"/>
      <w:divBdr>
        <w:top w:val="none" w:sz="0" w:space="0" w:color="auto"/>
        <w:left w:val="none" w:sz="0" w:space="0" w:color="auto"/>
        <w:bottom w:val="none" w:sz="0" w:space="0" w:color="auto"/>
        <w:right w:val="none" w:sz="0" w:space="0" w:color="auto"/>
      </w:divBdr>
    </w:div>
    <w:div w:id="1946189256">
      <w:bodyDiv w:val="1"/>
      <w:marLeft w:val="0"/>
      <w:marRight w:val="0"/>
      <w:marTop w:val="0"/>
      <w:marBottom w:val="0"/>
      <w:divBdr>
        <w:top w:val="none" w:sz="0" w:space="0" w:color="auto"/>
        <w:left w:val="none" w:sz="0" w:space="0" w:color="auto"/>
        <w:bottom w:val="none" w:sz="0" w:space="0" w:color="auto"/>
        <w:right w:val="none" w:sz="0" w:space="0" w:color="auto"/>
      </w:divBdr>
    </w:div>
    <w:div w:id="1946963105">
      <w:bodyDiv w:val="1"/>
      <w:marLeft w:val="0"/>
      <w:marRight w:val="0"/>
      <w:marTop w:val="0"/>
      <w:marBottom w:val="0"/>
      <w:divBdr>
        <w:top w:val="none" w:sz="0" w:space="0" w:color="auto"/>
        <w:left w:val="none" w:sz="0" w:space="0" w:color="auto"/>
        <w:bottom w:val="none" w:sz="0" w:space="0" w:color="auto"/>
        <w:right w:val="none" w:sz="0" w:space="0" w:color="auto"/>
      </w:divBdr>
      <w:divsChild>
        <w:div w:id="1246306920">
          <w:marLeft w:val="0"/>
          <w:marRight w:val="0"/>
          <w:marTop w:val="0"/>
          <w:marBottom w:val="0"/>
          <w:divBdr>
            <w:top w:val="none" w:sz="0" w:space="0" w:color="auto"/>
            <w:left w:val="none" w:sz="0" w:space="0" w:color="auto"/>
            <w:bottom w:val="none" w:sz="0" w:space="0" w:color="auto"/>
            <w:right w:val="none" w:sz="0" w:space="0" w:color="auto"/>
          </w:divBdr>
        </w:div>
      </w:divsChild>
    </w:div>
    <w:div w:id="1947688268">
      <w:bodyDiv w:val="1"/>
      <w:marLeft w:val="0"/>
      <w:marRight w:val="0"/>
      <w:marTop w:val="0"/>
      <w:marBottom w:val="0"/>
      <w:divBdr>
        <w:top w:val="none" w:sz="0" w:space="0" w:color="auto"/>
        <w:left w:val="none" w:sz="0" w:space="0" w:color="auto"/>
        <w:bottom w:val="none" w:sz="0" w:space="0" w:color="auto"/>
        <w:right w:val="none" w:sz="0" w:space="0" w:color="auto"/>
      </w:divBdr>
    </w:div>
    <w:div w:id="1950118334">
      <w:bodyDiv w:val="1"/>
      <w:marLeft w:val="0"/>
      <w:marRight w:val="0"/>
      <w:marTop w:val="0"/>
      <w:marBottom w:val="0"/>
      <w:divBdr>
        <w:top w:val="none" w:sz="0" w:space="0" w:color="auto"/>
        <w:left w:val="none" w:sz="0" w:space="0" w:color="auto"/>
        <w:bottom w:val="none" w:sz="0" w:space="0" w:color="auto"/>
        <w:right w:val="none" w:sz="0" w:space="0" w:color="auto"/>
      </w:divBdr>
    </w:div>
    <w:div w:id="1951355960">
      <w:bodyDiv w:val="1"/>
      <w:marLeft w:val="0"/>
      <w:marRight w:val="0"/>
      <w:marTop w:val="0"/>
      <w:marBottom w:val="0"/>
      <w:divBdr>
        <w:top w:val="none" w:sz="0" w:space="0" w:color="auto"/>
        <w:left w:val="none" w:sz="0" w:space="0" w:color="auto"/>
        <w:bottom w:val="none" w:sz="0" w:space="0" w:color="auto"/>
        <w:right w:val="none" w:sz="0" w:space="0" w:color="auto"/>
      </w:divBdr>
    </w:div>
    <w:div w:id="1966764134">
      <w:bodyDiv w:val="1"/>
      <w:marLeft w:val="0"/>
      <w:marRight w:val="0"/>
      <w:marTop w:val="0"/>
      <w:marBottom w:val="0"/>
      <w:divBdr>
        <w:top w:val="none" w:sz="0" w:space="0" w:color="auto"/>
        <w:left w:val="none" w:sz="0" w:space="0" w:color="auto"/>
        <w:bottom w:val="none" w:sz="0" w:space="0" w:color="auto"/>
        <w:right w:val="none" w:sz="0" w:space="0" w:color="auto"/>
      </w:divBdr>
    </w:div>
    <w:div w:id="1968465384">
      <w:bodyDiv w:val="1"/>
      <w:marLeft w:val="0"/>
      <w:marRight w:val="0"/>
      <w:marTop w:val="0"/>
      <w:marBottom w:val="0"/>
      <w:divBdr>
        <w:top w:val="none" w:sz="0" w:space="0" w:color="auto"/>
        <w:left w:val="none" w:sz="0" w:space="0" w:color="auto"/>
        <w:bottom w:val="none" w:sz="0" w:space="0" w:color="auto"/>
        <w:right w:val="none" w:sz="0" w:space="0" w:color="auto"/>
      </w:divBdr>
    </w:div>
    <w:div w:id="1981954910">
      <w:bodyDiv w:val="1"/>
      <w:marLeft w:val="0"/>
      <w:marRight w:val="0"/>
      <w:marTop w:val="0"/>
      <w:marBottom w:val="0"/>
      <w:divBdr>
        <w:top w:val="none" w:sz="0" w:space="0" w:color="auto"/>
        <w:left w:val="none" w:sz="0" w:space="0" w:color="auto"/>
        <w:bottom w:val="none" w:sz="0" w:space="0" w:color="auto"/>
        <w:right w:val="none" w:sz="0" w:space="0" w:color="auto"/>
      </w:divBdr>
    </w:div>
    <w:div w:id="1982343507">
      <w:bodyDiv w:val="1"/>
      <w:marLeft w:val="0"/>
      <w:marRight w:val="0"/>
      <w:marTop w:val="0"/>
      <w:marBottom w:val="0"/>
      <w:divBdr>
        <w:top w:val="none" w:sz="0" w:space="0" w:color="auto"/>
        <w:left w:val="none" w:sz="0" w:space="0" w:color="auto"/>
        <w:bottom w:val="none" w:sz="0" w:space="0" w:color="auto"/>
        <w:right w:val="none" w:sz="0" w:space="0" w:color="auto"/>
      </w:divBdr>
    </w:div>
    <w:div w:id="2002539035">
      <w:bodyDiv w:val="1"/>
      <w:marLeft w:val="0"/>
      <w:marRight w:val="0"/>
      <w:marTop w:val="0"/>
      <w:marBottom w:val="0"/>
      <w:divBdr>
        <w:top w:val="none" w:sz="0" w:space="0" w:color="auto"/>
        <w:left w:val="none" w:sz="0" w:space="0" w:color="auto"/>
        <w:bottom w:val="none" w:sz="0" w:space="0" w:color="auto"/>
        <w:right w:val="none" w:sz="0" w:space="0" w:color="auto"/>
      </w:divBdr>
    </w:div>
    <w:div w:id="2009554659">
      <w:bodyDiv w:val="1"/>
      <w:marLeft w:val="0"/>
      <w:marRight w:val="0"/>
      <w:marTop w:val="0"/>
      <w:marBottom w:val="0"/>
      <w:divBdr>
        <w:top w:val="none" w:sz="0" w:space="0" w:color="auto"/>
        <w:left w:val="none" w:sz="0" w:space="0" w:color="auto"/>
        <w:bottom w:val="none" w:sz="0" w:space="0" w:color="auto"/>
        <w:right w:val="none" w:sz="0" w:space="0" w:color="auto"/>
      </w:divBdr>
    </w:div>
    <w:div w:id="2023236042">
      <w:bodyDiv w:val="1"/>
      <w:marLeft w:val="0"/>
      <w:marRight w:val="0"/>
      <w:marTop w:val="0"/>
      <w:marBottom w:val="0"/>
      <w:divBdr>
        <w:top w:val="none" w:sz="0" w:space="0" w:color="auto"/>
        <w:left w:val="none" w:sz="0" w:space="0" w:color="auto"/>
        <w:bottom w:val="none" w:sz="0" w:space="0" w:color="auto"/>
        <w:right w:val="none" w:sz="0" w:space="0" w:color="auto"/>
      </w:divBdr>
    </w:div>
    <w:div w:id="2039963358">
      <w:bodyDiv w:val="1"/>
      <w:marLeft w:val="0"/>
      <w:marRight w:val="0"/>
      <w:marTop w:val="0"/>
      <w:marBottom w:val="0"/>
      <w:divBdr>
        <w:top w:val="none" w:sz="0" w:space="0" w:color="auto"/>
        <w:left w:val="none" w:sz="0" w:space="0" w:color="auto"/>
        <w:bottom w:val="none" w:sz="0" w:space="0" w:color="auto"/>
        <w:right w:val="none" w:sz="0" w:space="0" w:color="auto"/>
      </w:divBdr>
    </w:div>
    <w:div w:id="2114208938">
      <w:bodyDiv w:val="1"/>
      <w:marLeft w:val="0"/>
      <w:marRight w:val="0"/>
      <w:marTop w:val="0"/>
      <w:marBottom w:val="0"/>
      <w:divBdr>
        <w:top w:val="none" w:sz="0" w:space="0" w:color="auto"/>
        <w:left w:val="none" w:sz="0" w:space="0" w:color="auto"/>
        <w:bottom w:val="none" w:sz="0" w:space="0" w:color="auto"/>
        <w:right w:val="none" w:sz="0" w:space="0" w:color="auto"/>
      </w:divBdr>
      <w:divsChild>
        <w:div w:id="697317303">
          <w:marLeft w:val="0"/>
          <w:marRight w:val="0"/>
          <w:marTop w:val="0"/>
          <w:marBottom w:val="0"/>
          <w:divBdr>
            <w:top w:val="none" w:sz="0" w:space="0" w:color="auto"/>
            <w:left w:val="none" w:sz="0" w:space="0" w:color="auto"/>
            <w:bottom w:val="none" w:sz="0" w:space="0" w:color="auto"/>
            <w:right w:val="none" w:sz="0" w:space="0" w:color="auto"/>
          </w:divBdr>
          <w:divsChild>
            <w:div w:id="1234200658">
              <w:marLeft w:val="0"/>
              <w:marRight w:val="0"/>
              <w:marTop w:val="0"/>
              <w:marBottom w:val="0"/>
              <w:divBdr>
                <w:top w:val="none" w:sz="0" w:space="0" w:color="auto"/>
                <w:left w:val="none" w:sz="0" w:space="0" w:color="auto"/>
                <w:bottom w:val="none" w:sz="0" w:space="0" w:color="auto"/>
                <w:right w:val="none" w:sz="0" w:space="0" w:color="auto"/>
              </w:divBdr>
              <w:divsChild>
                <w:div w:id="1953976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913679">
      <w:bodyDiv w:val="1"/>
      <w:marLeft w:val="0"/>
      <w:marRight w:val="0"/>
      <w:marTop w:val="0"/>
      <w:marBottom w:val="0"/>
      <w:divBdr>
        <w:top w:val="none" w:sz="0" w:space="0" w:color="auto"/>
        <w:left w:val="none" w:sz="0" w:space="0" w:color="auto"/>
        <w:bottom w:val="none" w:sz="0" w:space="0" w:color="auto"/>
        <w:right w:val="none" w:sz="0" w:space="0" w:color="auto"/>
      </w:divBdr>
    </w:div>
    <w:div w:id="2146653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disclosure-manual-chapter-3-roles-and-responsibilities" TargetMode="External"/><Relationship Id="rId13" Type="http://schemas.openxmlformats.org/officeDocument/2006/relationships/hyperlink" Target="https://doi.org/10.1177/08874034211066756"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ssets.publishing.service.gov.uk/media/65e1ab9d2f2b3b00117cd803/Attorney_General_s_Guidelines_on_Disclosure_-_2024.pdf" TargetMode="External"/><Relationship Id="rId12" Type="http://schemas.openxmlformats.org/officeDocument/2006/relationships/hyperlink" Target="https://ico.org.uk/for-organisations/uk-gdpr-guidance-and-resources/data-sharing/sharing-personal-data-with-law-enforcement-authorit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ps.gov.uk/legal-guidance/disclosure-manual-chapter-30-digital-material" TargetMode="External"/><Relationship Id="rId1" Type="http://schemas.openxmlformats.org/officeDocument/2006/relationships/numbering" Target="numbering.xml"/><Relationship Id="rId6" Type="http://schemas.openxmlformats.org/officeDocument/2006/relationships/hyperlink" Target="https://www.gov.uk/government/publications/attorney-generals-guidelines-on-disclosure-2020" TargetMode="External"/><Relationship Id="rId11" Type="http://schemas.openxmlformats.org/officeDocument/2006/relationships/hyperlink" Target="https://hmicfrs.justiceinspectorates.gov.uk/publication-html/how-effectively-police-investigate-crime/" TargetMode="External"/><Relationship Id="rId5" Type="http://schemas.openxmlformats.org/officeDocument/2006/relationships/hyperlink" Target="http://www.jmw.co.uk" TargetMode="External"/><Relationship Id="rId15" Type="http://schemas.openxmlformats.org/officeDocument/2006/relationships/hyperlink" Target="https://www.cps.gov.uk/publication/court-appeal-ruling-reasonable-lines-enquiry-r-v-e-2018-ewca-2426-crim." TargetMode="External"/><Relationship Id="rId10" Type="http://schemas.openxmlformats.org/officeDocument/2006/relationships/hyperlink" Target="http://www.cps.gov.uk" TargetMode="External"/><Relationship Id="rId4" Type="http://schemas.openxmlformats.org/officeDocument/2006/relationships/webSettings" Target="webSettings.xml"/><Relationship Id="rId9" Type="http://schemas.openxmlformats.org/officeDocument/2006/relationships/hyperlink" Target="https://www.legislation.gov.uk/ukpga/1996/25/contents" TargetMode="External"/><Relationship Id="rId14" Type="http://schemas.openxmlformats.org/officeDocument/2006/relationships/hyperlink" Target="https://pds.police.uk/working-together-to-improve-the-criminal-justice-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3993</Words>
  <Characters>22765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Staunton (2222122)</dc:creator>
  <cp:keywords/>
  <dc:description/>
  <cp:lastModifiedBy>Wayne Staunton (2222122)</cp:lastModifiedBy>
  <cp:revision>2</cp:revision>
  <dcterms:created xsi:type="dcterms:W3CDTF">2025-05-06T09:53:00Z</dcterms:created>
  <dcterms:modified xsi:type="dcterms:W3CDTF">2025-05-06T09:53:00Z</dcterms:modified>
</cp:coreProperties>
</file>