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2DBE" w:rsidRDefault="001F6C09" w:rsidP="003A1C65">
      <w:pPr>
        <w:autoSpaceDE w:val="0"/>
        <w:autoSpaceDN w:val="0"/>
        <w:adjustRightInd w:val="0"/>
        <w:spacing w:after="0" w:line="360" w:lineRule="auto"/>
        <w:rPr>
          <w:rFonts w:ascii="Arial" w:hAnsi="Arial" w:cs="Arial"/>
          <w:sz w:val="24"/>
          <w:szCs w:val="24"/>
        </w:rPr>
      </w:pPr>
      <w:r w:rsidRPr="002911A6">
        <w:rPr>
          <w:rFonts w:ascii="Arial" w:hAnsi="Arial" w:cs="Arial"/>
          <w:sz w:val="24"/>
          <w:szCs w:val="24"/>
        </w:rPr>
        <w:t>Consider the impact of non-western astrology (for example, Per</w:t>
      </w:r>
      <w:r w:rsidRPr="002911A6">
        <w:rPr>
          <w:rFonts w:ascii="Arial" w:hAnsi="Arial" w:cs="Arial"/>
          <w:sz w:val="24"/>
          <w:szCs w:val="24"/>
        </w:rPr>
        <w:t xml:space="preserve">sian, Islamic, Indian, Chinese) </w:t>
      </w:r>
      <w:r w:rsidRPr="002911A6">
        <w:rPr>
          <w:rFonts w:ascii="Arial" w:hAnsi="Arial" w:cs="Arial"/>
          <w:sz w:val="24"/>
          <w:szCs w:val="24"/>
        </w:rPr>
        <w:t>on western astrology in the post-classical world (after 500 CE).</w:t>
      </w:r>
    </w:p>
    <w:p w:rsidR="007B3F0E" w:rsidRDefault="007B3F0E" w:rsidP="003A1C65">
      <w:pPr>
        <w:autoSpaceDE w:val="0"/>
        <w:autoSpaceDN w:val="0"/>
        <w:adjustRightInd w:val="0"/>
        <w:spacing w:after="0" w:line="360" w:lineRule="auto"/>
        <w:rPr>
          <w:rFonts w:ascii="Arial" w:hAnsi="Arial" w:cs="Arial"/>
          <w:sz w:val="24"/>
          <w:szCs w:val="24"/>
        </w:rPr>
      </w:pPr>
    </w:p>
    <w:p w:rsidR="002911A6" w:rsidRDefault="007B3F0E" w:rsidP="003A1C65">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Introduction: </w:t>
      </w:r>
    </w:p>
    <w:p w:rsidR="00126122" w:rsidRDefault="00126122" w:rsidP="003A1C65">
      <w:pPr>
        <w:autoSpaceDE w:val="0"/>
        <w:autoSpaceDN w:val="0"/>
        <w:adjustRightInd w:val="0"/>
        <w:spacing w:after="0" w:line="360" w:lineRule="auto"/>
        <w:rPr>
          <w:rFonts w:ascii="Arial" w:hAnsi="Arial" w:cs="Arial"/>
          <w:sz w:val="24"/>
          <w:szCs w:val="24"/>
        </w:rPr>
      </w:pPr>
    </w:p>
    <w:p w:rsidR="002911A6" w:rsidRDefault="002911A6" w:rsidP="003A1C65">
      <w:pPr>
        <w:autoSpaceDE w:val="0"/>
        <w:autoSpaceDN w:val="0"/>
        <w:adjustRightInd w:val="0"/>
        <w:spacing w:after="0" w:line="360" w:lineRule="auto"/>
        <w:rPr>
          <w:rFonts w:ascii="Arial" w:hAnsi="Arial" w:cs="Arial"/>
          <w:sz w:val="24"/>
          <w:szCs w:val="24"/>
        </w:rPr>
      </w:pPr>
      <w:r>
        <w:rPr>
          <w:rFonts w:ascii="Arial" w:hAnsi="Arial" w:cs="Arial"/>
          <w:sz w:val="24"/>
          <w:szCs w:val="24"/>
        </w:rPr>
        <w:t>This paper will consider the impact of Isla</w:t>
      </w:r>
      <w:r w:rsidR="003A1C65">
        <w:rPr>
          <w:rFonts w:ascii="Arial" w:hAnsi="Arial" w:cs="Arial"/>
          <w:sz w:val="24"/>
          <w:szCs w:val="24"/>
        </w:rPr>
        <w:t>mic a</w:t>
      </w:r>
      <w:r>
        <w:rPr>
          <w:rFonts w:ascii="Arial" w:hAnsi="Arial" w:cs="Arial"/>
          <w:sz w:val="24"/>
          <w:szCs w:val="24"/>
        </w:rPr>
        <w:t>strology on western astrology</w:t>
      </w:r>
      <w:r w:rsidR="003A1C65">
        <w:rPr>
          <w:rFonts w:ascii="Arial" w:hAnsi="Arial" w:cs="Arial"/>
          <w:sz w:val="24"/>
          <w:szCs w:val="24"/>
        </w:rPr>
        <w:t xml:space="preserve"> in the post classical world</w:t>
      </w:r>
      <w:r>
        <w:rPr>
          <w:rFonts w:ascii="Arial" w:hAnsi="Arial" w:cs="Arial"/>
          <w:sz w:val="24"/>
          <w:szCs w:val="24"/>
        </w:rPr>
        <w:t xml:space="preserve">. </w:t>
      </w:r>
      <w:r w:rsidR="00171A3C">
        <w:rPr>
          <w:rFonts w:ascii="Arial" w:hAnsi="Arial" w:cs="Arial"/>
          <w:sz w:val="24"/>
          <w:szCs w:val="24"/>
        </w:rPr>
        <w:t>The primary sources that are used in this paper are Abu Ma’shar</w:t>
      </w:r>
      <w:r w:rsidR="007B3F0E">
        <w:rPr>
          <w:rFonts w:ascii="Arial" w:hAnsi="Arial" w:cs="Arial"/>
          <w:sz w:val="24"/>
          <w:szCs w:val="24"/>
        </w:rPr>
        <w:t xml:space="preserve">’ </w:t>
      </w:r>
      <w:r w:rsidR="007B3F0E" w:rsidRPr="007B3F0E">
        <w:rPr>
          <w:rFonts w:ascii="Arial" w:hAnsi="Arial" w:cs="Arial"/>
          <w:i/>
          <w:sz w:val="24"/>
          <w:szCs w:val="24"/>
        </w:rPr>
        <w:t>Persian Nativities: Abu Ma’shar</w:t>
      </w:r>
      <w:r w:rsidR="00171A3C" w:rsidRPr="007B3F0E">
        <w:rPr>
          <w:rFonts w:ascii="Arial" w:hAnsi="Arial" w:cs="Arial"/>
          <w:i/>
          <w:sz w:val="24"/>
          <w:szCs w:val="24"/>
        </w:rPr>
        <w:t xml:space="preserve"> on solar revolutions</w:t>
      </w:r>
      <w:r w:rsidR="00171A3C">
        <w:rPr>
          <w:rFonts w:ascii="Arial" w:hAnsi="Arial" w:cs="Arial"/>
          <w:sz w:val="24"/>
          <w:szCs w:val="24"/>
        </w:rPr>
        <w:t xml:space="preserve">, and Al Biruni’s: </w:t>
      </w:r>
      <w:r w:rsidR="00171A3C" w:rsidRPr="007B3F0E">
        <w:rPr>
          <w:rFonts w:ascii="Arial" w:hAnsi="Arial" w:cs="Arial"/>
          <w:i/>
          <w:sz w:val="24"/>
          <w:szCs w:val="24"/>
        </w:rPr>
        <w:t>Book of Instructions in the Elements of the Art of Astrology</w:t>
      </w:r>
      <w:r w:rsidR="00171A3C">
        <w:rPr>
          <w:rFonts w:ascii="Arial" w:hAnsi="Arial" w:cs="Arial"/>
          <w:sz w:val="24"/>
          <w:szCs w:val="24"/>
        </w:rPr>
        <w:t xml:space="preserve">. </w:t>
      </w:r>
      <w:r>
        <w:rPr>
          <w:rFonts w:ascii="Arial" w:hAnsi="Arial" w:cs="Arial"/>
          <w:sz w:val="24"/>
          <w:szCs w:val="24"/>
        </w:rPr>
        <w:t>It will examine some of the historiographic issues that arise when</w:t>
      </w:r>
      <w:r w:rsidR="007B3F0E">
        <w:rPr>
          <w:rFonts w:ascii="Arial" w:hAnsi="Arial" w:cs="Arial"/>
          <w:sz w:val="24"/>
          <w:szCs w:val="24"/>
        </w:rPr>
        <w:t xml:space="preserve"> considering Islamic astrology which mainly focuses on ascertaining the contributions that Islamic primary sources the Koran and the Hadeeth have contributed placed around inception of Islam in 610 AD, and the contributions that Muslim scholars have made subsequently. </w:t>
      </w:r>
      <w:r w:rsidR="00126122">
        <w:rPr>
          <w:rFonts w:ascii="Arial" w:hAnsi="Arial" w:cs="Arial"/>
          <w:sz w:val="24"/>
          <w:szCs w:val="24"/>
        </w:rPr>
        <w:t>The paper will also examine how Abu Ma’shar</w:t>
      </w:r>
      <w:r w:rsidR="00FA0DF0">
        <w:rPr>
          <w:rFonts w:ascii="Arial" w:hAnsi="Arial" w:cs="Arial"/>
          <w:sz w:val="24"/>
          <w:szCs w:val="24"/>
        </w:rPr>
        <w:t>’s</w:t>
      </w:r>
      <w:r w:rsidR="00126122">
        <w:rPr>
          <w:rFonts w:ascii="Arial" w:hAnsi="Arial" w:cs="Arial"/>
          <w:sz w:val="24"/>
          <w:szCs w:val="24"/>
        </w:rPr>
        <w:t xml:space="preserve"> and Al Biruni</w:t>
      </w:r>
      <w:r w:rsidR="00FA0DF0">
        <w:rPr>
          <w:rFonts w:ascii="Arial" w:hAnsi="Arial" w:cs="Arial"/>
          <w:sz w:val="24"/>
          <w:szCs w:val="24"/>
        </w:rPr>
        <w:t>’s works</w:t>
      </w:r>
      <w:r w:rsidR="00126122">
        <w:rPr>
          <w:rFonts w:ascii="Arial" w:hAnsi="Arial" w:cs="Arial"/>
          <w:sz w:val="24"/>
          <w:szCs w:val="24"/>
        </w:rPr>
        <w:t xml:space="preserve"> adhere to or </w:t>
      </w:r>
      <w:r w:rsidR="00FA0DF0">
        <w:rPr>
          <w:rFonts w:ascii="Arial" w:hAnsi="Arial" w:cs="Arial"/>
          <w:sz w:val="24"/>
          <w:szCs w:val="24"/>
        </w:rPr>
        <w:t xml:space="preserve">deviate from Islamic doctrine and primary sources.  </w:t>
      </w:r>
    </w:p>
    <w:p w:rsidR="00126122" w:rsidRDefault="00126122" w:rsidP="003A1C65">
      <w:pPr>
        <w:autoSpaceDE w:val="0"/>
        <w:autoSpaceDN w:val="0"/>
        <w:adjustRightInd w:val="0"/>
        <w:spacing w:after="0" w:line="360" w:lineRule="auto"/>
        <w:rPr>
          <w:rFonts w:ascii="Arial" w:hAnsi="Arial" w:cs="Arial"/>
          <w:sz w:val="24"/>
          <w:szCs w:val="24"/>
        </w:rPr>
      </w:pPr>
    </w:p>
    <w:p w:rsidR="00126122" w:rsidRPr="00126122" w:rsidRDefault="00126122" w:rsidP="003A1C65">
      <w:pPr>
        <w:autoSpaceDE w:val="0"/>
        <w:autoSpaceDN w:val="0"/>
        <w:adjustRightInd w:val="0"/>
        <w:spacing w:after="0" w:line="360" w:lineRule="auto"/>
        <w:rPr>
          <w:rFonts w:ascii="Arial" w:hAnsi="Arial" w:cs="Arial"/>
          <w:b/>
          <w:sz w:val="24"/>
          <w:szCs w:val="24"/>
        </w:rPr>
      </w:pPr>
      <w:r w:rsidRPr="00126122">
        <w:rPr>
          <w:rFonts w:ascii="Arial" w:hAnsi="Arial" w:cs="Arial"/>
          <w:b/>
          <w:sz w:val="24"/>
          <w:szCs w:val="24"/>
        </w:rPr>
        <w:t>A brief description of each of the primary sources will be added here.</w:t>
      </w:r>
    </w:p>
    <w:p w:rsidR="007B3F0E" w:rsidRDefault="007B3F0E" w:rsidP="003A1C65">
      <w:pPr>
        <w:autoSpaceDE w:val="0"/>
        <w:autoSpaceDN w:val="0"/>
        <w:adjustRightInd w:val="0"/>
        <w:spacing w:after="0" w:line="360" w:lineRule="auto"/>
        <w:rPr>
          <w:rFonts w:ascii="Arial" w:hAnsi="Arial" w:cs="Arial"/>
          <w:sz w:val="24"/>
          <w:szCs w:val="24"/>
        </w:rPr>
      </w:pPr>
    </w:p>
    <w:p w:rsidR="007B3F0E" w:rsidRPr="002911A6" w:rsidRDefault="007B3F0E" w:rsidP="003A1C65">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Historiographical Issues and context:  </w:t>
      </w:r>
    </w:p>
    <w:p w:rsidR="003A1C65" w:rsidRDefault="003A1C65" w:rsidP="001F6C09">
      <w:pPr>
        <w:autoSpaceDE w:val="0"/>
        <w:autoSpaceDN w:val="0"/>
        <w:adjustRightInd w:val="0"/>
        <w:spacing w:after="0" w:line="360" w:lineRule="auto"/>
        <w:rPr>
          <w:rFonts w:ascii="Arial" w:hAnsi="Arial" w:cs="Arial"/>
          <w:sz w:val="24"/>
          <w:szCs w:val="24"/>
        </w:rPr>
      </w:pPr>
    </w:p>
    <w:p w:rsidR="001F6C09" w:rsidRPr="002911A6" w:rsidRDefault="00977AAD" w:rsidP="001F6C09">
      <w:pPr>
        <w:autoSpaceDE w:val="0"/>
        <w:autoSpaceDN w:val="0"/>
        <w:adjustRightInd w:val="0"/>
        <w:spacing w:after="0" w:line="360" w:lineRule="auto"/>
        <w:rPr>
          <w:rFonts w:ascii="Arial" w:hAnsi="Arial" w:cs="Arial"/>
          <w:sz w:val="24"/>
          <w:szCs w:val="24"/>
        </w:rPr>
      </w:pPr>
      <w:r w:rsidRPr="002911A6">
        <w:rPr>
          <w:rFonts w:ascii="Arial" w:hAnsi="Arial" w:cs="Arial"/>
          <w:sz w:val="24"/>
          <w:szCs w:val="24"/>
        </w:rPr>
        <w:t>One of the key historiographical issues faced when addressing the concept of Islamic astrology is wh</w:t>
      </w:r>
      <w:r w:rsidR="00B71776" w:rsidRPr="002911A6">
        <w:rPr>
          <w:rFonts w:ascii="Arial" w:hAnsi="Arial" w:cs="Arial"/>
          <w:sz w:val="24"/>
          <w:szCs w:val="24"/>
        </w:rPr>
        <w:t>at Islamic astrology actually means</w:t>
      </w:r>
      <w:r w:rsidRPr="002911A6">
        <w:rPr>
          <w:rFonts w:ascii="Arial" w:hAnsi="Arial" w:cs="Arial"/>
          <w:sz w:val="24"/>
          <w:szCs w:val="24"/>
        </w:rPr>
        <w:t xml:space="preserve">. </w:t>
      </w:r>
      <w:r w:rsidR="00B71776" w:rsidRPr="002911A6">
        <w:rPr>
          <w:rFonts w:ascii="Arial" w:hAnsi="Arial" w:cs="Arial"/>
          <w:sz w:val="24"/>
          <w:szCs w:val="24"/>
        </w:rPr>
        <w:t>This is because in a broad sense, astrology according to Campion</w:t>
      </w:r>
      <w:r w:rsidR="001F6C09" w:rsidRPr="002911A6">
        <w:rPr>
          <w:rFonts w:ascii="Arial" w:hAnsi="Arial" w:cs="Arial"/>
          <w:sz w:val="24"/>
          <w:szCs w:val="24"/>
        </w:rPr>
        <w:t xml:space="preserve"> “assumes that there is a significant relationship between heavenly bodies and affairs on earth”</w:t>
      </w:r>
      <w:r w:rsidR="001F6C09" w:rsidRPr="002911A6">
        <w:rPr>
          <w:rStyle w:val="FootnoteReference"/>
          <w:rFonts w:ascii="Arial" w:hAnsi="Arial" w:cs="Arial"/>
          <w:sz w:val="24"/>
          <w:szCs w:val="24"/>
        </w:rPr>
        <w:footnoteReference w:id="1"/>
      </w:r>
      <w:r w:rsidR="001F6C09" w:rsidRPr="002911A6">
        <w:rPr>
          <w:rFonts w:ascii="Arial" w:hAnsi="Arial" w:cs="Arial"/>
          <w:sz w:val="24"/>
          <w:szCs w:val="24"/>
        </w:rPr>
        <w:t xml:space="preserve"> and that it exists in most cultures, develops over time and can assume various forms</w:t>
      </w:r>
      <w:r w:rsidR="001F6C09" w:rsidRPr="002911A6">
        <w:rPr>
          <w:rStyle w:val="FootnoteReference"/>
          <w:rFonts w:ascii="Arial" w:hAnsi="Arial" w:cs="Arial"/>
          <w:sz w:val="24"/>
          <w:szCs w:val="24"/>
        </w:rPr>
        <w:footnoteReference w:id="2"/>
      </w:r>
      <w:r w:rsidR="001F6C09" w:rsidRPr="002911A6">
        <w:rPr>
          <w:rFonts w:ascii="Arial" w:hAnsi="Arial" w:cs="Arial"/>
          <w:sz w:val="24"/>
          <w:szCs w:val="24"/>
        </w:rPr>
        <w:t xml:space="preserve">. </w:t>
      </w:r>
    </w:p>
    <w:p w:rsidR="001F6C09" w:rsidRPr="002911A6" w:rsidRDefault="001F6C09" w:rsidP="001F6C09">
      <w:pPr>
        <w:autoSpaceDE w:val="0"/>
        <w:autoSpaceDN w:val="0"/>
        <w:adjustRightInd w:val="0"/>
        <w:spacing w:after="0" w:line="360" w:lineRule="auto"/>
        <w:rPr>
          <w:rFonts w:ascii="Arial" w:hAnsi="Arial" w:cs="Arial"/>
          <w:sz w:val="24"/>
          <w:szCs w:val="24"/>
        </w:rPr>
      </w:pPr>
    </w:p>
    <w:p w:rsidR="001F6C09" w:rsidRPr="002911A6" w:rsidRDefault="001F6C09" w:rsidP="001F6C09">
      <w:pPr>
        <w:autoSpaceDE w:val="0"/>
        <w:autoSpaceDN w:val="0"/>
        <w:adjustRightInd w:val="0"/>
        <w:spacing w:after="0" w:line="360" w:lineRule="auto"/>
        <w:rPr>
          <w:rFonts w:ascii="Arial" w:hAnsi="Arial" w:cs="Arial"/>
          <w:sz w:val="24"/>
          <w:szCs w:val="24"/>
        </w:rPr>
      </w:pPr>
      <w:r w:rsidRPr="002911A6">
        <w:rPr>
          <w:rFonts w:ascii="Arial" w:hAnsi="Arial" w:cs="Arial"/>
          <w:sz w:val="24"/>
          <w:szCs w:val="24"/>
        </w:rPr>
        <w:t>Campion</w:t>
      </w:r>
      <w:r w:rsidR="00B71776" w:rsidRPr="002911A6">
        <w:rPr>
          <w:rStyle w:val="FootnoteReference"/>
          <w:rFonts w:ascii="Arial" w:hAnsi="Arial" w:cs="Arial"/>
          <w:sz w:val="24"/>
          <w:szCs w:val="24"/>
        </w:rPr>
        <w:footnoteReference w:id="3"/>
      </w:r>
      <w:r w:rsidRPr="002911A6">
        <w:rPr>
          <w:rFonts w:ascii="Arial" w:hAnsi="Arial" w:cs="Arial"/>
          <w:sz w:val="24"/>
          <w:szCs w:val="24"/>
        </w:rPr>
        <w:t xml:space="preserve"> further outlines that these forms can include one or a combination of the following: 1. Celestial bodies are divine and are objects of worship, 2. timing imparts specific qualities on events, and 3. celestial bodies can give indications or foreshadow events here on earth. </w:t>
      </w:r>
    </w:p>
    <w:p w:rsidR="00B71776" w:rsidRPr="002911A6" w:rsidRDefault="00B71776" w:rsidP="001F6C09">
      <w:pPr>
        <w:autoSpaceDE w:val="0"/>
        <w:autoSpaceDN w:val="0"/>
        <w:adjustRightInd w:val="0"/>
        <w:spacing w:after="0" w:line="360" w:lineRule="auto"/>
        <w:rPr>
          <w:rFonts w:ascii="Arial" w:hAnsi="Arial" w:cs="Arial"/>
          <w:sz w:val="24"/>
          <w:szCs w:val="24"/>
        </w:rPr>
      </w:pPr>
    </w:p>
    <w:p w:rsidR="006A60E4" w:rsidRPr="002911A6" w:rsidRDefault="00B71776" w:rsidP="001F6C09">
      <w:pPr>
        <w:autoSpaceDE w:val="0"/>
        <w:autoSpaceDN w:val="0"/>
        <w:adjustRightInd w:val="0"/>
        <w:spacing w:after="0" w:line="360" w:lineRule="auto"/>
        <w:rPr>
          <w:rFonts w:ascii="Arial" w:hAnsi="Arial" w:cs="Arial"/>
          <w:sz w:val="24"/>
          <w:szCs w:val="24"/>
        </w:rPr>
      </w:pPr>
      <w:r w:rsidRPr="002911A6">
        <w:rPr>
          <w:rFonts w:ascii="Arial" w:hAnsi="Arial" w:cs="Arial"/>
          <w:sz w:val="24"/>
          <w:szCs w:val="24"/>
        </w:rPr>
        <w:t>Abd El-ati</w:t>
      </w:r>
      <w:r w:rsidRPr="002911A6">
        <w:rPr>
          <w:rStyle w:val="FootnoteReference"/>
          <w:rFonts w:ascii="Arial" w:hAnsi="Arial" w:cs="Arial"/>
          <w:sz w:val="24"/>
          <w:szCs w:val="24"/>
        </w:rPr>
        <w:footnoteReference w:id="4"/>
      </w:r>
      <w:r w:rsidRPr="002911A6">
        <w:rPr>
          <w:rFonts w:ascii="Arial" w:hAnsi="Arial" w:cs="Arial"/>
          <w:sz w:val="24"/>
          <w:szCs w:val="24"/>
        </w:rPr>
        <w:t xml:space="preserve"> asserts that from an Islamic standpoint, and in accordance with Islamic primary sources the Koran and the Sunnah, worship is due to Allah alone. This means that attributing divinity to planets or stars is not aligned with Islamic </w:t>
      </w:r>
      <w:r w:rsidR="001D28E9" w:rsidRPr="002911A6">
        <w:rPr>
          <w:rFonts w:ascii="Arial" w:hAnsi="Arial" w:cs="Arial"/>
          <w:sz w:val="24"/>
          <w:szCs w:val="24"/>
        </w:rPr>
        <w:t>doctrine</w:t>
      </w:r>
      <w:r w:rsidRPr="002911A6">
        <w:rPr>
          <w:rFonts w:ascii="Arial" w:hAnsi="Arial" w:cs="Arial"/>
          <w:sz w:val="24"/>
          <w:szCs w:val="24"/>
        </w:rPr>
        <w:t xml:space="preserve">. </w:t>
      </w:r>
      <w:r w:rsidR="006A60E4">
        <w:rPr>
          <w:rFonts w:ascii="Arial" w:hAnsi="Arial" w:cs="Arial"/>
          <w:sz w:val="24"/>
          <w:szCs w:val="24"/>
        </w:rPr>
        <w:t>In taking this stance Islam clearly forbids attributing any meaning to astronomical phenomena other than it being a sign of Allah’s divinity. This can be evident from a narration in Sahih Bukhari</w:t>
      </w:r>
      <w:r w:rsidR="006A60E4">
        <w:rPr>
          <w:rStyle w:val="FootnoteReference"/>
          <w:rFonts w:ascii="Arial" w:hAnsi="Arial" w:cs="Arial"/>
          <w:sz w:val="24"/>
          <w:szCs w:val="24"/>
        </w:rPr>
        <w:footnoteReference w:id="5"/>
      </w:r>
      <w:r w:rsidR="006A60E4">
        <w:rPr>
          <w:rFonts w:ascii="Arial" w:hAnsi="Arial" w:cs="Arial"/>
          <w:sz w:val="24"/>
          <w:szCs w:val="24"/>
        </w:rPr>
        <w:t xml:space="preserve"> where Muhammed the prophet if Islam is narrated as saying:</w:t>
      </w:r>
    </w:p>
    <w:p w:rsidR="001D28E9" w:rsidRPr="006A60E4" w:rsidRDefault="006A60E4" w:rsidP="006A60E4">
      <w:pPr>
        <w:autoSpaceDE w:val="0"/>
        <w:autoSpaceDN w:val="0"/>
        <w:adjustRightInd w:val="0"/>
        <w:spacing w:after="0" w:line="360" w:lineRule="auto"/>
        <w:rPr>
          <w:rFonts w:ascii="Arial" w:hAnsi="Arial" w:cs="Arial"/>
          <w:color w:val="000000"/>
          <w:sz w:val="24"/>
          <w:szCs w:val="24"/>
        </w:rPr>
      </w:pPr>
      <w:r w:rsidRPr="006A60E4">
        <w:rPr>
          <w:rFonts w:ascii="Arial" w:hAnsi="Arial" w:cs="Arial"/>
          <w:color w:val="000000"/>
          <w:sz w:val="24"/>
          <w:szCs w:val="24"/>
        </w:rPr>
        <w:t>"The sun and the moon do not eclipse because of someone's death. So whenever you see these eclipses pray and invoke (Allah) till the eclipse is over."</w:t>
      </w:r>
    </w:p>
    <w:p w:rsidR="006A60E4" w:rsidRPr="002911A6" w:rsidRDefault="006A60E4" w:rsidP="006A60E4">
      <w:pPr>
        <w:autoSpaceDE w:val="0"/>
        <w:autoSpaceDN w:val="0"/>
        <w:adjustRightInd w:val="0"/>
        <w:spacing w:after="0" w:line="360" w:lineRule="auto"/>
        <w:rPr>
          <w:rFonts w:ascii="Arial" w:hAnsi="Arial" w:cs="Arial"/>
          <w:sz w:val="24"/>
          <w:szCs w:val="24"/>
        </w:rPr>
      </w:pPr>
    </w:p>
    <w:p w:rsidR="001D28E9" w:rsidRDefault="001D28E9" w:rsidP="001F6C09">
      <w:pPr>
        <w:autoSpaceDE w:val="0"/>
        <w:autoSpaceDN w:val="0"/>
        <w:adjustRightInd w:val="0"/>
        <w:spacing w:after="0" w:line="360" w:lineRule="auto"/>
        <w:rPr>
          <w:rFonts w:ascii="Arial" w:hAnsi="Arial" w:cs="Arial"/>
          <w:sz w:val="24"/>
          <w:szCs w:val="24"/>
        </w:rPr>
      </w:pPr>
      <w:r w:rsidRPr="002911A6">
        <w:rPr>
          <w:rFonts w:ascii="Arial" w:hAnsi="Arial" w:cs="Arial"/>
          <w:sz w:val="24"/>
          <w:szCs w:val="24"/>
        </w:rPr>
        <w:lastRenderedPageBreak/>
        <w:t>On the other hand, using the sun and moon as cosmic timers is intrinsic to Islamic practice. It is this concept that is partly attributed to Islamic scholars making significant contributions to subjects such as trigonometry which enabled them to develop tools to aid in astronomical calculations</w:t>
      </w:r>
      <w:r w:rsidRPr="002911A6">
        <w:rPr>
          <w:rStyle w:val="FootnoteReference"/>
          <w:rFonts w:ascii="Arial" w:hAnsi="Arial" w:cs="Arial"/>
          <w:sz w:val="24"/>
          <w:szCs w:val="24"/>
        </w:rPr>
        <w:footnoteReference w:id="6"/>
      </w:r>
      <w:r w:rsidRPr="002911A6">
        <w:rPr>
          <w:rFonts w:ascii="Arial" w:hAnsi="Arial" w:cs="Arial"/>
          <w:sz w:val="24"/>
          <w:szCs w:val="24"/>
        </w:rPr>
        <w:t>.</w:t>
      </w:r>
      <w:r w:rsidR="003A1C65">
        <w:rPr>
          <w:rFonts w:ascii="Arial" w:hAnsi="Arial" w:cs="Arial"/>
          <w:sz w:val="24"/>
          <w:szCs w:val="24"/>
        </w:rPr>
        <w:t xml:space="preserve"> Another issue that likely galvanised Muslim scholars</w:t>
      </w:r>
      <w:r w:rsidR="00222104">
        <w:rPr>
          <w:rFonts w:ascii="Arial" w:hAnsi="Arial" w:cs="Arial"/>
          <w:sz w:val="24"/>
          <w:szCs w:val="24"/>
        </w:rPr>
        <w:t>’ interest in astrology was the close proximity of Muslim lands to Greece and the openness to receive knowledge from other cultures</w:t>
      </w:r>
      <w:r w:rsidR="006A60E4">
        <w:rPr>
          <w:rStyle w:val="FootnoteReference"/>
          <w:rFonts w:ascii="Arial" w:hAnsi="Arial" w:cs="Arial"/>
          <w:sz w:val="24"/>
          <w:szCs w:val="24"/>
        </w:rPr>
        <w:footnoteReference w:id="7"/>
      </w:r>
      <w:r w:rsidR="006A60E4">
        <w:rPr>
          <w:rFonts w:ascii="Arial" w:hAnsi="Arial" w:cs="Arial"/>
          <w:sz w:val="24"/>
          <w:szCs w:val="24"/>
        </w:rPr>
        <w:t>.</w:t>
      </w:r>
    </w:p>
    <w:p w:rsidR="005717BC" w:rsidRDefault="005717BC" w:rsidP="001F6C09">
      <w:pPr>
        <w:autoSpaceDE w:val="0"/>
        <w:autoSpaceDN w:val="0"/>
        <w:adjustRightInd w:val="0"/>
        <w:spacing w:after="0" w:line="360" w:lineRule="auto"/>
        <w:rPr>
          <w:rFonts w:ascii="Arial" w:hAnsi="Arial" w:cs="Arial"/>
          <w:sz w:val="24"/>
          <w:szCs w:val="24"/>
        </w:rPr>
      </w:pPr>
    </w:p>
    <w:p w:rsidR="005717BC" w:rsidRPr="002911A6" w:rsidRDefault="005717BC" w:rsidP="001F6C09">
      <w:pPr>
        <w:autoSpaceDE w:val="0"/>
        <w:autoSpaceDN w:val="0"/>
        <w:adjustRightInd w:val="0"/>
        <w:spacing w:after="0" w:line="360" w:lineRule="auto"/>
        <w:rPr>
          <w:rFonts w:ascii="Arial" w:hAnsi="Arial" w:cs="Arial"/>
          <w:sz w:val="24"/>
          <w:szCs w:val="24"/>
        </w:rPr>
      </w:pPr>
      <w:r>
        <w:rPr>
          <w:rFonts w:ascii="Arial" w:hAnsi="Arial" w:cs="Arial"/>
          <w:sz w:val="24"/>
          <w:szCs w:val="24"/>
        </w:rPr>
        <w:t>This would mean that anything that practice that would enhance how Muslim’s were able to utilise planets as cosmic timers would be considered aligned with Islamic practice, however anything that feel outside of this remit would not be considered Islamic per se, but would rather be a contribution to the field of astrology that happened to be by a Muslim person.</w:t>
      </w:r>
      <w:bookmarkStart w:id="0" w:name="_GoBack"/>
      <w:bookmarkEnd w:id="0"/>
    </w:p>
    <w:p w:rsidR="00171A3C" w:rsidRDefault="00171A3C">
      <w:pPr>
        <w:rPr>
          <w:rFonts w:ascii="Arial" w:hAnsi="Arial" w:cs="Arial"/>
          <w:sz w:val="24"/>
          <w:szCs w:val="24"/>
        </w:rPr>
      </w:pPr>
    </w:p>
    <w:p w:rsidR="00126122" w:rsidRDefault="00126122">
      <w:pPr>
        <w:rPr>
          <w:rFonts w:ascii="Arial" w:hAnsi="Arial" w:cs="Arial"/>
          <w:sz w:val="24"/>
          <w:szCs w:val="24"/>
        </w:rPr>
      </w:pPr>
      <w:r>
        <w:rPr>
          <w:rFonts w:ascii="Arial" w:hAnsi="Arial" w:cs="Arial"/>
          <w:sz w:val="24"/>
          <w:szCs w:val="24"/>
        </w:rPr>
        <w:t>The remainder of the paper is structured as follows:</w:t>
      </w:r>
    </w:p>
    <w:p w:rsidR="00126122" w:rsidRDefault="00126122">
      <w:pPr>
        <w:rPr>
          <w:rFonts w:ascii="Arial" w:hAnsi="Arial" w:cs="Arial"/>
          <w:sz w:val="24"/>
          <w:szCs w:val="24"/>
        </w:rPr>
      </w:pPr>
      <w:r>
        <w:rPr>
          <w:rFonts w:ascii="Arial" w:hAnsi="Arial" w:cs="Arial"/>
          <w:sz w:val="24"/>
          <w:szCs w:val="24"/>
        </w:rPr>
        <w:t>For each of the 2 primary sources I have selected, I will be adding background on the authors, along with their key contributions to astrology and what is the key influence(s) on western astrology.</w:t>
      </w:r>
    </w:p>
    <w:p w:rsidR="00126122" w:rsidRDefault="00126122">
      <w:pPr>
        <w:rPr>
          <w:rFonts w:ascii="Arial" w:hAnsi="Arial" w:cs="Arial"/>
          <w:sz w:val="24"/>
          <w:szCs w:val="24"/>
        </w:rPr>
      </w:pPr>
      <w:r>
        <w:rPr>
          <w:rFonts w:ascii="Arial" w:hAnsi="Arial" w:cs="Arial"/>
          <w:sz w:val="24"/>
          <w:szCs w:val="24"/>
        </w:rPr>
        <w:t xml:space="preserve">How do the two works compare to each other? </w:t>
      </w:r>
    </w:p>
    <w:p w:rsidR="00126122" w:rsidRDefault="00126122">
      <w:pPr>
        <w:rPr>
          <w:rFonts w:ascii="Arial" w:hAnsi="Arial" w:cs="Arial"/>
          <w:sz w:val="24"/>
          <w:szCs w:val="24"/>
        </w:rPr>
      </w:pPr>
      <w:r>
        <w:rPr>
          <w:rFonts w:ascii="Arial" w:hAnsi="Arial" w:cs="Arial"/>
          <w:sz w:val="24"/>
          <w:szCs w:val="24"/>
        </w:rPr>
        <w:t>How do each of the authors feed into the debate around Islamic astrology versus astrology by Muslims? In other words how much do they incorporate of stray from Islamic doctrine?</w:t>
      </w:r>
    </w:p>
    <w:p w:rsidR="00126122" w:rsidRDefault="00126122">
      <w:pPr>
        <w:rPr>
          <w:rFonts w:ascii="Arial" w:hAnsi="Arial" w:cs="Arial"/>
          <w:sz w:val="24"/>
          <w:szCs w:val="24"/>
        </w:rPr>
      </w:pPr>
      <w:r>
        <w:rPr>
          <w:rFonts w:ascii="Arial" w:hAnsi="Arial" w:cs="Arial"/>
          <w:sz w:val="24"/>
          <w:szCs w:val="24"/>
        </w:rPr>
        <w:t xml:space="preserve">Conclusions. </w:t>
      </w:r>
    </w:p>
    <w:p w:rsidR="00126122" w:rsidRPr="007B3F0E" w:rsidRDefault="00126122">
      <w:pPr>
        <w:rPr>
          <w:rFonts w:ascii="Arial" w:hAnsi="Arial" w:cs="Arial"/>
          <w:sz w:val="24"/>
          <w:szCs w:val="24"/>
        </w:rPr>
      </w:pPr>
      <w:r>
        <w:rPr>
          <w:rFonts w:ascii="Arial" w:hAnsi="Arial" w:cs="Arial"/>
          <w:sz w:val="24"/>
          <w:szCs w:val="24"/>
        </w:rPr>
        <w:t xml:space="preserve"> </w:t>
      </w:r>
    </w:p>
    <w:sectPr w:rsidR="00126122" w:rsidRPr="007B3F0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6C09" w:rsidRDefault="001F6C09" w:rsidP="001F6C09">
      <w:pPr>
        <w:spacing w:after="0" w:line="240" w:lineRule="auto"/>
      </w:pPr>
      <w:r>
        <w:separator/>
      </w:r>
    </w:p>
  </w:endnote>
  <w:endnote w:type="continuationSeparator" w:id="0">
    <w:p w:rsidR="001F6C09" w:rsidRDefault="001F6C09" w:rsidP="001F6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6756291"/>
      <w:docPartObj>
        <w:docPartGallery w:val="Page Numbers (Bottom of Page)"/>
        <w:docPartUnique/>
      </w:docPartObj>
    </w:sdtPr>
    <w:sdtEndPr>
      <w:rPr>
        <w:noProof/>
      </w:rPr>
    </w:sdtEndPr>
    <w:sdtContent>
      <w:p w:rsidR="005717BC" w:rsidRDefault="005717BC">
        <w:pPr>
          <w:pStyle w:val="Footer"/>
          <w:jc w:val="right"/>
        </w:pPr>
        <w:r>
          <w:fldChar w:fldCharType="begin"/>
        </w:r>
        <w:r>
          <w:instrText xml:space="preserve"> PAGE   \* MERGEFORMAT </w:instrText>
        </w:r>
        <w:r>
          <w:fldChar w:fldCharType="separate"/>
        </w:r>
        <w:r w:rsidR="00FA3376">
          <w:rPr>
            <w:noProof/>
          </w:rPr>
          <w:t>1</w:t>
        </w:r>
        <w:r>
          <w:rPr>
            <w:noProof/>
          </w:rPr>
          <w:fldChar w:fldCharType="end"/>
        </w:r>
      </w:p>
    </w:sdtContent>
  </w:sdt>
  <w:p w:rsidR="005717BC" w:rsidRDefault="005717B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6C09" w:rsidRDefault="001F6C09" w:rsidP="001F6C09">
      <w:pPr>
        <w:spacing w:after="0" w:line="240" w:lineRule="auto"/>
      </w:pPr>
      <w:r>
        <w:separator/>
      </w:r>
    </w:p>
  </w:footnote>
  <w:footnote w:type="continuationSeparator" w:id="0">
    <w:p w:rsidR="001F6C09" w:rsidRDefault="001F6C09" w:rsidP="001F6C09">
      <w:pPr>
        <w:spacing w:after="0" w:line="240" w:lineRule="auto"/>
      </w:pPr>
      <w:r>
        <w:continuationSeparator/>
      </w:r>
    </w:p>
  </w:footnote>
  <w:footnote w:id="1">
    <w:p w:rsidR="001F6C09" w:rsidRDefault="001F6C09" w:rsidP="001F6C09">
      <w:pPr>
        <w:pStyle w:val="FootnoteText"/>
      </w:pPr>
      <w:r>
        <w:rPr>
          <w:rStyle w:val="FootnoteReference"/>
        </w:rPr>
        <w:footnoteRef/>
      </w:r>
      <w:r>
        <w:t xml:space="preserve"> N. Campion, </w:t>
      </w:r>
      <w:r w:rsidRPr="00F017A5">
        <w:rPr>
          <w:i/>
        </w:rPr>
        <w:t>Astrology And Cosmology In the Worlds Religions</w:t>
      </w:r>
      <w:r>
        <w:t xml:space="preserve"> (New York: New York University Press, 2012). 1.11</w:t>
      </w:r>
    </w:p>
  </w:footnote>
  <w:footnote w:id="2">
    <w:p w:rsidR="001F6C09" w:rsidRDefault="001F6C09" w:rsidP="001F6C09">
      <w:pPr>
        <w:pStyle w:val="FootnoteText"/>
      </w:pPr>
      <w:r>
        <w:rPr>
          <w:rStyle w:val="FootnoteReference"/>
        </w:rPr>
        <w:footnoteRef/>
      </w:r>
      <w:r>
        <w:t xml:space="preserve"> </w:t>
      </w:r>
      <w:r>
        <w:rPr>
          <w:rStyle w:val="selectable"/>
          <w:rFonts w:ascii="Open Sans" w:hAnsi="Open Sans" w:cs="Arial"/>
          <w:color w:val="000000"/>
          <w:lang w:val="en"/>
        </w:rPr>
        <w:t xml:space="preserve">N. Campion, </w:t>
      </w:r>
      <w:r>
        <w:rPr>
          <w:rStyle w:val="selectable"/>
          <w:rFonts w:ascii="Open Sans" w:hAnsi="Open Sans" w:cs="Arial"/>
          <w:i/>
          <w:iCs/>
          <w:color w:val="000000"/>
          <w:lang w:val="en"/>
        </w:rPr>
        <w:t>Astrology And Cosmology In The Worlds Religions</w:t>
      </w:r>
      <w:r>
        <w:rPr>
          <w:rStyle w:val="selectable"/>
          <w:rFonts w:ascii="Open Sans" w:hAnsi="Open Sans" w:cs="Arial"/>
          <w:color w:val="000000"/>
          <w:lang w:val="en"/>
        </w:rPr>
        <w:t xml:space="preserve"> (New York: New York University Press, 2012). 1, 12</w:t>
      </w:r>
    </w:p>
  </w:footnote>
  <w:footnote w:id="3">
    <w:p w:rsidR="00B71776" w:rsidRDefault="00B71776">
      <w:pPr>
        <w:pStyle w:val="FootnoteText"/>
      </w:pPr>
      <w:r>
        <w:rPr>
          <w:rStyle w:val="FootnoteReference"/>
        </w:rPr>
        <w:footnoteRef/>
      </w:r>
      <w:r>
        <w:t xml:space="preserve"> </w:t>
      </w:r>
      <w:r>
        <w:rPr>
          <w:rStyle w:val="selectable"/>
          <w:rFonts w:ascii="Open Sans" w:hAnsi="Open Sans" w:cs="Arial"/>
          <w:color w:val="000000"/>
          <w:lang w:val="en"/>
        </w:rPr>
        <w:t xml:space="preserve">N. Campion, </w:t>
      </w:r>
      <w:r>
        <w:rPr>
          <w:rStyle w:val="selectable"/>
          <w:rFonts w:ascii="Open Sans" w:hAnsi="Open Sans" w:cs="Arial"/>
          <w:i/>
          <w:iCs/>
          <w:color w:val="000000"/>
          <w:lang w:val="en"/>
        </w:rPr>
        <w:t>Astrology And Cosmology In The Worlds Religions</w:t>
      </w:r>
      <w:r>
        <w:rPr>
          <w:rStyle w:val="selectable"/>
          <w:rFonts w:ascii="Open Sans" w:hAnsi="Open Sans" w:cs="Arial"/>
          <w:color w:val="000000"/>
          <w:lang w:val="en"/>
        </w:rPr>
        <w:t xml:space="preserve"> (New York: New York University Press, 2012). 1, 12</w:t>
      </w:r>
    </w:p>
  </w:footnote>
  <w:footnote w:id="4">
    <w:p w:rsidR="00B71776" w:rsidRDefault="00B71776">
      <w:pPr>
        <w:pStyle w:val="FootnoteText"/>
      </w:pPr>
      <w:r>
        <w:rPr>
          <w:rStyle w:val="FootnoteReference"/>
        </w:rPr>
        <w:footnoteRef/>
      </w:r>
      <w:r>
        <w:t xml:space="preserve"> </w:t>
      </w:r>
      <w:r w:rsidRPr="00B71776">
        <w:t>Hammudah Abd el-Ati, Islam in focus, (Amana Publications, 2002).</w:t>
      </w:r>
      <w:r>
        <w:t xml:space="preserve"> 17</w:t>
      </w:r>
    </w:p>
  </w:footnote>
  <w:footnote w:id="5">
    <w:p w:rsidR="006A60E4" w:rsidRPr="006A60E4" w:rsidRDefault="006A60E4">
      <w:pPr>
        <w:pStyle w:val="FootnoteText"/>
      </w:pPr>
      <w:r>
        <w:rPr>
          <w:rStyle w:val="FootnoteReference"/>
        </w:rPr>
        <w:footnoteRef/>
      </w:r>
      <w:r>
        <w:t xml:space="preserve"> Abu Bakra</w:t>
      </w:r>
      <w:r w:rsidRPr="006A60E4">
        <w:rPr>
          <w:i/>
        </w:rPr>
        <w:t>, Sahih Bukhari</w:t>
      </w:r>
      <w:r>
        <w:rPr>
          <w:i/>
        </w:rPr>
        <w:t xml:space="preserve">, </w:t>
      </w:r>
      <w:r>
        <w:t>150.</w:t>
      </w:r>
    </w:p>
  </w:footnote>
  <w:footnote w:id="6">
    <w:p w:rsidR="001D28E9" w:rsidRDefault="001D28E9">
      <w:pPr>
        <w:pStyle w:val="FootnoteText"/>
      </w:pPr>
      <w:r>
        <w:rPr>
          <w:rStyle w:val="FootnoteReference"/>
        </w:rPr>
        <w:footnoteRef/>
      </w:r>
      <w:r>
        <w:t xml:space="preserve"> O. Gingerich, Islamic Astronomy</w:t>
      </w:r>
      <w:r w:rsidRPr="001D28E9">
        <w:rPr>
          <w:i/>
        </w:rPr>
        <w:t>, Scientific American</w:t>
      </w:r>
      <w:r>
        <w:t>,  (1986).254: 4</w:t>
      </w:r>
    </w:p>
  </w:footnote>
  <w:footnote w:id="7">
    <w:p w:rsidR="006A60E4" w:rsidRDefault="006A60E4">
      <w:pPr>
        <w:pStyle w:val="FootnoteText"/>
      </w:pPr>
      <w:r>
        <w:rPr>
          <w:rStyle w:val="FootnoteReference"/>
        </w:rPr>
        <w:footnoteRef/>
      </w:r>
      <w:r>
        <w:t xml:space="preserve"> </w:t>
      </w:r>
      <w:r>
        <w:t>O. Gingerich, Islamic Astronomy</w:t>
      </w:r>
      <w:r w:rsidRPr="001D28E9">
        <w:rPr>
          <w:i/>
        </w:rPr>
        <w:t>, Scientific American</w:t>
      </w:r>
      <w:r>
        <w:t>,  (1986).254: 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6C09"/>
    <w:rsid w:val="00126122"/>
    <w:rsid w:val="00171A3C"/>
    <w:rsid w:val="001A2DBE"/>
    <w:rsid w:val="001D28E9"/>
    <w:rsid w:val="001F6C09"/>
    <w:rsid w:val="00222104"/>
    <w:rsid w:val="002911A6"/>
    <w:rsid w:val="003A1C65"/>
    <w:rsid w:val="005717BC"/>
    <w:rsid w:val="006A60E4"/>
    <w:rsid w:val="007B3F0E"/>
    <w:rsid w:val="00977AAD"/>
    <w:rsid w:val="00B71776"/>
    <w:rsid w:val="00FA0DF0"/>
    <w:rsid w:val="00FA3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11DEC"/>
  <w15:chartTrackingRefBased/>
  <w15:docId w15:val="{B24C7A61-F91A-40F8-927C-068ED0AB3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6C0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F6C09"/>
    <w:pPr>
      <w:spacing w:after="0" w:line="240" w:lineRule="auto"/>
    </w:pPr>
    <w:rPr>
      <w:sz w:val="20"/>
      <w:szCs w:val="20"/>
    </w:rPr>
  </w:style>
  <w:style w:type="character" w:customStyle="1" w:styleId="FootnoteTextChar">
    <w:name w:val="Footnote Text Char"/>
    <w:basedOn w:val="DefaultParagraphFont"/>
    <w:link w:val="FootnoteText"/>
    <w:uiPriority w:val="99"/>
    <w:rsid w:val="001F6C09"/>
    <w:rPr>
      <w:sz w:val="20"/>
      <w:szCs w:val="20"/>
    </w:rPr>
  </w:style>
  <w:style w:type="character" w:styleId="FootnoteReference">
    <w:name w:val="footnote reference"/>
    <w:basedOn w:val="DefaultParagraphFont"/>
    <w:uiPriority w:val="99"/>
    <w:semiHidden/>
    <w:unhideWhenUsed/>
    <w:rsid w:val="001F6C09"/>
    <w:rPr>
      <w:vertAlign w:val="superscript"/>
    </w:rPr>
  </w:style>
  <w:style w:type="character" w:customStyle="1" w:styleId="selectable">
    <w:name w:val="selectable"/>
    <w:basedOn w:val="DefaultParagraphFont"/>
    <w:rsid w:val="001F6C09"/>
  </w:style>
  <w:style w:type="paragraph" w:styleId="Header">
    <w:name w:val="header"/>
    <w:basedOn w:val="Normal"/>
    <w:link w:val="HeaderChar"/>
    <w:uiPriority w:val="99"/>
    <w:unhideWhenUsed/>
    <w:rsid w:val="00571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7BC"/>
  </w:style>
  <w:style w:type="paragraph" w:styleId="Footer">
    <w:name w:val="footer"/>
    <w:basedOn w:val="Normal"/>
    <w:link w:val="FooterChar"/>
    <w:uiPriority w:val="99"/>
    <w:unhideWhenUsed/>
    <w:rsid w:val="00571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4A76876-242D-45DA-870D-1EC6B6854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557</Words>
  <Characters>3178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SCW</Company>
  <LinksUpToDate>false</LinksUpToDate>
  <CharactersWithSpaces>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Burns Niema (BNSSG CCG)</dc:creator>
  <cp:keywords/>
  <dc:description/>
  <cp:lastModifiedBy>Burns Niema (BNSSG CCG)</cp:lastModifiedBy>
  <cp:revision>2</cp:revision>
  <dcterms:created xsi:type="dcterms:W3CDTF">2019-07-01T22:15:00Z</dcterms:created>
  <dcterms:modified xsi:type="dcterms:W3CDTF">2019-07-01T22:15:00Z</dcterms:modified>
</cp:coreProperties>
</file>