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9924C4" w14:textId="77777777" w:rsidR="00C77BD5" w:rsidRDefault="00C77BD5" w:rsidP="00C77BD5">
      <w:pPr>
        <w:jc w:val="center"/>
        <w:rPr>
          <w:rStyle w:val="IntenseReference"/>
          <w:rFonts w:ascii="Arial Black" w:hAnsi="Arial Black"/>
          <w:sz w:val="44"/>
          <w:szCs w:val="44"/>
        </w:rPr>
      </w:pPr>
    </w:p>
    <w:p w14:paraId="3E2B21F4" w14:textId="77777777" w:rsidR="00C77BD5" w:rsidRDefault="00C77BD5" w:rsidP="00C77BD5">
      <w:pPr>
        <w:jc w:val="center"/>
        <w:rPr>
          <w:rStyle w:val="IntenseReference"/>
          <w:rFonts w:ascii="Arial Black" w:hAnsi="Arial Black"/>
          <w:sz w:val="44"/>
          <w:szCs w:val="44"/>
        </w:rPr>
      </w:pPr>
    </w:p>
    <w:p w14:paraId="15CF84F7" w14:textId="77777777" w:rsidR="00C77BD5" w:rsidRDefault="00C77BD5" w:rsidP="00C77BD5">
      <w:pPr>
        <w:jc w:val="center"/>
        <w:rPr>
          <w:rStyle w:val="IntenseReference"/>
          <w:rFonts w:ascii="Arial Black" w:hAnsi="Arial Black"/>
          <w:sz w:val="44"/>
          <w:szCs w:val="44"/>
        </w:rPr>
      </w:pPr>
    </w:p>
    <w:p w14:paraId="205287E3" w14:textId="17C258A6" w:rsidR="00C77BD5" w:rsidRPr="00C77BD5" w:rsidRDefault="00C77BD5" w:rsidP="00C77BD5">
      <w:pPr>
        <w:jc w:val="center"/>
        <w:rPr>
          <w:rStyle w:val="IntenseReference"/>
          <w:rFonts w:ascii="Arial Black" w:hAnsi="Arial Black"/>
          <w:sz w:val="44"/>
          <w:szCs w:val="44"/>
        </w:rPr>
      </w:pPr>
      <w:r w:rsidRPr="00C77BD5">
        <w:rPr>
          <w:rStyle w:val="IntenseReference"/>
          <w:rFonts w:ascii="Arial Black" w:hAnsi="Arial Black"/>
          <w:sz w:val="44"/>
          <w:szCs w:val="44"/>
        </w:rPr>
        <w:t>ACCOUNTING FUNDAMENTALS - ASSIGNMENT 1</w:t>
      </w:r>
    </w:p>
    <w:p w14:paraId="1933C20B" w14:textId="261E33E5" w:rsidR="00C77BD5" w:rsidRPr="00C77BD5" w:rsidRDefault="00C77BD5" w:rsidP="00C77BD5">
      <w:pPr>
        <w:jc w:val="center"/>
        <w:rPr>
          <w:rStyle w:val="IntenseReference"/>
          <w:rFonts w:ascii="Arial Black" w:hAnsi="Arial Black"/>
          <w:sz w:val="44"/>
          <w:szCs w:val="44"/>
        </w:rPr>
      </w:pPr>
      <w:r w:rsidRPr="00C77BD5">
        <w:rPr>
          <w:rStyle w:val="IntenseReference"/>
          <w:rFonts w:ascii="Arial Black" w:hAnsi="Arial Black"/>
          <w:sz w:val="44"/>
          <w:szCs w:val="44"/>
        </w:rPr>
        <w:t>MODULE CODE: LCBB4001</w:t>
      </w:r>
    </w:p>
    <w:p w14:paraId="71A7EAC6" w14:textId="4E5B8223" w:rsidR="00C77BD5" w:rsidRPr="00991BCD" w:rsidRDefault="00C77BD5" w:rsidP="00C77BD5">
      <w:pPr>
        <w:jc w:val="center"/>
        <w:rPr>
          <w:rStyle w:val="IntenseReference"/>
          <w:rFonts w:ascii="Arial Black" w:hAnsi="Arial Black"/>
          <w:sz w:val="44"/>
          <w:szCs w:val="44"/>
          <w:lang w:val="en-GB"/>
        </w:rPr>
      </w:pPr>
      <w:r w:rsidRPr="00C77BD5">
        <w:rPr>
          <w:rStyle w:val="IntenseReference"/>
          <w:rFonts w:ascii="Arial Black" w:hAnsi="Arial Black"/>
          <w:sz w:val="44"/>
          <w:szCs w:val="44"/>
        </w:rPr>
        <w:t>Lecture:</w:t>
      </w:r>
      <w:r w:rsidR="00991BCD">
        <w:rPr>
          <w:rStyle w:val="IntenseReference"/>
          <w:rFonts w:ascii="Arial Black" w:hAnsi="Arial Black"/>
          <w:sz w:val="44"/>
          <w:szCs w:val="44"/>
          <w:lang w:val="en-GB"/>
        </w:rPr>
        <w:t xml:space="preserve"> Riaz Bhatti</w:t>
      </w:r>
    </w:p>
    <w:p w14:paraId="51E69268" w14:textId="76B3208D" w:rsidR="00C77BD5" w:rsidRPr="00C77BD5" w:rsidRDefault="00C77BD5" w:rsidP="00C77BD5">
      <w:pPr>
        <w:jc w:val="center"/>
        <w:rPr>
          <w:rStyle w:val="IntenseReference"/>
          <w:rFonts w:ascii="Arial Black" w:hAnsi="Arial Black"/>
          <w:sz w:val="44"/>
          <w:szCs w:val="44"/>
        </w:rPr>
      </w:pPr>
      <w:r w:rsidRPr="00C77BD5">
        <w:rPr>
          <w:rStyle w:val="IntenseReference"/>
          <w:rFonts w:ascii="Arial Black" w:hAnsi="Arial Black"/>
          <w:sz w:val="44"/>
          <w:szCs w:val="44"/>
        </w:rPr>
        <w:t>Student name:</w:t>
      </w:r>
      <w:r w:rsidR="00991BCD">
        <w:rPr>
          <w:rStyle w:val="IntenseReference"/>
          <w:rFonts w:ascii="Arial Black" w:hAnsi="Arial Black"/>
          <w:sz w:val="44"/>
          <w:szCs w:val="44"/>
        </w:rPr>
        <w:t xml:space="preserve"> Tatyana </w:t>
      </w:r>
      <w:proofErr w:type="spellStart"/>
      <w:r w:rsidR="00991BCD">
        <w:rPr>
          <w:rStyle w:val="IntenseReference"/>
          <w:rFonts w:ascii="Arial Black" w:hAnsi="Arial Black"/>
          <w:sz w:val="44"/>
          <w:szCs w:val="44"/>
        </w:rPr>
        <w:t>Nikolova</w:t>
      </w:r>
      <w:proofErr w:type="spellEnd"/>
    </w:p>
    <w:p w14:paraId="7831904C" w14:textId="589EE511" w:rsidR="00CD507B" w:rsidRDefault="00C77BD5" w:rsidP="00C77BD5">
      <w:pPr>
        <w:jc w:val="center"/>
        <w:rPr>
          <w:rStyle w:val="IntenseReference"/>
          <w:rFonts w:ascii="Arial Black" w:hAnsi="Arial Black"/>
          <w:sz w:val="44"/>
          <w:szCs w:val="44"/>
        </w:rPr>
      </w:pPr>
      <w:r w:rsidRPr="00C77BD5">
        <w:rPr>
          <w:rStyle w:val="IntenseReference"/>
          <w:rFonts w:ascii="Arial Black" w:hAnsi="Arial Black"/>
          <w:sz w:val="44"/>
          <w:szCs w:val="44"/>
        </w:rPr>
        <w:t>Student number:</w:t>
      </w:r>
      <w:r w:rsidR="00991BCD">
        <w:rPr>
          <w:rStyle w:val="IntenseReference"/>
          <w:rFonts w:ascii="Arial Black" w:hAnsi="Arial Black"/>
          <w:sz w:val="44"/>
          <w:szCs w:val="44"/>
        </w:rPr>
        <w:t xml:space="preserve"> 1912953</w:t>
      </w:r>
    </w:p>
    <w:p w14:paraId="2D31E0B9" w14:textId="6D86E4CF" w:rsidR="002631D5" w:rsidRDefault="002631D5" w:rsidP="00C77BD5">
      <w:pPr>
        <w:jc w:val="center"/>
        <w:rPr>
          <w:rStyle w:val="IntenseReference"/>
          <w:rFonts w:ascii="Arial Black" w:hAnsi="Arial Black"/>
          <w:sz w:val="44"/>
          <w:szCs w:val="44"/>
        </w:rPr>
      </w:pPr>
    </w:p>
    <w:p w14:paraId="6B04BD9A" w14:textId="2FEAA612" w:rsidR="002631D5" w:rsidRDefault="002631D5" w:rsidP="00C77BD5">
      <w:pPr>
        <w:jc w:val="center"/>
        <w:rPr>
          <w:rStyle w:val="IntenseReference"/>
          <w:rFonts w:ascii="Arial Black" w:hAnsi="Arial Black"/>
          <w:sz w:val="44"/>
          <w:szCs w:val="44"/>
        </w:rPr>
      </w:pPr>
    </w:p>
    <w:p w14:paraId="57F1D462" w14:textId="736D9741" w:rsidR="002631D5" w:rsidRDefault="002631D5" w:rsidP="00C77BD5">
      <w:pPr>
        <w:jc w:val="center"/>
        <w:rPr>
          <w:rStyle w:val="IntenseReference"/>
          <w:rFonts w:ascii="Arial Black" w:hAnsi="Arial Black"/>
          <w:sz w:val="44"/>
          <w:szCs w:val="44"/>
        </w:rPr>
      </w:pPr>
    </w:p>
    <w:p w14:paraId="4E5088C8" w14:textId="029C375A" w:rsidR="002631D5" w:rsidRDefault="002631D5" w:rsidP="00C77BD5">
      <w:pPr>
        <w:jc w:val="center"/>
        <w:rPr>
          <w:rStyle w:val="IntenseReference"/>
          <w:rFonts w:ascii="Arial Black" w:hAnsi="Arial Black"/>
          <w:sz w:val="44"/>
          <w:szCs w:val="44"/>
        </w:rPr>
      </w:pPr>
    </w:p>
    <w:p w14:paraId="3E04313E" w14:textId="41E1DE2F" w:rsidR="002631D5" w:rsidRDefault="002631D5" w:rsidP="00C77BD5">
      <w:pPr>
        <w:jc w:val="center"/>
        <w:rPr>
          <w:rStyle w:val="IntenseReference"/>
          <w:rFonts w:ascii="Arial Black" w:hAnsi="Arial Black"/>
          <w:sz w:val="44"/>
          <w:szCs w:val="44"/>
        </w:rPr>
      </w:pPr>
    </w:p>
    <w:p w14:paraId="11158692" w14:textId="01D84C2F" w:rsidR="002631D5" w:rsidRDefault="002631D5" w:rsidP="00C77BD5">
      <w:pPr>
        <w:jc w:val="center"/>
        <w:rPr>
          <w:rStyle w:val="IntenseReference"/>
          <w:rFonts w:ascii="Arial Black" w:hAnsi="Arial Black"/>
          <w:sz w:val="44"/>
          <w:szCs w:val="44"/>
        </w:rPr>
      </w:pPr>
    </w:p>
    <w:p w14:paraId="61EF62F1" w14:textId="37B3966A" w:rsidR="002631D5" w:rsidRDefault="002631D5" w:rsidP="00C77BD5">
      <w:pPr>
        <w:jc w:val="center"/>
        <w:rPr>
          <w:rStyle w:val="IntenseReference"/>
          <w:rFonts w:ascii="Arial Black" w:hAnsi="Arial Black"/>
          <w:sz w:val="44"/>
          <w:szCs w:val="44"/>
        </w:rPr>
      </w:pPr>
    </w:p>
    <w:p w14:paraId="7F9E2956" w14:textId="71A4B75C" w:rsidR="002631D5" w:rsidRDefault="002631D5" w:rsidP="00C77BD5">
      <w:pPr>
        <w:jc w:val="center"/>
        <w:rPr>
          <w:rStyle w:val="IntenseReference"/>
          <w:rFonts w:ascii="Arial Black" w:hAnsi="Arial Black"/>
          <w:sz w:val="44"/>
          <w:szCs w:val="44"/>
        </w:rPr>
      </w:pPr>
    </w:p>
    <w:p w14:paraId="5746115B" w14:textId="40650E76" w:rsidR="002631D5" w:rsidRDefault="002631D5" w:rsidP="00C77BD5">
      <w:pPr>
        <w:jc w:val="center"/>
        <w:rPr>
          <w:rStyle w:val="IntenseReference"/>
          <w:rFonts w:ascii="Arial" w:hAnsi="Arial" w:cs="Arial"/>
          <w:sz w:val="32"/>
          <w:szCs w:val="32"/>
        </w:rPr>
      </w:pPr>
      <w:r>
        <w:rPr>
          <w:rStyle w:val="IntenseReference"/>
          <w:rFonts w:ascii="Arial" w:hAnsi="Arial" w:cs="Arial"/>
          <w:sz w:val="32"/>
          <w:szCs w:val="32"/>
        </w:rPr>
        <w:t>Table of content</w:t>
      </w:r>
    </w:p>
    <w:p w14:paraId="7FE89CE8" w14:textId="36EAEF4C" w:rsidR="002631D5" w:rsidRDefault="002631D5" w:rsidP="002631D5">
      <w:pPr>
        <w:pStyle w:val="ListParagraph"/>
        <w:numPr>
          <w:ilvl w:val="0"/>
          <w:numId w:val="1"/>
        </w:numPr>
        <w:rPr>
          <w:rStyle w:val="IntenseReference"/>
          <w:rFonts w:ascii="Arial" w:hAnsi="Arial" w:cs="Arial"/>
          <w:sz w:val="32"/>
          <w:szCs w:val="32"/>
        </w:rPr>
      </w:pPr>
      <w:r>
        <w:rPr>
          <w:rStyle w:val="IntenseReference"/>
          <w:rFonts w:ascii="Arial" w:hAnsi="Arial" w:cs="Arial"/>
          <w:sz w:val="32"/>
          <w:szCs w:val="32"/>
        </w:rPr>
        <w:t>Question 1 – Answer 1……………………………………….</w:t>
      </w:r>
      <w:r w:rsidR="00C313ED">
        <w:rPr>
          <w:rStyle w:val="IntenseReference"/>
          <w:rFonts w:ascii="Arial" w:hAnsi="Arial" w:cs="Arial"/>
          <w:sz w:val="32"/>
          <w:szCs w:val="32"/>
        </w:rPr>
        <w:t>3</w:t>
      </w:r>
    </w:p>
    <w:p w14:paraId="5954C6F7" w14:textId="6DEB0941" w:rsidR="002631D5" w:rsidRDefault="002631D5" w:rsidP="002631D5">
      <w:pPr>
        <w:pStyle w:val="ListParagraph"/>
        <w:numPr>
          <w:ilvl w:val="0"/>
          <w:numId w:val="1"/>
        </w:numPr>
        <w:rPr>
          <w:rStyle w:val="IntenseReference"/>
          <w:rFonts w:ascii="Arial" w:hAnsi="Arial" w:cs="Arial"/>
          <w:sz w:val="32"/>
          <w:szCs w:val="32"/>
        </w:rPr>
      </w:pPr>
      <w:r>
        <w:rPr>
          <w:rStyle w:val="IntenseReference"/>
          <w:rFonts w:ascii="Arial" w:hAnsi="Arial" w:cs="Arial"/>
          <w:sz w:val="32"/>
          <w:szCs w:val="32"/>
        </w:rPr>
        <w:t>Question 2 – Answer 2……………………………………….</w:t>
      </w:r>
      <w:r w:rsidR="00C313ED">
        <w:rPr>
          <w:rStyle w:val="IntenseReference"/>
          <w:rFonts w:ascii="Arial" w:hAnsi="Arial" w:cs="Arial"/>
          <w:sz w:val="32"/>
          <w:szCs w:val="32"/>
        </w:rPr>
        <w:t>4</w:t>
      </w:r>
    </w:p>
    <w:p w14:paraId="4C5401FA" w14:textId="6CCEE9DD" w:rsidR="002631D5" w:rsidRDefault="002631D5" w:rsidP="002631D5">
      <w:pPr>
        <w:pStyle w:val="ListParagraph"/>
        <w:numPr>
          <w:ilvl w:val="0"/>
          <w:numId w:val="1"/>
        </w:numPr>
        <w:rPr>
          <w:rStyle w:val="IntenseReference"/>
          <w:rFonts w:ascii="Arial" w:hAnsi="Arial" w:cs="Arial"/>
          <w:sz w:val="32"/>
          <w:szCs w:val="32"/>
        </w:rPr>
      </w:pPr>
      <w:r>
        <w:rPr>
          <w:rStyle w:val="IntenseReference"/>
          <w:rFonts w:ascii="Arial" w:hAnsi="Arial" w:cs="Arial"/>
          <w:sz w:val="32"/>
          <w:szCs w:val="32"/>
        </w:rPr>
        <w:t>Report…………………………………………………………..</w:t>
      </w:r>
      <w:r w:rsidR="00C313ED">
        <w:rPr>
          <w:rStyle w:val="IntenseReference"/>
          <w:rFonts w:ascii="Arial" w:hAnsi="Arial" w:cs="Arial"/>
          <w:sz w:val="32"/>
          <w:szCs w:val="32"/>
        </w:rPr>
        <w:t>5</w:t>
      </w:r>
    </w:p>
    <w:p w14:paraId="2DE86A1C" w14:textId="58EEA8D0" w:rsidR="002631D5" w:rsidRDefault="002631D5" w:rsidP="002631D5">
      <w:pPr>
        <w:pStyle w:val="ListParagraph"/>
        <w:numPr>
          <w:ilvl w:val="0"/>
          <w:numId w:val="1"/>
        </w:numPr>
        <w:rPr>
          <w:rStyle w:val="IntenseReference"/>
          <w:rFonts w:ascii="Arial" w:hAnsi="Arial" w:cs="Arial"/>
          <w:sz w:val="32"/>
          <w:szCs w:val="32"/>
        </w:rPr>
      </w:pPr>
      <w:r>
        <w:rPr>
          <w:rStyle w:val="IntenseReference"/>
          <w:rFonts w:ascii="Arial" w:hAnsi="Arial" w:cs="Arial"/>
          <w:sz w:val="32"/>
          <w:szCs w:val="32"/>
        </w:rPr>
        <w:t>References…………………………………………………….</w:t>
      </w:r>
      <w:r w:rsidR="00C313ED">
        <w:rPr>
          <w:rStyle w:val="IntenseReference"/>
          <w:rFonts w:ascii="Arial" w:hAnsi="Arial" w:cs="Arial"/>
          <w:sz w:val="32"/>
          <w:szCs w:val="32"/>
        </w:rPr>
        <w:t>7</w:t>
      </w:r>
    </w:p>
    <w:p w14:paraId="26BDADD5" w14:textId="55C27DFF" w:rsidR="004D5B92" w:rsidRPr="004D5B92" w:rsidRDefault="004D5B92" w:rsidP="004D5B92"/>
    <w:p w14:paraId="216893A1" w14:textId="43F441DC" w:rsidR="004D5B92" w:rsidRPr="004D5B92" w:rsidRDefault="004D5B92" w:rsidP="004D5B92"/>
    <w:p w14:paraId="0C8F5B82" w14:textId="72B641BF" w:rsidR="004D5B92" w:rsidRPr="004D5B92" w:rsidRDefault="004D5B92" w:rsidP="004D5B92"/>
    <w:p w14:paraId="55052D14" w14:textId="429F394C" w:rsidR="004D5B92" w:rsidRPr="004D5B92" w:rsidRDefault="004D5B92" w:rsidP="004D5B92"/>
    <w:p w14:paraId="7165FB10" w14:textId="705D8893" w:rsidR="004D5B92" w:rsidRPr="004D5B92" w:rsidRDefault="004D5B92" w:rsidP="004D5B92"/>
    <w:p w14:paraId="4F4D61AB" w14:textId="66A8B71C" w:rsidR="004D5B92" w:rsidRPr="004D5B92" w:rsidRDefault="004D5B92" w:rsidP="004D5B92"/>
    <w:p w14:paraId="71858CC7" w14:textId="2B76A5CE" w:rsidR="004D5B92" w:rsidRPr="004D5B92" w:rsidRDefault="004D5B92" w:rsidP="004D5B92"/>
    <w:p w14:paraId="01C39EE4" w14:textId="48B33624" w:rsidR="004D5B92" w:rsidRPr="004D5B92" w:rsidRDefault="004D5B92" w:rsidP="004D5B92"/>
    <w:p w14:paraId="1E30EE75" w14:textId="5638ADC8" w:rsidR="004D5B92" w:rsidRPr="004D5B92" w:rsidRDefault="004D5B92" w:rsidP="004D5B92"/>
    <w:p w14:paraId="576FC319" w14:textId="759C7011" w:rsidR="004D5B92" w:rsidRPr="004D5B92" w:rsidRDefault="004D5B92" w:rsidP="004D5B92"/>
    <w:p w14:paraId="0D844227" w14:textId="25EA7CF4" w:rsidR="004D5B92" w:rsidRPr="004D5B92" w:rsidRDefault="004D5B92" w:rsidP="004D5B92"/>
    <w:p w14:paraId="2FC86B9E" w14:textId="36D5511C" w:rsidR="004D5B92" w:rsidRPr="004D5B92" w:rsidRDefault="004D5B92" w:rsidP="004D5B92"/>
    <w:p w14:paraId="3095684E" w14:textId="6ECF3699" w:rsidR="004D5B92" w:rsidRPr="004D5B92" w:rsidRDefault="004D5B92" w:rsidP="004D5B92"/>
    <w:p w14:paraId="1E6E899D" w14:textId="11A21398" w:rsidR="004D5B92" w:rsidRPr="004D5B92" w:rsidRDefault="004D5B92" w:rsidP="004D5B92"/>
    <w:p w14:paraId="11D6739B" w14:textId="6B1DBC6D" w:rsidR="004D5B92" w:rsidRPr="004D5B92" w:rsidRDefault="004D5B92" w:rsidP="004D5B92"/>
    <w:p w14:paraId="6ED2877F" w14:textId="1DA5148A" w:rsidR="004D5B92" w:rsidRPr="004D5B92" w:rsidRDefault="004D5B92" w:rsidP="004D5B92"/>
    <w:p w14:paraId="6111C048" w14:textId="010A754F" w:rsidR="004D5B92" w:rsidRPr="004D5B92" w:rsidRDefault="004D5B92" w:rsidP="004D5B92"/>
    <w:p w14:paraId="09430170" w14:textId="6A9ADFD5" w:rsidR="004D5B92" w:rsidRPr="004D5B92" w:rsidRDefault="004D5B92" w:rsidP="004D5B92"/>
    <w:p w14:paraId="5289D1EC" w14:textId="0C471D4F" w:rsidR="004D5B92" w:rsidRPr="004D5B92" w:rsidRDefault="004D5B92" w:rsidP="004D5B92"/>
    <w:p w14:paraId="1F3C199F" w14:textId="5FAFABE5" w:rsidR="004D5B92" w:rsidRDefault="004D5B92" w:rsidP="004D5B92">
      <w:pPr>
        <w:rPr>
          <w:rStyle w:val="IntenseReference"/>
          <w:rFonts w:ascii="Arial" w:hAnsi="Arial" w:cs="Arial"/>
          <w:sz w:val="32"/>
          <w:szCs w:val="32"/>
        </w:rPr>
      </w:pPr>
    </w:p>
    <w:p w14:paraId="716266CD" w14:textId="3A3F6B52" w:rsidR="004D5B92" w:rsidRDefault="004D5B92" w:rsidP="004D5B92">
      <w:pPr>
        <w:tabs>
          <w:tab w:val="left" w:pos="2775"/>
        </w:tabs>
      </w:pPr>
      <w:r>
        <w:tab/>
      </w:r>
    </w:p>
    <w:p w14:paraId="2E04FB5D" w14:textId="102BD8B5" w:rsidR="004D5B92" w:rsidRDefault="004D5B92" w:rsidP="004D5B92">
      <w:pPr>
        <w:tabs>
          <w:tab w:val="left" w:pos="2775"/>
        </w:tabs>
      </w:pPr>
    </w:p>
    <w:p w14:paraId="7D255AE3" w14:textId="1D1CAD14" w:rsidR="004D5B92" w:rsidRDefault="004D5B92" w:rsidP="004D5B92">
      <w:pPr>
        <w:tabs>
          <w:tab w:val="left" w:pos="2775"/>
        </w:tabs>
      </w:pPr>
    </w:p>
    <w:p w14:paraId="7028A06B" w14:textId="619F2600" w:rsidR="004D5B92" w:rsidRDefault="004D5B92" w:rsidP="004D5B92">
      <w:pPr>
        <w:tabs>
          <w:tab w:val="left" w:pos="2775"/>
        </w:tabs>
      </w:pPr>
    </w:p>
    <w:p w14:paraId="3181B507" w14:textId="6014AC0B" w:rsidR="004D5B92" w:rsidRDefault="004D5B92" w:rsidP="00C313ED">
      <w:pPr>
        <w:pStyle w:val="Heading1"/>
      </w:pPr>
      <w:r>
        <w:t>Answers to question 1:</w:t>
      </w:r>
    </w:p>
    <w:p w14:paraId="1419122B" w14:textId="20DAABE1" w:rsidR="004D5B92" w:rsidRDefault="004D5B92" w:rsidP="004D5B92">
      <w:pPr>
        <w:tabs>
          <w:tab w:val="left" w:pos="2775"/>
        </w:tabs>
      </w:pPr>
    </w:p>
    <w:p w14:paraId="67E805AA" w14:textId="38267E2A" w:rsidR="004D5B92" w:rsidRDefault="004D5B92" w:rsidP="004D5B92">
      <w:pPr>
        <w:tabs>
          <w:tab w:val="left" w:pos="2775"/>
        </w:tabs>
      </w:pPr>
      <w:r>
        <w:fldChar w:fldCharType="begin"/>
      </w:r>
      <w:r>
        <w:instrText xml:space="preserve"> LINK Excel.Sheet.12 "Книга1" "Лист1!R5C3:R8C4" \a \f 5 \h  \* MERGEFORMAT </w:instrText>
      </w:r>
      <w:r>
        <w:fldChar w:fldCharType="separate"/>
      </w:r>
    </w:p>
    <w:tbl>
      <w:tblPr>
        <w:tblStyle w:val="TableGrid"/>
        <w:tblW w:w="4700" w:type="dxa"/>
        <w:tblLook w:val="04A0" w:firstRow="1" w:lastRow="0" w:firstColumn="1" w:lastColumn="0" w:noHBand="0" w:noVBand="1"/>
      </w:tblPr>
      <w:tblGrid>
        <w:gridCol w:w="960"/>
        <w:gridCol w:w="3740"/>
      </w:tblGrid>
      <w:tr w:rsidR="004D5B92" w:rsidRPr="004D5B92" w14:paraId="3AF13966" w14:textId="77777777" w:rsidTr="004D5B92">
        <w:trPr>
          <w:trHeight w:val="375"/>
        </w:trPr>
        <w:tc>
          <w:tcPr>
            <w:tcW w:w="960" w:type="dxa"/>
            <w:noWrap/>
            <w:hideMark/>
          </w:tcPr>
          <w:p w14:paraId="18A758AB" w14:textId="028FF649" w:rsidR="004D5B92" w:rsidRPr="004D5B92" w:rsidRDefault="004D5B92" w:rsidP="004D5B92">
            <w:pPr>
              <w:tabs>
                <w:tab w:val="left" w:pos="2775"/>
              </w:tabs>
            </w:pPr>
            <w:r w:rsidRPr="004D5B92">
              <w:t>1</w:t>
            </w:r>
          </w:p>
        </w:tc>
        <w:tc>
          <w:tcPr>
            <w:tcW w:w="3740" w:type="dxa"/>
            <w:noWrap/>
            <w:hideMark/>
          </w:tcPr>
          <w:p w14:paraId="670160F3" w14:textId="77777777" w:rsidR="004D5B92" w:rsidRPr="004D5B92" w:rsidRDefault="004D5B92" w:rsidP="004D5B92">
            <w:pPr>
              <w:tabs>
                <w:tab w:val="left" w:pos="2775"/>
              </w:tabs>
            </w:pPr>
            <w:r w:rsidRPr="004D5B92">
              <w:t>     4260/16000=0,26</w:t>
            </w:r>
          </w:p>
        </w:tc>
      </w:tr>
      <w:tr w:rsidR="004D5B92" w:rsidRPr="004D5B92" w14:paraId="367D59C6" w14:textId="77777777" w:rsidTr="004D5B92">
        <w:trPr>
          <w:trHeight w:val="375"/>
        </w:trPr>
        <w:tc>
          <w:tcPr>
            <w:tcW w:w="960" w:type="dxa"/>
            <w:noWrap/>
            <w:hideMark/>
          </w:tcPr>
          <w:p w14:paraId="5333BFD7" w14:textId="77777777" w:rsidR="004D5B92" w:rsidRPr="004D5B92" w:rsidRDefault="004D5B92" w:rsidP="004D5B92">
            <w:pPr>
              <w:tabs>
                <w:tab w:val="left" w:pos="2775"/>
              </w:tabs>
            </w:pPr>
          </w:p>
        </w:tc>
        <w:tc>
          <w:tcPr>
            <w:tcW w:w="3740" w:type="dxa"/>
            <w:noWrap/>
            <w:hideMark/>
          </w:tcPr>
          <w:p w14:paraId="03538762" w14:textId="77777777" w:rsidR="004D5B92" w:rsidRPr="004D5B92" w:rsidRDefault="004D5B92" w:rsidP="004D5B92">
            <w:pPr>
              <w:tabs>
                <w:tab w:val="left" w:pos="2775"/>
              </w:tabs>
            </w:pPr>
            <w:r w:rsidRPr="004D5B92">
              <w:t>4960/25600=0,19</w:t>
            </w:r>
          </w:p>
        </w:tc>
      </w:tr>
      <w:tr w:rsidR="004D5B92" w:rsidRPr="004D5B92" w14:paraId="14C59358" w14:textId="77777777" w:rsidTr="004D5B92">
        <w:trPr>
          <w:trHeight w:val="375"/>
        </w:trPr>
        <w:tc>
          <w:tcPr>
            <w:tcW w:w="960" w:type="dxa"/>
            <w:noWrap/>
            <w:hideMark/>
          </w:tcPr>
          <w:p w14:paraId="01E9C9FE" w14:textId="77777777" w:rsidR="004D5B92" w:rsidRPr="004D5B92" w:rsidRDefault="004D5B92" w:rsidP="004D5B92">
            <w:pPr>
              <w:tabs>
                <w:tab w:val="left" w:pos="2775"/>
              </w:tabs>
            </w:pPr>
          </w:p>
        </w:tc>
        <w:tc>
          <w:tcPr>
            <w:tcW w:w="3740" w:type="dxa"/>
            <w:noWrap/>
            <w:hideMark/>
          </w:tcPr>
          <w:p w14:paraId="00F6BD37" w14:textId="77777777" w:rsidR="004D5B92" w:rsidRPr="004D5B92" w:rsidRDefault="004D5B92" w:rsidP="004D5B92">
            <w:pPr>
              <w:tabs>
                <w:tab w:val="left" w:pos="2775"/>
              </w:tabs>
            </w:pPr>
            <w:r w:rsidRPr="004D5B92">
              <w:t>0,26x2920=759,2</w:t>
            </w:r>
          </w:p>
        </w:tc>
      </w:tr>
      <w:tr w:rsidR="004D5B92" w:rsidRPr="004D5B92" w14:paraId="65A56C5F" w14:textId="77777777" w:rsidTr="004D5B92">
        <w:trPr>
          <w:trHeight w:val="375"/>
        </w:trPr>
        <w:tc>
          <w:tcPr>
            <w:tcW w:w="960" w:type="dxa"/>
            <w:noWrap/>
            <w:hideMark/>
          </w:tcPr>
          <w:p w14:paraId="7AB24F75" w14:textId="77777777" w:rsidR="004D5B92" w:rsidRPr="004D5B92" w:rsidRDefault="004D5B92" w:rsidP="004D5B92">
            <w:pPr>
              <w:tabs>
                <w:tab w:val="left" w:pos="2775"/>
              </w:tabs>
            </w:pPr>
          </w:p>
        </w:tc>
        <w:tc>
          <w:tcPr>
            <w:tcW w:w="3740" w:type="dxa"/>
            <w:noWrap/>
            <w:hideMark/>
          </w:tcPr>
          <w:p w14:paraId="259F26EF" w14:textId="77777777" w:rsidR="004D5B92" w:rsidRPr="004D5B92" w:rsidRDefault="004D5B92" w:rsidP="004D5B92">
            <w:pPr>
              <w:tabs>
                <w:tab w:val="left" w:pos="2775"/>
              </w:tabs>
            </w:pPr>
            <w:r w:rsidRPr="004D5B92">
              <w:t>0,19x16000=3040</w:t>
            </w:r>
          </w:p>
        </w:tc>
      </w:tr>
    </w:tbl>
    <w:p w14:paraId="00008952" w14:textId="37C2DAEA" w:rsidR="004D5B92" w:rsidRDefault="004D5B92" w:rsidP="004D5B92">
      <w:pPr>
        <w:tabs>
          <w:tab w:val="left" w:pos="2775"/>
        </w:tabs>
      </w:pPr>
      <w:r>
        <w:fldChar w:fldCharType="end"/>
      </w:r>
    </w:p>
    <w:p w14:paraId="49550BB0" w14:textId="5EAE401E" w:rsidR="004D5B92" w:rsidRDefault="004D5B92" w:rsidP="004D5B92">
      <w:pPr>
        <w:tabs>
          <w:tab w:val="left" w:pos="2775"/>
        </w:tabs>
      </w:pPr>
    </w:p>
    <w:p w14:paraId="6AE81F74" w14:textId="02B930C7" w:rsidR="004D5B92" w:rsidRDefault="004D5B92" w:rsidP="004D5B92">
      <w:pPr>
        <w:tabs>
          <w:tab w:val="left" w:pos="2775"/>
        </w:tabs>
      </w:pPr>
      <w:r>
        <w:fldChar w:fldCharType="begin"/>
      </w:r>
      <w:r>
        <w:instrText xml:space="preserve"> LINK Excel.Sheet.12 "Книга1" "Лист1!R9C3:R10C4" \a \f 5 \h  \* MERGEFORMAT </w:instrText>
      </w:r>
      <w:r>
        <w:fldChar w:fldCharType="separate"/>
      </w:r>
    </w:p>
    <w:tbl>
      <w:tblPr>
        <w:tblStyle w:val="TableGrid"/>
        <w:tblW w:w="4700" w:type="dxa"/>
        <w:tblLook w:val="04A0" w:firstRow="1" w:lastRow="0" w:firstColumn="1" w:lastColumn="0" w:noHBand="0" w:noVBand="1"/>
      </w:tblPr>
      <w:tblGrid>
        <w:gridCol w:w="960"/>
        <w:gridCol w:w="3740"/>
      </w:tblGrid>
      <w:tr w:rsidR="004D5B92" w:rsidRPr="004D5B92" w14:paraId="3023D38C" w14:textId="77777777" w:rsidTr="004D5B92">
        <w:trPr>
          <w:trHeight w:val="375"/>
        </w:trPr>
        <w:tc>
          <w:tcPr>
            <w:tcW w:w="960" w:type="dxa"/>
            <w:noWrap/>
            <w:hideMark/>
          </w:tcPr>
          <w:p w14:paraId="78FBA862" w14:textId="20BC17C2" w:rsidR="004D5B92" w:rsidRPr="004D5B92" w:rsidRDefault="004D5B92" w:rsidP="004D5B92">
            <w:pPr>
              <w:tabs>
                <w:tab w:val="left" w:pos="2775"/>
              </w:tabs>
            </w:pPr>
            <w:r w:rsidRPr="004D5B92">
              <w:t>2</w:t>
            </w:r>
          </w:p>
        </w:tc>
        <w:tc>
          <w:tcPr>
            <w:tcW w:w="3740" w:type="dxa"/>
            <w:noWrap/>
            <w:hideMark/>
          </w:tcPr>
          <w:p w14:paraId="6977B33B" w14:textId="77777777" w:rsidR="004D5B92" w:rsidRPr="004D5B92" w:rsidRDefault="004D5B92" w:rsidP="004D5B92">
            <w:pPr>
              <w:tabs>
                <w:tab w:val="left" w:pos="2775"/>
              </w:tabs>
            </w:pPr>
            <w:r w:rsidRPr="004D5B92">
              <w:t>    20000000/90380=221,28</w:t>
            </w:r>
          </w:p>
        </w:tc>
      </w:tr>
      <w:tr w:rsidR="004D5B92" w:rsidRPr="004D5B92" w14:paraId="090A8EC7" w14:textId="77777777" w:rsidTr="004D5B92">
        <w:trPr>
          <w:trHeight w:val="375"/>
        </w:trPr>
        <w:tc>
          <w:tcPr>
            <w:tcW w:w="960" w:type="dxa"/>
            <w:noWrap/>
            <w:hideMark/>
          </w:tcPr>
          <w:p w14:paraId="69777806" w14:textId="77777777" w:rsidR="004D5B92" w:rsidRPr="004D5B92" w:rsidRDefault="004D5B92" w:rsidP="004D5B92">
            <w:pPr>
              <w:tabs>
                <w:tab w:val="left" w:pos="2775"/>
              </w:tabs>
            </w:pPr>
          </w:p>
        </w:tc>
        <w:tc>
          <w:tcPr>
            <w:tcW w:w="3740" w:type="dxa"/>
            <w:noWrap/>
            <w:hideMark/>
          </w:tcPr>
          <w:p w14:paraId="27447A0A" w14:textId="77777777" w:rsidR="004D5B92" w:rsidRPr="004D5B92" w:rsidRDefault="004D5B92" w:rsidP="004D5B92">
            <w:pPr>
              <w:tabs>
                <w:tab w:val="left" w:pos="2775"/>
              </w:tabs>
            </w:pPr>
            <w:r w:rsidRPr="004D5B92">
              <w:t>2,2128x20000000=44256000</w:t>
            </w:r>
          </w:p>
        </w:tc>
      </w:tr>
    </w:tbl>
    <w:p w14:paraId="5DDEAF4A" w14:textId="1590EA3C" w:rsidR="004D5B92" w:rsidRDefault="004D5B92" w:rsidP="004D5B92">
      <w:pPr>
        <w:tabs>
          <w:tab w:val="left" w:pos="2775"/>
        </w:tabs>
      </w:pPr>
      <w:r>
        <w:fldChar w:fldCharType="end"/>
      </w:r>
    </w:p>
    <w:p w14:paraId="7376AC27" w14:textId="2AB75964" w:rsidR="004D5B92" w:rsidRDefault="004D5B92" w:rsidP="004D5B92">
      <w:pPr>
        <w:tabs>
          <w:tab w:val="left" w:pos="2775"/>
        </w:tabs>
      </w:pPr>
    </w:p>
    <w:p w14:paraId="56D63B37" w14:textId="0A44D9CC" w:rsidR="004D5B92" w:rsidRDefault="004D5B92" w:rsidP="004D5B92">
      <w:pPr>
        <w:tabs>
          <w:tab w:val="left" w:pos="2775"/>
        </w:tabs>
      </w:pPr>
      <w:r>
        <w:fldChar w:fldCharType="begin"/>
      </w:r>
      <w:r>
        <w:instrText xml:space="preserve"> LINK Excel.Sheet.12 "Книга1" "Лист1!R11C3:R11C4" \a \f 5 \h  \* MERGEFORMAT </w:instrText>
      </w:r>
      <w:r>
        <w:fldChar w:fldCharType="separate"/>
      </w:r>
    </w:p>
    <w:tbl>
      <w:tblPr>
        <w:tblStyle w:val="TableGrid"/>
        <w:tblW w:w="4700" w:type="dxa"/>
        <w:tblLook w:val="04A0" w:firstRow="1" w:lastRow="0" w:firstColumn="1" w:lastColumn="0" w:noHBand="0" w:noVBand="1"/>
      </w:tblPr>
      <w:tblGrid>
        <w:gridCol w:w="960"/>
        <w:gridCol w:w="3740"/>
      </w:tblGrid>
      <w:tr w:rsidR="004D5B92" w:rsidRPr="004D5B92" w14:paraId="60199A2E" w14:textId="77777777" w:rsidTr="004D5B92">
        <w:trPr>
          <w:trHeight w:val="375"/>
        </w:trPr>
        <w:tc>
          <w:tcPr>
            <w:tcW w:w="960" w:type="dxa"/>
            <w:noWrap/>
            <w:hideMark/>
          </w:tcPr>
          <w:p w14:paraId="5D520B9B" w14:textId="22E8C4E5" w:rsidR="004D5B92" w:rsidRPr="004D5B92" w:rsidRDefault="004D5B92" w:rsidP="004D5B92">
            <w:pPr>
              <w:tabs>
                <w:tab w:val="left" w:pos="2775"/>
              </w:tabs>
            </w:pPr>
            <w:r w:rsidRPr="004D5B92">
              <w:t>3</w:t>
            </w:r>
          </w:p>
        </w:tc>
        <w:tc>
          <w:tcPr>
            <w:tcW w:w="3740" w:type="dxa"/>
            <w:noWrap/>
            <w:hideMark/>
          </w:tcPr>
          <w:p w14:paraId="2F941C97" w14:textId="77777777" w:rsidR="004D5B92" w:rsidRPr="004D5B92" w:rsidRDefault="004D5B92" w:rsidP="004D5B92">
            <w:pPr>
              <w:tabs>
                <w:tab w:val="left" w:pos="2775"/>
              </w:tabs>
            </w:pPr>
            <w:r w:rsidRPr="004D5B92">
              <w:t>     4,8x2920=14016</w:t>
            </w:r>
          </w:p>
        </w:tc>
      </w:tr>
    </w:tbl>
    <w:p w14:paraId="56ED29AB" w14:textId="0E642BE6" w:rsidR="004D5B92" w:rsidRDefault="004D5B92" w:rsidP="004D5B92">
      <w:pPr>
        <w:tabs>
          <w:tab w:val="left" w:pos="2775"/>
        </w:tabs>
      </w:pPr>
      <w:r>
        <w:fldChar w:fldCharType="end"/>
      </w:r>
    </w:p>
    <w:p w14:paraId="33F4C04A" w14:textId="4F81B764" w:rsidR="004D5B92" w:rsidRDefault="004D5B92" w:rsidP="004D5B92">
      <w:pPr>
        <w:tabs>
          <w:tab w:val="left" w:pos="2775"/>
        </w:tabs>
      </w:pPr>
    </w:p>
    <w:p w14:paraId="54448731" w14:textId="22C66C2C" w:rsidR="004D5B92" w:rsidRDefault="004D5B92" w:rsidP="004D5B92">
      <w:pPr>
        <w:tabs>
          <w:tab w:val="left" w:pos="2775"/>
        </w:tabs>
      </w:pPr>
      <w:r>
        <w:fldChar w:fldCharType="begin"/>
      </w:r>
      <w:r>
        <w:instrText xml:space="preserve"> LINK Excel.Sheet.12 "Книга1" "Лист1!R12C3:R12C4" \a \f 5 \h  \* MERGEFORMAT </w:instrText>
      </w:r>
      <w:r>
        <w:fldChar w:fldCharType="separate"/>
      </w:r>
    </w:p>
    <w:tbl>
      <w:tblPr>
        <w:tblStyle w:val="TableGrid"/>
        <w:tblW w:w="4700" w:type="dxa"/>
        <w:tblLook w:val="04A0" w:firstRow="1" w:lastRow="0" w:firstColumn="1" w:lastColumn="0" w:noHBand="0" w:noVBand="1"/>
      </w:tblPr>
      <w:tblGrid>
        <w:gridCol w:w="960"/>
        <w:gridCol w:w="3740"/>
      </w:tblGrid>
      <w:tr w:rsidR="004D5B92" w:rsidRPr="004D5B92" w14:paraId="26558611" w14:textId="77777777" w:rsidTr="004D5B92">
        <w:trPr>
          <w:trHeight w:val="375"/>
        </w:trPr>
        <w:tc>
          <w:tcPr>
            <w:tcW w:w="960" w:type="dxa"/>
            <w:noWrap/>
            <w:hideMark/>
          </w:tcPr>
          <w:p w14:paraId="6A7E74D5" w14:textId="6D7C4A8A" w:rsidR="004D5B92" w:rsidRPr="004D5B92" w:rsidRDefault="004D5B92" w:rsidP="004D5B92">
            <w:pPr>
              <w:tabs>
                <w:tab w:val="left" w:pos="2775"/>
              </w:tabs>
            </w:pPr>
            <w:r w:rsidRPr="004D5B92">
              <w:t>4</w:t>
            </w:r>
          </w:p>
        </w:tc>
        <w:tc>
          <w:tcPr>
            <w:tcW w:w="3740" w:type="dxa"/>
            <w:noWrap/>
            <w:hideMark/>
          </w:tcPr>
          <w:p w14:paraId="1054F55C" w14:textId="77777777" w:rsidR="004D5B92" w:rsidRPr="004D5B92" w:rsidRDefault="004D5B92" w:rsidP="004D5B92">
            <w:pPr>
              <w:tabs>
                <w:tab w:val="left" w:pos="2775"/>
              </w:tabs>
            </w:pPr>
            <w:r w:rsidRPr="004D5B92">
              <w:t>    2920-500=2420</w:t>
            </w:r>
          </w:p>
        </w:tc>
      </w:tr>
    </w:tbl>
    <w:p w14:paraId="3E654F5F" w14:textId="31309147" w:rsidR="004D5B92" w:rsidRDefault="004D5B92" w:rsidP="004D5B92">
      <w:pPr>
        <w:tabs>
          <w:tab w:val="left" w:pos="2775"/>
        </w:tabs>
      </w:pPr>
      <w:r>
        <w:fldChar w:fldCharType="end"/>
      </w:r>
    </w:p>
    <w:p w14:paraId="2F421A99" w14:textId="77777777" w:rsidR="004D5B92" w:rsidRDefault="004D5B92" w:rsidP="004D5B92">
      <w:pPr>
        <w:tabs>
          <w:tab w:val="left" w:pos="2775"/>
        </w:tabs>
      </w:pPr>
    </w:p>
    <w:p w14:paraId="4C52080E" w14:textId="77F702E1" w:rsidR="004D5B92" w:rsidRDefault="004D5B92" w:rsidP="004D5B92">
      <w:pPr>
        <w:tabs>
          <w:tab w:val="left" w:pos="2775"/>
        </w:tabs>
      </w:pPr>
      <w:r>
        <w:fldChar w:fldCharType="begin"/>
      </w:r>
      <w:r>
        <w:instrText xml:space="preserve"> LINK Excel.Sheet.12 "Книга1" "Лист1!R13C3:R15C4" \a \f 5 \h  \* MERGEFORMAT </w:instrText>
      </w:r>
      <w:r>
        <w:fldChar w:fldCharType="separate"/>
      </w:r>
    </w:p>
    <w:tbl>
      <w:tblPr>
        <w:tblStyle w:val="TableGrid"/>
        <w:tblW w:w="4700" w:type="dxa"/>
        <w:tblLook w:val="04A0" w:firstRow="1" w:lastRow="0" w:firstColumn="1" w:lastColumn="0" w:noHBand="0" w:noVBand="1"/>
      </w:tblPr>
      <w:tblGrid>
        <w:gridCol w:w="960"/>
        <w:gridCol w:w="3740"/>
      </w:tblGrid>
      <w:tr w:rsidR="004D5B92" w:rsidRPr="004D5B92" w14:paraId="10D25017" w14:textId="77777777" w:rsidTr="004D5B92">
        <w:trPr>
          <w:trHeight w:val="375"/>
        </w:trPr>
        <w:tc>
          <w:tcPr>
            <w:tcW w:w="960" w:type="dxa"/>
            <w:noWrap/>
            <w:hideMark/>
          </w:tcPr>
          <w:p w14:paraId="3AC57A92" w14:textId="2388A5EC" w:rsidR="004D5B92" w:rsidRPr="004D5B92" w:rsidRDefault="004D5B92" w:rsidP="004D5B92">
            <w:pPr>
              <w:tabs>
                <w:tab w:val="left" w:pos="2775"/>
              </w:tabs>
            </w:pPr>
            <w:r w:rsidRPr="004D5B92">
              <w:t>5</w:t>
            </w:r>
          </w:p>
        </w:tc>
        <w:tc>
          <w:tcPr>
            <w:tcW w:w="3740" w:type="dxa"/>
            <w:noWrap/>
            <w:hideMark/>
          </w:tcPr>
          <w:p w14:paraId="44FBF427" w14:textId="77777777" w:rsidR="004D5B92" w:rsidRPr="004D5B92" w:rsidRDefault="004D5B92" w:rsidP="004D5B92">
            <w:pPr>
              <w:tabs>
                <w:tab w:val="left" w:pos="2775"/>
              </w:tabs>
            </w:pPr>
            <w:r w:rsidRPr="004D5B92">
              <w:t>   1600000/12=133333,33</w:t>
            </w:r>
          </w:p>
        </w:tc>
      </w:tr>
      <w:tr w:rsidR="004D5B92" w:rsidRPr="004D5B92" w14:paraId="7493B9C5" w14:textId="77777777" w:rsidTr="004D5B92">
        <w:trPr>
          <w:trHeight w:val="375"/>
        </w:trPr>
        <w:tc>
          <w:tcPr>
            <w:tcW w:w="960" w:type="dxa"/>
            <w:noWrap/>
            <w:hideMark/>
          </w:tcPr>
          <w:p w14:paraId="6F57469D" w14:textId="77777777" w:rsidR="004D5B92" w:rsidRPr="004D5B92" w:rsidRDefault="004D5B92" w:rsidP="004D5B92">
            <w:pPr>
              <w:tabs>
                <w:tab w:val="left" w:pos="2775"/>
              </w:tabs>
            </w:pPr>
          </w:p>
        </w:tc>
        <w:tc>
          <w:tcPr>
            <w:tcW w:w="3740" w:type="dxa"/>
            <w:noWrap/>
            <w:hideMark/>
          </w:tcPr>
          <w:p w14:paraId="023CE116" w14:textId="77777777" w:rsidR="004D5B92" w:rsidRPr="004D5B92" w:rsidRDefault="004D5B92" w:rsidP="004D5B92">
            <w:pPr>
              <w:tabs>
                <w:tab w:val="left" w:pos="2775"/>
              </w:tabs>
            </w:pPr>
            <w:r w:rsidRPr="004D5B92">
              <w:t>133333,33-90380=42953,33</w:t>
            </w:r>
          </w:p>
        </w:tc>
      </w:tr>
      <w:tr w:rsidR="004D5B92" w:rsidRPr="004D5B92" w14:paraId="0BEFBAD1" w14:textId="77777777" w:rsidTr="004D5B92">
        <w:trPr>
          <w:trHeight w:val="375"/>
        </w:trPr>
        <w:tc>
          <w:tcPr>
            <w:tcW w:w="960" w:type="dxa"/>
            <w:noWrap/>
            <w:hideMark/>
          </w:tcPr>
          <w:p w14:paraId="624A9DEC" w14:textId="77777777" w:rsidR="004D5B92" w:rsidRPr="004D5B92" w:rsidRDefault="004D5B92" w:rsidP="004D5B92">
            <w:pPr>
              <w:tabs>
                <w:tab w:val="left" w:pos="2775"/>
              </w:tabs>
            </w:pPr>
          </w:p>
        </w:tc>
        <w:tc>
          <w:tcPr>
            <w:tcW w:w="3740" w:type="dxa"/>
            <w:noWrap/>
            <w:hideMark/>
          </w:tcPr>
          <w:p w14:paraId="6399521B" w14:textId="77777777" w:rsidR="004D5B92" w:rsidRPr="004D5B92" w:rsidRDefault="004D5B92" w:rsidP="004D5B92">
            <w:pPr>
              <w:tabs>
                <w:tab w:val="left" w:pos="2775"/>
              </w:tabs>
            </w:pPr>
            <w:r w:rsidRPr="004D5B92">
              <w:t>42953,33x12=515440</w:t>
            </w:r>
          </w:p>
        </w:tc>
      </w:tr>
    </w:tbl>
    <w:p w14:paraId="15481661" w14:textId="5A366D4B" w:rsidR="004D5B92" w:rsidRDefault="004D5B92" w:rsidP="004D5B92">
      <w:pPr>
        <w:tabs>
          <w:tab w:val="left" w:pos="2775"/>
        </w:tabs>
      </w:pPr>
      <w:r>
        <w:fldChar w:fldCharType="end"/>
      </w:r>
    </w:p>
    <w:p w14:paraId="750BC450" w14:textId="5F772ABF" w:rsidR="004D5B92" w:rsidRDefault="004D5B92" w:rsidP="004D5B92">
      <w:pPr>
        <w:tabs>
          <w:tab w:val="left" w:pos="2775"/>
        </w:tabs>
      </w:pPr>
    </w:p>
    <w:p w14:paraId="79AFBAA0" w14:textId="659772C6" w:rsidR="004D5B92" w:rsidRDefault="004D5B92" w:rsidP="004D5B92">
      <w:pPr>
        <w:tabs>
          <w:tab w:val="left" w:pos="2775"/>
        </w:tabs>
      </w:pPr>
    </w:p>
    <w:p w14:paraId="7E1B106F" w14:textId="6F5271DA" w:rsidR="004D5B92" w:rsidRDefault="004D5B92" w:rsidP="00C313ED">
      <w:pPr>
        <w:pStyle w:val="Heading1"/>
      </w:pPr>
    </w:p>
    <w:p w14:paraId="48E69807" w14:textId="41EE0751" w:rsidR="004D5B92" w:rsidRDefault="004D5B92" w:rsidP="00C313ED">
      <w:pPr>
        <w:pStyle w:val="Heading1"/>
      </w:pPr>
      <w:r>
        <w:t>Answer to question 2:</w:t>
      </w:r>
    </w:p>
    <w:p w14:paraId="639B95C0" w14:textId="62CCD318" w:rsidR="004D5B92" w:rsidRDefault="004D5B92" w:rsidP="004D5B92">
      <w:pPr>
        <w:tabs>
          <w:tab w:val="left" w:pos="2775"/>
        </w:tabs>
      </w:pPr>
    </w:p>
    <w:p w14:paraId="66CB3295" w14:textId="2A5E5A51" w:rsidR="004D5B92" w:rsidRDefault="004D5B92" w:rsidP="004D5B92">
      <w:pPr>
        <w:tabs>
          <w:tab w:val="left" w:pos="2775"/>
        </w:tabs>
      </w:pPr>
      <w:r w:rsidRPr="004D5B92">
        <w:rPr>
          <w:noProof/>
          <w:lang w:val="en-GB" w:eastAsia="en-GB"/>
        </w:rPr>
        <w:drawing>
          <wp:inline distT="0" distB="0" distL="0" distR="0" wp14:anchorId="32DDA1AE" wp14:editId="6C190DF7">
            <wp:extent cx="2707287" cy="569595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09630" cy="5700880"/>
                    </a:xfrm>
                    <a:prstGeom prst="rect">
                      <a:avLst/>
                    </a:prstGeom>
                    <a:noFill/>
                    <a:ln>
                      <a:noFill/>
                    </a:ln>
                  </pic:spPr>
                </pic:pic>
              </a:graphicData>
            </a:graphic>
          </wp:inline>
        </w:drawing>
      </w:r>
    </w:p>
    <w:p w14:paraId="00BB9D23" w14:textId="653EF621" w:rsidR="004D5B92" w:rsidRDefault="004D5B92" w:rsidP="004D5B92">
      <w:pPr>
        <w:tabs>
          <w:tab w:val="left" w:pos="2775"/>
        </w:tabs>
      </w:pPr>
    </w:p>
    <w:p w14:paraId="3B7530E0" w14:textId="19E0C689" w:rsidR="004D5B92" w:rsidRDefault="004D5B92" w:rsidP="004D5B92">
      <w:pPr>
        <w:tabs>
          <w:tab w:val="left" w:pos="2775"/>
        </w:tabs>
      </w:pPr>
    </w:p>
    <w:p w14:paraId="5F2D4258" w14:textId="66571C3B" w:rsidR="004D5B92" w:rsidRDefault="004D5B92" w:rsidP="004D5B92">
      <w:pPr>
        <w:tabs>
          <w:tab w:val="left" w:pos="2775"/>
        </w:tabs>
      </w:pPr>
    </w:p>
    <w:p w14:paraId="36E303B6" w14:textId="3E1235C2" w:rsidR="004D5B92" w:rsidRDefault="004D5B92" w:rsidP="004D5B92">
      <w:pPr>
        <w:tabs>
          <w:tab w:val="left" w:pos="2775"/>
        </w:tabs>
      </w:pPr>
    </w:p>
    <w:p w14:paraId="5BA528BE" w14:textId="6A18F5FC" w:rsidR="004D5B92" w:rsidRDefault="004D5B92" w:rsidP="004D5B92">
      <w:pPr>
        <w:tabs>
          <w:tab w:val="left" w:pos="2775"/>
        </w:tabs>
      </w:pPr>
    </w:p>
    <w:p w14:paraId="5AA1B324" w14:textId="61AA0642" w:rsidR="004D5B92" w:rsidRDefault="004D5B92" w:rsidP="004D5B92">
      <w:pPr>
        <w:pStyle w:val="Heading1"/>
      </w:pPr>
      <w:r>
        <w:t>Report to question 3:</w:t>
      </w:r>
    </w:p>
    <w:p w14:paraId="52BF0285" w14:textId="04D07B6A" w:rsidR="004D5B92" w:rsidRDefault="004D5B92" w:rsidP="004D5B92"/>
    <w:p w14:paraId="46441248"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A) Fiscal reports with a common reason provide a significant part of the data required by external clients of accounting. These summaries of the budget are official reports giving data on the budgetary condition of the organization, the inflow and money of money and the consequences of the tasks. Many organizations distribute these messages in annual reports, otherwise called 10-K or 10-Q (quarterly report). The annual report contains the attitudes of the free inspectors regarding the similarity of the budget summaries, as well as data on the organization's exercises, positions and plans. Usually, the best place to open these reports for an open organization may be on their website in the investor relations segment. Fiscal summaries used by external substances are prepared using appropriate accounting rules or GAAP (</w:t>
      </w:r>
      <w:proofErr w:type="spellStart"/>
      <w:r w:rsidRPr="00C313ED">
        <w:rPr>
          <w:rFonts w:ascii="Times New Roman" w:hAnsi="Times New Roman" w:cs="Times New Roman"/>
          <w:sz w:val="24"/>
          <w:szCs w:val="24"/>
          <w:lang w:val="en-GB"/>
        </w:rPr>
        <w:t>Asatiani</w:t>
      </w:r>
      <w:proofErr w:type="spellEnd"/>
      <w:r w:rsidRPr="00C313ED">
        <w:rPr>
          <w:rFonts w:ascii="Times New Roman" w:hAnsi="Times New Roman" w:cs="Times New Roman"/>
          <w:sz w:val="24"/>
          <w:szCs w:val="24"/>
          <w:lang w:val="en-GB"/>
        </w:rPr>
        <w:t xml:space="preserve"> et al., 2019).</w:t>
      </w:r>
    </w:p>
    <w:p w14:paraId="3C7E3CE8"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Commonly called cash accounting, the record of money-related business history for use by external substances is used for some reason. External clients of accounting data fall into six events; everyone has different interests in the organization and needs answers to special inquiries (</w:t>
      </w:r>
      <w:proofErr w:type="spellStart"/>
      <w:r w:rsidRPr="00C313ED">
        <w:rPr>
          <w:rFonts w:ascii="Times New Roman" w:hAnsi="Times New Roman" w:cs="Times New Roman"/>
          <w:sz w:val="24"/>
          <w:szCs w:val="24"/>
          <w:lang w:val="en-GB"/>
        </w:rPr>
        <w:t>Asatiani</w:t>
      </w:r>
      <w:proofErr w:type="spellEnd"/>
      <w:r w:rsidRPr="00C313ED">
        <w:rPr>
          <w:rFonts w:ascii="Times New Roman" w:hAnsi="Times New Roman" w:cs="Times New Roman"/>
          <w:sz w:val="24"/>
          <w:szCs w:val="24"/>
          <w:lang w:val="en-GB"/>
        </w:rPr>
        <w:t xml:space="preserve"> et al., 2019). The meetings and some of their potential inquiries are:</w:t>
      </w:r>
    </w:p>
    <w:p w14:paraId="51F36792"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Owners and future owners. Has the organization earned an acceptable salary from its absolute endeavour? Should an undertaking be undertaken in this organization? Should the current endeavour be expanded, reduced or maintained at a similar level? Can the organization introduce expensive pollution control hardware and still be profitable?</w:t>
      </w:r>
    </w:p>
    <w:p w14:paraId="01D93D56"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Lessors and loan specialists. Should credit be provided to the organization? Will the organization be able to pay its debts when they become due? Manual deposit in Piggy Bank</w:t>
      </w:r>
    </w:p>
    <w:p w14:paraId="0612B1EF"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Workers and their associations. Does the organization have the capacity to pay extended salaries? Is the organization ready to give remote work to its workforce for money?</w:t>
      </w:r>
    </w:p>
    <w:p w14:paraId="1640DF51" w14:textId="77777777" w:rsidR="00C313ED" w:rsidRPr="00C313ED" w:rsidRDefault="00C313ED" w:rsidP="00C313ED">
      <w:pPr>
        <w:rPr>
          <w:rFonts w:ascii="Times New Roman" w:hAnsi="Times New Roman" w:cs="Times New Roman"/>
          <w:sz w:val="24"/>
          <w:szCs w:val="24"/>
          <w:lang w:val="en-GB"/>
        </w:rPr>
      </w:pPr>
    </w:p>
    <w:p w14:paraId="51C3E774"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B) An organization that offers parts of the shares on the open market is an open organization and will have distinctive monetary characteristics that reveal prerequisites than a private company. Owners of open organizations do not adhere to the choice, depending on their inclinations - they must consistently think about the assessments of external business speculators (Bragg, 2018).</w:t>
      </w:r>
    </w:p>
    <w:p w14:paraId="63933135"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Preferred position: greater comparability</w:t>
      </w:r>
    </w:p>
    <w:p w14:paraId="20D39B2B"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Organizations that use such rules to produce their budget summaries may object even more specifically. This is especially important when contrasting organizations located in different nations, as they may in some way use different principles and systems to create their messages. This expansion of equivalence has helped speculators better understand where their risky dollars should go.</w:t>
      </w:r>
    </w:p>
    <w:p w14:paraId="70F47D16"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Severity: Increased costs</w:t>
      </w:r>
    </w:p>
    <w:p w14:paraId="6E6FA53B"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lastRenderedPageBreak/>
        <w:t>A small organization would be affected by the choice of a nation for IFRS, as would a larger one. In any case, private companies do not have the same number of assets at their disposal to update progress and train staff. This leads to smaller organizations acquiring accountants or other external experts to help with the switch. These smaller organizations will carry a greater burden of money than the larger ones around.</w:t>
      </w:r>
    </w:p>
    <w:p w14:paraId="4C22CC88" w14:textId="77777777" w:rsidR="00C313ED" w:rsidRPr="00C313ED" w:rsidRDefault="00C313ED" w:rsidP="00C313ED">
      <w:pPr>
        <w:rPr>
          <w:rFonts w:ascii="Times New Roman" w:hAnsi="Times New Roman" w:cs="Times New Roman"/>
          <w:sz w:val="24"/>
          <w:szCs w:val="24"/>
          <w:lang w:val="en-GB"/>
        </w:rPr>
      </w:pPr>
    </w:p>
    <w:p w14:paraId="6E0D603C"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C) The financial explanation or statement is the official or written-off account that provides data on money-related exercises for business, business status, status and position and many different business elements (Subramanyam, 2014). The budget statements include a) a monetary record b) a proclamation of benefits and misfortunes and c) an articulation of income. These fiscal summaries have several favourable circumstances, as well as some inconveniences. Let's see the limitation of the budget report. Obstacles to fiscal reports are those elements that one should know about beforehand, depending on them to a large extent. Knowledge of these components may lead to a reduction in the investment of assets in a business or activities undertaken for further research.</w:t>
      </w:r>
    </w:p>
    <w:p w14:paraId="1231CE0B"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1. In view of the chronological costs:</w:t>
      </w:r>
    </w:p>
    <w:p w14:paraId="1BBA335F"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Fiscal reports do not disclose the current value of the organization. First, we record exchanges at their expense. The assessment of benefits and liabilities changes after some time.</w:t>
      </w:r>
    </w:p>
    <w:p w14:paraId="51517FE7"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In some cases, things, such as attractive defences, we adjust the amount to coordinate changes in their reasonable estimates, but various things, such as fixed resources, do not change. Therefore, the accounting report can be misleading if we provide a huge part of the amount, which depends on the chronological costs.</w:t>
      </w:r>
    </w:p>
    <w:p w14:paraId="3EA4AA31"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2. In the light of personal judgment:</w:t>
      </w:r>
    </w:p>
    <w:p w14:paraId="4E21FB82"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The assessment of benefits shown in the messages relies on the guidance of the person managing it. For example, the devaluation strategy, the method of amortization of benefits, etc., relies on the individual judgment of the accountant.</w:t>
      </w:r>
    </w:p>
    <w:p w14:paraId="08BA7EAD"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3. Inflationary effects:</w:t>
      </w:r>
    </w:p>
    <w:p w14:paraId="759A5B28"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In the event that the circumstance of swelling of the percentage is moderately high, the measurement of the advantages and liabilities to be resolved will appear unnecessarily low, as we cannot change it for expansion. This usually applies to long-distance resources.</w:t>
      </w:r>
    </w:p>
    <w:p w14:paraId="3DA80318" w14:textId="77777777" w:rsidR="00C313ED" w:rsidRPr="00C313ED" w:rsidRDefault="00C313ED" w:rsidP="00C313ED">
      <w:pPr>
        <w:rPr>
          <w:rFonts w:ascii="Times New Roman" w:hAnsi="Times New Roman" w:cs="Times New Roman"/>
          <w:sz w:val="24"/>
          <w:szCs w:val="24"/>
          <w:lang w:val="en-GB"/>
        </w:rPr>
      </w:pPr>
    </w:p>
    <w:p w14:paraId="718B8968" w14:textId="77777777" w:rsidR="00C313ED" w:rsidRPr="00C313ED" w:rsidRDefault="00C313ED" w:rsidP="00C313ED">
      <w:pPr>
        <w:rPr>
          <w:rFonts w:ascii="Times New Roman" w:hAnsi="Times New Roman" w:cs="Times New Roman"/>
          <w:sz w:val="24"/>
          <w:szCs w:val="24"/>
          <w:lang w:val="en-GB"/>
        </w:rPr>
      </w:pPr>
    </w:p>
    <w:p w14:paraId="112344E2" w14:textId="77777777" w:rsidR="00C313ED" w:rsidRPr="00C313ED" w:rsidRDefault="00C313ED" w:rsidP="00C313ED">
      <w:pPr>
        <w:rPr>
          <w:rFonts w:ascii="Times New Roman" w:hAnsi="Times New Roman" w:cs="Times New Roman"/>
          <w:sz w:val="24"/>
          <w:szCs w:val="24"/>
          <w:lang w:val="en-GB"/>
        </w:rPr>
      </w:pPr>
    </w:p>
    <w:p w14:paraId="11164D5F" w14:textId="77777777" w:rsidR="00C313ED" w:rsidRPr="00C313ED" w:rsidRDefault="00C313ED" w:rsidP="00C313ED">
      <w:pPr>
        <w:rPr>
          <w:rFonts w:ascii="Times New Roman" w:hAnsi="Times New Roman" w:cs="Times New Roman"/>
          <w:sz w:val="24"/>
          <w:szCs w:val="24"/>
          <w:lang w:val="en-GB"/>
        </w:rPr>
      </w:pPr>
    </w:p>
    <w:p w14:paraId="1FA302FD" w14:textId="77777777" w:rsidR="00C313ED" w:rsidRPr="00C313ED" w:rsidRDefault="00C313ED" w:rsidP="00C313ED">
      <w:pPr>
        <w:rPr>
          <w:rFonts w:ascii="Times New Roman" w:hAnsi="Times New Roman" w:cs="Times New Roman"/>
          <w:sz w:val="24"/>
          <w:szCs w:val="24"/>
          <w:lang w:val="en-GB"/>
        </w:rPr>
      </w:pPr>
    </w:p>
    <w:p w14:paraId="4BB676B5" w14:textId="77777777" w:rsidR="00C313ED" w:rsidRPr="00C313ED" w:rsidRDefault="00C313ED" w:rsidP="00C313ED">
      <w:pPr>
        <w:rPr>
          <w:rFonts w:ascii="Times New Roman" w:hAnsi="Times New Roman" w:cs="Times New Roman"/>
          <w:sz w:val="24"/>
          <w:szCs w:val="24"/>
          <w:lang w:val="en-GB"/>
        </w:rPr>
      </w:pPr>
    </w:p>
    <w:p w14:paraId="04DD4A5C" w14:textId="77777777" w:rsidR="00C313ED" w:rsidRPr="00C313ED" w:rsidRDefault="00C313ED" w:rsidP="00C313ED">
      <w:pPr>
        <w:rPr>
          <w:rFonts w:ascii="Times New Roman" w:hAnsi="Times New Roman" w:cs="Times New Roman"/>
          <w:b/>
          <w:bCs/>
          <w:sz w:val="24"/>
          <w:szCs w:val="24"/>
          <w:lang w:val="en-GB"/>
        </w:rPr>
      </w:pPr>
    </w:p>
    <w:p w14:paraId="4B9CD7F3" w14:textId="77777777" w:rsidR="00C313ED" w:rsidRPr="00C313ED" w:rsidRDefault="00C313ED" w:rsidP="00C313ED">
      <w:pPr>
        <w:rPr>
          <w:rFonts w:ascii="Times New Roman" w:hAnsi="Times New Roman" w:cs="Times New Roman"/>
          <w:b/>
          <w:bCs/>
          <w:sz w:val="24"/>
          <w:szCs w:val="24"/>
          <w:lang w:val="en-GB"/>
        </w:rPr>
      </w:pPr>
    </w:p>
    <w:p w14:paraId="31F4CC94" w14:textId="387A6C63" w:rsidR="00C313ED" w:rsidRPr="00C313ED" w:rsidRDefault="00C313ED" w:rsidP="00C313ED">
      <w:pPr>
        <w:rPr>
          <w:rFonts w:ascii="Times New Roman" w:hAnsi="Times New Roman" w:cs="Times New Roman"/>
          <w:b/>
          <w:bCs/>
          <w:sz w:val="24"/>
          <w:szCs w:val="24"/>
          <w:lang w:val="en-GB"/>
        </w:rPr>
      </w:pPr>
      <w:r w:rsidRPr="00C313ED">
        <w:rPr>
          <w:rFonts w:ascii="Times New Roman" w:hAnsi="Times New Roman" w:cs="Times New Roman"/>
          <w:b/>
          <w:bCs/>
          <w:sz w:val="24"/>
          <w:szCs w:val="24"/>
          <w:lang w:val="en-GB"/>
        </w:rPr>
        <w:t>Reference List</w:t>
      </w:r>
    </w:p>
    <w:p w14:paraId="175926E8" w14:textId="77777777" w:rsidR="00C313ED" w:rsidRPr="00C313ED" w:rsidRDefault="00C313ED" w:rsidP="00C313ED">
      <w:pPr>
        <w:rPr>
          <w:rFonts w:ascii="Times New Roman" w:hAnsi="Times New Roman" w:cs="Times New Roman"/>
          <w:sz w:val="24"/>
          <w:szCs w:val="24"/>
          <w:lang w:val="en-GB"/>
        </w:rPr>
      </w:pPr>
      <w:proofErr w:type="spellStart"/>
      <w:r w:rsidRPr="00C313ED">
        <w:rPr>
          <w:rFonts w:ascii="Times New Roman" w:hAnsi="Times New Roman" w:cs="Times New Roman"/>
          <w:sz w:val="24"/>
          <w:szCs w:val="24"/>
          <w:lang w:val="en-GB"/>
        </w:rPr>
        <w:t>Asatiani</w:t>
      </w:r>
      <w:proofErr w:type="spellEnd"/>
      <w:r w:rsidRPr="00C313ED">
        <w:rPr>
          <w:rFonts w:ascii="Times New Roman" w:hAnsi="Times New Roman" w:cs="Times New Roman"/>
          <w:sz w:val="24"/>
          <w:szCs w:val="24"/>
          <w:lang w:val="en-GB"/>
        </w:rPr>
        <w:t xml:space="preserve">, A., </w:t>
      </w:r>
      <w:proofErr w:type="spellStart"/>
      <w:r w:rsidRPr="00C313ED">
        <w:rPr>
          <w:rFonts w:ascii="Times New Roman" w:hAnsi="Times New Roman" w:cs="Times New Roman"/>
          <w:sz w:val="24"/>
          <w:szCs w:val="24"/>
          <w:lang w:val="en-GB"/>
        </w:rPr>
        <w:t>Apte</w:t>
      </w:r>
      <w:proofErr w:type="spellEnd"/>
      <w:r w:rsidRPr="00C313ED">
        <w:rPr>
          <w:rFonts w:ascii="Times New Roman" w:hAnsi="Times New Roman" w:cs="Times New Roman"/>
          <w:sz w:val="24"/>
          <w:szCs w:val="24"/>
          <w:lang w:val="en-GB"/>
        </w:rPr>
        <w:t xml:space="preserve">, U., </w:t>
      </w:r>
      <w:proofErr w:type="spellStart"/>
      <w:r w:rsidRPr="00C313ED">
        <w:rPr>
          <w:rFonts w:ascii="Times New Roman" w:hAnsi="Times New Roman" w:cs="Times New Roman"/>
          <w:sz w:val="24"/>
          <w:szCs w:val="24"/>
          <w:lang w:val="en-GB"/>
        </w:rPr>
        <w:t>Penttinen</w:t>
      </w:r>
      <w:proofErr w:type="spellEnd"/>
      <w:r w:rsidRPr="00C313ED">
        <w:rPr>
          <w:rFonts w:ascii="Times New Roman" w:hAnsi="Times New Roman" w:cs="Times New Roman"/>
          <w:sz w:val="24"/>
          <w:szCs w:val="24"/>
          <w:lang w:val="en-GB"/>
        </w:rPr>
        <w:t xml:space="preserve">, E., </w:t>
      </w:r>
      <w:proofErr w:type="spellStart"/>
      <w:r w:rsidRPr="00C313ED">
        <w:rPr>
          <w:rFonts w:ascii="Times New Roman" w:hAnsi="Times New Roman" w:cs="Times New Roman"/>
          <w:sz w:val="24"/>
          <w:szCs w:val="24"/>
          <w:lang w:val="en-GB"/>
        </w:rPr>
        <w:t>Rönkkö</w:t>
      </w:r>
      <w:proofErr w:type="spellEnd"/>
      <w:r w:rsidRPr="00C313ED">
        <w:rPr>
          <w:rFonts w:ascii="Times New Roman" w:hAnsi="Times New Roman" w:cs="Times New Roman"/>
          <w:sz w:val="24"/>
          <w:szCs w:val="24"/>
          <w:lang w:val="en-GB"/>
        </w:rPr>
        <w:t xml:space="preserve">, M. and Saarinen, T. (2019). Impact of accounting process characteristics on accounting outsourcing - Comparison of users and non-users of cloud-based accounting information systems. </w:t>
      </w:r>
      <w:r w:rsidRPr="00C313ED">
        <w:rPr>
          <w:rFonts w:ascii="Times New Roman" w:hAnsi="Times New Roman" w:cs="Times New Roman"/>
          <w:i/>
          <w:iCs/>
          <w:sz w:val="24"/>
          <w:szCs w:val="24"/>
          <w:lang w:val="en-GB"/>
        </w:rPr>
        <w:t>International Journal of Accounting Information Systems</w:t>
      </w:r>
      <w:r w:rsidRPr="00C313ED">
        <w:rPr>
          <w:rFonts w:ascii="Times New Roman" w:hAnsi="Times New Roman" w:cs="Times New Roman"/>
          <w:sz w:val="24"/>
          <w:szCs w:val="24"/>
          <w:lang w:val="en-GB"/>
        </w:rPr>
        <w:t>, 34, p.100419.</w:t>
      </w:r>
    </w:p>
    <w:p w14:paraId="52363D4A" w14:textId="77777777" w:rsidR="00C313ED" w:rsidRPr="00C313ED" w:rsidRDefault="00C313ED" w:rsidP="00C313ED">
      <w:pPr>
        <w:rPr>
          <w:rFonts w:ascii="Times New Roman" w:hAnsi="Times New Roman" w:cs="Times New Roman"/>
          <w:sz w:val="24"/>
          <w:szCs w:val="24"/>
          <w:lang w:val="en-GB"/>
        </w:rPr>
      </w:pPr>
      <w:r w:rsidRPr="00C313ED">
        <w:rPr>
          <w:rFonts w:ascii="Times New Roman" w:hAnsi="Times New Roman" w:cs="Times New Roman"/>
          <w:sz w:val="24"/>
          <w:szCs w:val="24"/>
          <w:lang w:val="en-GB"/>
        </w:rPr>
        <w:t xml:space="preserve">Bragg, S. (2018). </w:t>
      </w:r>
      <w:proofErr w:type="spellStart"/>
      <w:r w:rsidRPr="00C313ED">
        <w:rPr>
          <w:rFonts w:ascii="Times New Roman" w:hAnsi="Times New Roman" w:cs="Times New Roman"/>
          <w:i/>
          <w:iCs/>
          <w:sz w:val="24"/>
          <w:szCs w:val="24"/>
          <w:lang w:val="en-GB"/>
        </w:rPr>
        <w:t>AccountingTools</w:t>
      </w:r>
      <w:proofErr w:type="spellEnd"/>
      <w:r w:rsidRPr="00C313ED">
        <w:rPr>
          <w:rFonts w:ascii="Times New Roman" w:hAnsi="Times New Roman" w:cs="Times New Roman"/>
          <w:sz w:val="24"/>
          <w:szCs w:val="24"/>
          <w:lang w:val="en-GB"/>
        </w:rPr>
        <w:t xml:space="preserve">. [online] </w:t>
      </w:r>
      <w:proofErr w:type="spellStart"/>
      <w:r w:rsidRPr="00C313ED">
        <w:rPr>
          <w:rFonts w:ascii="Times New Roman" w:hAnsi="Times New Roman" w:cs="Times New Roman"/>
          <w:sz w:val="24"/>
          <w:szCs w:val="24"/>
          <w:lang w:val="en-GB"/>
        </w:rPr>
        <w:t>AccountingTools</w:t>
      </w:r>
      <w:proofErr w:type="spellEnd"/>
      <w:r w:rsidRPr="00C313ED">
        <w:rPr>
          <w:rFonts w:ascii="Times New Roman" w:hAnsi="Times New Roman" w:cs="Times New Roman"/>
          <w:sz w:val="24"/>
          <w:szCs w:val="24"/>
          <w:lang w:val="en-GB"/>
        </w:rPr>
        <w:t xml:space="preserve">. Available at: </w:t>
      </w:r>
      <w:hyperlink r:id="rId6" w:history="1">
        <w:r w:rsidRPr="00C313ED">
          <w:rPr>
            <w:rStyle w:val="Hyperlink"/>
            <w:rFonts w:ascii="Times New Roman" w:hAnsi="Times New Roman" w:cs="Times New Roman"/>
            <w:sz w:val="24"/>
            <w:szCs w:val="24"/>
            <w:lang w:val="en-GB"/>
          </w:rPr>
          <w:t>https://www.accountingtools.com/articles/limitations-of-financial-statements.html</w:t>
        </w:r>
      </w:hyperlink>
      <w:r w:rsidRPr="00C313ED">
        <w:rPr>
          <w:rFonts w:ascii="Times New Roman" w:hAnsi="Times New Roman" w:cs="Times New Roman"/>
          <w:sz w:val="24"/>
          <w:szCs w:val="24"/>
          <w:lang w:val="en-GB"/>
        </w:rPr>
        <w:t>. [Accessed: 25/08/2020].</w:t>
      </w:r>
    </w:p>
    <w:p w14:paraId="05DA23C4" w14:textId="77777777" w:rsidR="00C313ED" w:rsidRPr="00C313ED" w:rsidRDefault="00C313ED" w:rsidP="00C313ED">
      <w:pPr>
        <w:rPr>
          <w:rFonts w:ascii="Times New Roman" w:hAnsi="Times New Roman" w:cs="Times New Roman"/>
          <w:sz w:val="24"/>
          <w:szCs w:val="24"/>
          <w:lang w:val="en-GB"/>
        </w:rPr>
      </w:pPr>
      <w:bookmarkStart w:id="0" w:name="_Hlk49627341"/>
      <w:r w:rsidRPr="00C313ED">
        <w:rPr>
          <w:rFonts w:ascii="Times New Roman" w:hAnsi="Times New Roman" w:cs="Times New Roman"/>
          <w:sz w:val="24"/>
          <w:szCs w:val="24"/>
          <w:lang w:val="en-GB"/>
        </w:rPr>
        <w:t>Subramanyam, K.R. (2014)</w:t>
      </w:r>
      <w:bookmarkEnd w:id="0"/>
      <w:r w:rsidRPr="00C313ED">
        <w:rPr>
          <w:rFonts w:ascii="Times New Roman" w:hAnsi="Times New Roman" w:cs="Times New Roman"/>
          <w:sz w:val="24"/>
          <w:szCs w:val="24"/>
          <w:lang w:val="en-GB"/>
        </w:rPr>
        <w:t xml:space="preserve">. </w:t>
      </w:r>
      <w:r w:rsidRPr="00C313ED">
        <w:rPr>
          <w:rFonts w:ascii="Times New Roman" w:hAnsi="Times New Roman" w:cs="Times New Roman"/>
          <w:i/>
          <w:iCs/>
          <w:sz w:val="24"/>
          <w:szCs w:val="24"/>
          <w:lang w:val="en-GB"/>
        </w:rPr>
        <w:t>Financial statement analysis</w:t>
      </w:r>
      <w:r w:rsidRPr="00C313ED">
        <w:rPr>
          <w:rFonts w:ascii="Times New Roman" w:hAnsi="Times New Roman" w:cs="Times New Roman"/>
          <w:sz w:val="24"/>
          <w:szCs w:val="24"/>
          <w:lang w:val="en-GB"/>
        </w:rPr>
        <w:t xml:space="preserve">. New York, Ny: </w:t>
      </w:r>
      <w:proofErr w:type="spellStart"/>
      <w:r w:rsidRPr="00C313ED">
        <w:rPr>
          <w:rFonts w:ascii="Times New Roman" w:hAnsi="Times New Roman" w:cs="Times New Roman"/>
          <w:sz w:val="24"/>
          <w:szCs w:val="24"/>
          <w:lang w:val="en-GB"/>
        </w:rPr>
        <w:t>Mcgraw-Hill</w:t>
      </w:r>
      <w:proofErr w:type="spellEnd"/>
      <w:r w:rsidRPr="00C313ED">
        <w:rPr>
          <w:rFonts w:ascii="Times New Roman" w:hAnsi="Times New Roman" w:cs="Times New Roman"/>
          <w:sz w:val="24"/>
          <w:szCs w:val="24"/>
          <w:lang w:val="en-GB"/>
        </w:rPr>
        <w:t>.</w:t>
      </w:r>
    </w:p>
    <w:p w14:paraId="1C9ACE8D" w14:textId="77777777" w:rsidR="00C313ED" w:rsidRPr="00C313ED" w:rsidRDefault="00C313ED" w:rsidP="00C313ED">
      <w:pPr>
        <w:rPr>
          <w:lang w:val="en-GB"/>
        </w:rPr>
      </w:pPr>
    </w:p>
    <w:p w14:paraId="4D1B55D8" w14:textId="77777777" w:rsidR="004D5B92" w:rsidRPr="004D5B92" w:rsidRDefault="004D5B92" w:rsidP="004D5B92"/>
    <w:p w14:paraId="1A77FAC3" w14:textId="07DBCCDB" w:rsidR="004D5B92" w:rsidRDefault="004D5B92" w:rsidP="004D5B92">
      <w:pPr>
        <w:tabs>
          <w:tab w:val="left" w:pos="2775"/>
        </w:tabs>
      </w:pPr>
    </w:p>
    <w:p w14:paraId="164EA203" w14:textId="77777777" w:rsidR="004D5B92" w:rsidRPr="004D5B92" w:rsidRDefault="004D5B92" w:rsidP="004D5B92">
      <w:pPr>
        <w:tabs>
          <w:tab w:val="left" w:pos="2775"/>
        </w:tabs>
      </w:pPr>
    </w:p>
    <w:sectPr w:rsidR="004D5B92" w:rsidRPr="004D5B92">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4B5DD5"/>
    <w:multiLevelType w:val="hybridMultilevel"/>
    <w:tmpl w:val="41F48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402"/>
    <w:rsid w:val="002631D5"/>
    <w:rsid w:val="004D5B92"/>
    <w:rsid w:val="00797402"/>
    <w:rsid w:val="00991BCD"/>
    <w:rsid w:val="00B855D6"/>
    <w:rsid w:val="00C313ED"/>
    <w:rsid w:val="00C77BD5"/>
    <w:rsid w:val="00CD5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0C392"/>
  <w15:chartTrackingRefBased/>
  <w15:docId w15:val="{99E3EF81-6422-425B-81BE-BD9775781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B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C77BD5"/>
    <w:rPr>
      <w:b/>
      <w:bCs/>
      <w:smallCaps/>
      <w:color w:val="4472C4" w:themeColor="accent1"/>
      <w:spacing w:val="5"/>
    </w:rPr>
  </w:style>
  <w:style w:type="paragraph" w:styleId="ListParagraph">
    <w:name w:val="List Paragraph"/>
    <w:basedOn w:val="Normal"/>
    <w:uiPriority w:val="34"/>
    <w:qFormat/>
    <w:rsid w:val="002631D5"/>
    <w:pPr>
      <w:ind w:left="720"/>
      <w:contextualSpacing/>
    </w:pPr>
  </w:style>
  <w:style w:type="table" w:styleId="TableGrid">
    <w:name w:val="Table Grid"/>
    <w:basedOn w:val="TableNormal"/>
    <w:uiPriority w:val="39"/>
    <w:rsid w:val="004D5B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D5B9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313ED"/>
    <w:rPr>
      <w:color w:val="0563C1" w:themeColor="hyperlink"/>
      <w:u w:val="single"/>
    </w:rPr>
  </w:style>
  <w:style w:type="character" w:customStyle="1" w:styleId="UnresolvedMention1">
    <w:name w:val="Unresolved Mention1"/>
    <w:basedOn w:val="DefaultParagraphFont"/>
    <w:uiPriority w:val="99"/>
    <w:semiHidden/>
    <w:unhideWhenUsed/>
    <w:rsid w:val="00C313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140376">
      <w:bodyDiv w:val="1"/>
      <w:marLeft w:val="0"/>
      <w:marRight w:val="0"/>
      <w:marTop w:val="0"/>
      <w:marBottom w:val="0"/>
      <w:divBdr>
        <w:top w:val="none" w:sz="0" w:space="0" w:color="auto"/>
        <w:left w:val="none" w:sz="0" w:space="0" w:color="auto"/>
        <w:bottom w:val="none" w:sz="0" w:space="0" w:color="auto"/>
        <w:right w:val="none" w:sz="0" w:space="0" w:color="auto"/>
      </w:divBdr>
    </w:div>
    <w:div w:id="457991978">
      <w:bodyDiv w:val="1"/>
      <w:marLeft w:val="0"/>
      <w:marRight w:val="0"/>
      <w:marTop w:val="0"/>
      <w:marBottom w:val="0"/>
      <w:divBdr>
        <w:top w:val="none" w:sz="0" w:space="0" w:color="auto"/>
        <w:left w:val="none" w:sz="0" w:space="0" w:color="auto"/>
        <w:bottom w:val="none" w:sz="0" w:space="0" w:color="auto"/>
        <w:right w:val="none" w:sz="0" w:space="0" w:color="auto"/>
      </w:divBdr>
    </w:div>
    <w:div w:id="654723225">
      <w:bodyDiv w:val="1"/>
      <w:marLeft w:val="0"/>
      <w:marRight w:val="0"/>
      <w:marTop w:val="0"/>
      <w:marBottom w:val="0"/>
      <w:divBdr>
        <w:top w:val="none" w:sz="0" w:space="0" w:color="auto"/>
        <w:left w:val="none" w:sz="0" w:space="0" w:color="auto"/>
        <w:bottom w:val="none" w:sz="0" w:space="0" w:color="auto"/>
        <w:right w:val="none" w:sz="0" w:space="0" w:color="auto"/>
      </w:divBdr>
    </w:div>
    <w:div w:id="1013528819">
      <w:bodyDiv w:val="1"/>
      <w:marLeft w:val="0"/>
      <w:marRight w:val="0"/>
      <w:marTop w:val="0"/>
      <w:marBottom w:val="0"/>
      <w:divBdr>
        <w:top w:val="none" w:sz="0" w:space="0" w:color="auto"/>
        <w:left w:val="none" w:sz="0" w:space="0" w:color="auto"/>
        <w:bottom w:val="none" w:sz="0" w:space="0" w:color="auto"/>
        <w:right w:val="none" w:sz="0" w:space="0" w:color="auto"/>
      </w:divBdr>
    </w:div>
    <w:div w:id="203627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countingtools.com/articles/limitations-of-financial-statements.html"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1018</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X1 Carbon G2</dc:creator>
  <cp:keywords/>
  <dc:description/>
  <cp:lastModifiedBy>Manju Sivas</cp:lastModifiedBy>
  <cp:revision>2</cp:revision>
  <dcterms:created xsi:type="dcterms:W3CDTF">2020-09-06T10:34:00Z</dcterms:created>
  <dcterms:modified xsi:type="dcterms:W3CDTF">2020-09-06T10:34:00Z</dcterms:modified>
</cp:coreProperties>
</file>