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38A5" w:rsidRDefault="0070132C" w:rsidP="0070132C">
      <w:pPr>
        <w:jc w:val="center"/>
        <w:rPr>
          <w:b/>
        </w:rPr>
      </w:pPr>
      <w:r w:rsidRPr="008E39D1">
        <w:rPr>
          <w:b/>
        </w:rPr>
        <w:t>Environmental Criticism</w:t>
      </w:r>
      <w:r w:rsidR="008938A5">
        <w:rPr>
          <w:b/>
        </w:rPr>
        <w:t xml:space="preserve"> </w:t>
      </w:r>
    </w:p>
    <w:p w:rsidR="0070132C" w:rsidRPr="008E39D1" w:rsidRDefault="008938A5" w:rsidP="0070132C">
      <w:pPr>
        <w:jc w:val="center"/>
        <w:rPr>
          <w:b/>
        </w:rPr>
      </w:pPr>
      <w:r>
        <w:rPr>
          <w:b/>
        </w:rPr>
        <w:t xml:space="preserve">Margaret Atwood’s </w:t>
      </w:r>
      <w:r w:rsidRPr="008938A5">
        <w:rPr>
          <w:b/>
          <w:i/>
        </w:rPr>
        <w:t>Oryx and Crake</w:t>
      </w:r>
      <w:r>
        <w:rPr>
          <w:b/>
        </w:rPr>
        <w:t xml:space="preserve"> (2004) and </w:t>
      </w:r>
      <w:r w:rsidRPr="008938A5">
        <w:rPr>
          <w:b/>
          <w:i/>
        </w:rPr>
        <w:t>The Year of the Flood</w:t>
      </w:r>
      <w:r>
        <w:rPr>
          <w:b/>
        </w:rPr>
        <w:t xml:space="preserve"> (2009)</w:t>
      </w:r>
    </w:p>
    <w:p w:rsidR="00F73763" w:rsidRPr="00BA5142" w:rsidRDefault="00F73763" w:rsidP="00F73213">
      <w:pPr>
        <w:rPr>
          <w:sz w:val="16"/>
        </w:rPr>
      </w:pPr>
    </w:p>
    <w:p w:rsidR="00F73763" w:rsidRDefault="008938A5" w:rsidP="008938A5">
      <w:pPr>
        <w:spacing w:line="240" w:lineRule="auto"/>
        <w:jc w:val="left"/>
      </w:pPr>
      <w:r w:rsidRPr="008938A5">
        <w:t xml:space="preserve">‘Monkey brains, had been Crake’s opinion. Monkey paws, monkey curiosity, the desire to take apart, turn inside out, smell, fondle, measure, improve, trash, discard – all hooked up to monkey brains, </w:t>
      </w:r>
      <w:r w:rsidR="00FB2F93">
        <w:t>...</w:t>
      </w:r>
      <w:r w:rsidRPr="008938A5">
        <w:t>. Crake had no very high opinion of human ingenuity, despite the large amount of it he himself possessed.’ (</w:t>
      </w:r>
      <w:r>
        <w:t xml:space="preserve">Atwood, </w:t>
      </w:r>
      <w:r w:rsidRPr="008938A5">
        <w:t>OC, 114)</w:t>
      </w:r>
    </w:p>
    <w:p w:rsidR="008938A5" w:rsidRPr="008938A5" w:rsidRDefault="008938A5" w:rsidP="008938A5">
      <w:pPr>
        <w:spacing w:line="240" w:lineRule="auto"/>
        <w:jc w:val="left"/>
        <w:rPr>
          <w:sz w:val="16"/>
          <w:lang w:val="en-US"/>
        </w:rPr>
      </w:pPr>
    </w:p>
    <w:p w:rsidR="008938A5" w:rsidRPr="008938A5" w:rsidRDefault="008938A5" w:rsidP="008938A5">
      <w:pPr>
        <w:spacing w:line="240" w:lineRule="auto"/>
        <w:jc w:val="left"/>
      </w:pPr>
      <w:r w:rsidRPr="008938A5">
        <w:rPr>
          <w:lang w:val="en-US"/>
        </w:rPr>
        <w:t>‘Both novels thus point to the paradox implicit in the ecological imperative, a kind of performative contradiction which becomes obvious as soon as it is slightly reformulated: humans ought to behave like a part of nature because they</w:t>
      </w:r>
      <w:r w:rsidRPr="008938A5">
        <w:rPr>
          <w:i/>
          <w:iCs/>
          <w:lang w:val="en-US"/>
        </w:rPr>
        <w:t xml:space="preserve"> are </w:t>
      </w:r>
      <w:r w:rsidRPr="008938A5">
        <w:rPr>
          <w:lang w:val="en-US"/>
        </w:rPr>
        <w:t xml:space="preserve">a part of nature.’ </w:t>
      </w:r>
      <w:r w:rsidRPr="008938A5">
        <w:rPr>
          <w:lang w:val="en-US"/>
        </w:rPr>
        <w:tab/>
        <w:t xml:space="preserve"> </w:t>
      </w:r>
    </w:p>
    <w:p w:rsidR="008938A5" w:rsidRPr="008938A5" w:rsidRDefault="008938A5" w:rsidP="008938A5">
      <w:pPr>
        <w:spacing w:line="240" w:lineRule="auto"/>
        <w:jc w:val="left"/>
        <w:rPr>
          <w:sz w:val="8"/>
          <w:lang w:val="en-US"/>
        </w:rPr>
      </w:pPr>
    </w:p>
    <w:p w:rsidR="008938A5" w:rsidRPr="00BA5142" w:rsidRDefault="008938A5" w:rsidP="008938A5">
      <w:pPr>
        <w:spacing w:line="240" w:lineRule="auto"/>
        <w:jc w:val="left"/>
      </w:pPr>
      <w:r w:rsidRPr="00BA5142">
        <w:rPr>
          <w:lang w:val="en-US"/>
        </w:rPr>
        <w:t>(</w:t>
      </w:r>
      <w:r w:rsidR="00BA5142">
        <w:rPr>
          <w:lang w:val="en-US"/>
        </w:rPr>
        <w:t>Bergthaller, H. (2010),</w:t>
      </w:r>
      <w:r w:rsidRPr="00BA5142">
        <w:rPr>
          <w:lang w:val="en-US"/>
        </w:rPr>
        <w:t xml:space="preserve"> Housebreaking the Human Animal: Humanism and the problem of sustainability in Margaret Atwood's Oryx and Crake and The Year of the Flood. </w:t>
      </w:r>
      <w:r w:rsidRPr="00BA5142">
        <w:rPr>
          <w:i/>
          <w:iCs/>
          <w:lang w:val="en-US"/>
        </w:rPr>
        <w:t xml:space="preserve">English </w:t>
      </w:r>
      <w:proofErr w:type="gramStart"/>
      <w:r w:rsidRPr="00BA5142">
        <w:rPr>
          <w:i/>
          <w:iCs/>
          <w:lang w:val="en-US"/>
        </w:rPr>
        <w:t>Studies</w:t>
      </w:r>
      <w:r w:rsidRPr="00BA5142">
        <w:rPr>
          <w:lang w:val="en-US"/>
        </w:rPr>
        <w:t xml:space="preserve"> </w:t>
      </w:r>
      <w:r w:rsidRPr="00BA5142">
        <w:rPr>
          <w:i/>
          <w:iCs/>
          <w:lang w:val="en-US"/>
        </w:rPr>
        <w:t>,</w:t>
      </w:r>
      <w:proofErr w:type="gramEnd"/>
      <w:r w:rsidRPr="00BA5142">
        <w:rPr>
          <w:i/>
          <w:iCs/>
          <w:lang w:val="en-US"/>
        </w:rPr>
        <w:t xml:space="preserve"> 91</w:t>
      </w:r>
      <w:r w:rsidRPr="00BA5142">
        <w:rPr>
          <w:lang w:val="en-US"/>
        </w:rPr>
        <w:t xml:space="preserve"> (7), 728-743.</w:t>
      </w:r>
    </w:p>
    <w:p w:rsidR="008938A5" w:rsidRPr="00BA5142" w:rsidRDefault="008938A5" w:rsidP="00FB2F93">
      <w:pPr>
        <w:spacing w:line="240" w:lineRule="auto"/>
        <w:jc w:val="left"/>
        <w:rPr>
          <w:sz w:val="22"/>
        </w:rPr>
      </w:pPr>
    </w:p>
    <w:p w:rsidR="00E9747E" w:rsidRDefault="00E9747E" w:rsidP="00BA5142">
      <w:pPr>
        <w:spacing w:line="240" w:lineRule="auto"/>
      </w:pPr>
      <w:r>
        <w:t xml:space="preserve">1949 </w:t>
      </w:r>
      <w:r>
        <w:tab/>
      </w:r>
      <w:r w:rsidR="00DA3FDA">
        <w:t xml:space="preserve">Aldo </w:t>
      </w:r>
      <w:proofErr w:type="spellStart"/>
      <w:r w:rsidR="00DA3FDA">
        <w:t>Leopald</w:t>
      </w:r>
      <w:proofErr w:type="spellEnd"/>
      <w:r>
        <w:t>,</w:t>
      </w:r>
      <w:r w:rsidR="00DA3FDA">
        <w:t xml:space="preserve"> </w:t>
      </w:r>
      <w:r w:rsidRPr="00E9747E">
        <w:rPr>
          <w:i/>
        </w:rPr>
        <w:t xml:space="preserve">A </w:t>
      </w:r>
      <w:r w:rsidR="00DA3FDA" w:rsidRPr="00E9747E">
        <w:rPr>
          <w:i/>
        </w:rPr>
        <w:t>Sand County Almanac</w:t>
      </w:r>
      <w:r w:rsidR="00DA3FDA">
        <w:t xml:space="preserve"> </w:t>
      </w:r>
      <w:r w:rsidR="00F94C85">
        <w:t>‘</w:t>
      </w:r>
      <w:r>
        <w:t>Thinking like a mountain</w:t>
      </w:r>
      <w:r w:rsidR="00F94C85">
        <w:t>’</w:t>
      </w:r>
    </w:p>
    <w:p w:rsidR="009B3ED5" w:rsidRDefault="00E9747E">
      <w:r>
        <w:t xml:space="preserve">1962 </w:t>
      </w:r>
      <w:r>
        <w:tab/>
      </w:r>
      <w:r w:rsidR="00DA3FDA">
        <w:t>Rachel Carlson</w:t>
      </w:r>
      <w:r>
        <w:t>,</w:t>
      </w:r>
      <w:r w:rsidR="00DA3FDA">
        <w:t xml:space="preserve"> </w:t>
      </w:r>
      <w:r w:rsidR="00DA3FDA" w:rsidRPr="00E9747E">
        <w:rPr>
          <w:i/>
        </w:rPr>
        <w:t>Silent Spring</w:t>
      </w:r>
      <w:r w:rsidR="00DA3FDA">
        <w:t xml:space="preserve"> </w:t>
      </w:r>
    </w:p>
    <w:p w:rsidR="0070132C" w:rsidRDefault="006C7BA6" w:rsidP="00FB2F93">
      <w:pPr>
        <w:spacing w:line="240" w:lineRule="auto"/>
      </w:pPr>
      <w:r>
        <w:t>‘There was once a town in the heart of America where all life seemed to live in harmony with its surroundings’</w:t>
      </w:r>
      <w:r w:rsidR="00F94C85">
        <w:t xml:space="preserve"> ....</w:t>
      </w:r>
      <w:r>
        <w:t xml:space="preserve"> </w:t>
      </w:r>
      <w:r w:rsidR="00F94C85">
        <w:t>‘Then a strange blight crept over the area and everything began to change’ (1999, p 21)</w:t>
      </w:r>
    </w:p>
    <w:p w:rsidR="0070132C" w:rsidRPr="0070132C" w:rsidRDefault="0070132C" w:rsidP="0070132C">
      <w:pPr>
        <w:spacing w:line="240" w:lineRule="auto"/>
        <w:rPr>
          <w:sz w:val="6"/>
        </w:rPr>
      </w:pPr>
    </w:p>
    <w:p w:rsidR="00D63DA8" w:rsidRDefault="00D63DA8">
      <w:r>
        <w:t xml:space="preserve">1969 </w:t>
      </w:r>
      <w:r>
        <w:tab/>
      </w:r>
      <w:r w:rsidR="008E39D1">
        <w:t>Margaret Atwood (</w:t>
      </w:r>
      <w:r>
        <w:t>MA</w:t>
      </w:r>
      <w:r w:rsidR="008E39D1">
        <w:t>)</w:t>
      </w:r>
      <w:r>
        <w:t xml:space="preserve"> </w:t>
      </w:r>
      <w:r w:rsidRPr="00D63DA8">
        <w:rPr>
          <w:i/>
        </w:rPr>
        <w:t>The Edible Woman</w:t>
      </w:r>
      <w:r>
        <w:t xml:space="preserve"> </w:t>
      </w:r>
    </w:p>
    <w:p w:rsidR="00AE412F" w:rsidRDefault="00AE412F">
      <w:r w:rsidRPr="00AE412F">
        <w:t>1972</w:t>
      </w:r>
      <w:r>
        <w:tab/>
      </w:r>
      <w:r w:rsidR="00DA10BA" w:rsidRPr="00AE412F">
        <w:t xml:space="preserve">Paul </w:t>
      </w:r>
      <w:proofErr w:type="spellStart"/>
      <w:r w:rsidR="00DA10BA" w:rsidRPr="00AE412F">
        <w:t>Erlich</w:t>
      </w:r>
      <w:proofErr w:type="spellEnd"/>
      <w:r w:rsidR="00DA10BA" w:rsidRPr="00AE412F">
        <w:t xml:space="preserve"> – </w:t>
      </w:r>
      <w:r w:rsidR="00DA10BA" w:rsidRPr="00AE412F">
        <w:rPr>
          <w:i/>
          <w:iCs/>
        </w:rPr>
        <w:t xml:space="preserve">The Population Bomb </w:t>
      </w:r>
    </w:p>
    <w:p w:rsidR="00D63DA8" w:rsidRDefault="00D63DA8">
      <w:r>
        <w:t>1972</w:t>
      </w:r>
      <w:r>
        <w:tab/>
        <w:t xml:space="preserve">MA </w:t>
      </w:r>
      <w:r w:rsidRPr="00D63DA8">
        <w:rPr>
          <w:i/>
        </w:rPr>
        <w:t>Surfacing</w:t>
      </w:r>
      <w:r>
        <w:t xml:space="preserve"> </w:t>
      </w:r>
      <w:r w:rsidR="00DD1754">
        <w:t xml:space="preserve"> </w:t>
      </w:r>
    </w:p>
    <w:p w:rsidR="00DD1754" w:rsidRDefault="00DD1754" w:rsidP="00FB2F93">
      <w:pPr>
        <w:rPr>
          <w:rFonts w:cs="Times New Roman"/>
        </w:rPr>
      </w:pPr>
      <w:r w:rsidRPr="0019478B">
        <w:rPr>
          <w:rFonts w:cs="Times New Roman"/>
        </w:rPr>
        <w:t xml:space="preserve">‘The </w:t>
      </w:r>
      <w:r>
        <w:rPr>
          <w:rFonts w:cs="Times New Roman"/>
        </w:rPr>
        <w:t>animals have no need for speech. W</w:t>
      </w:r>
      <w:r w:rsidRPr="0019478B">
        <w:rPr>
          <w:rFonts w:cs="Times New Roman"/>
        </w:rPr>
        <w:t>hy talk when you are a word</w:t>
      </w:r>
      <w:r>
        <w:rPr>
          <w:rFonts w:cs="Times New Roman"/>
        </w:rPr>
        <w:t>?’ (2001, p</w:t>
      </w:r>
      <w:r w:rsidRPr="0019478B">
        <w:rPr>
          <w:rFonts w:cs="Times New Roman"/>
        </w:rPr>
        <w:t xml:space="preserve">175).  </w:t>
      </w:r>
    </w:p>
    <w:p w:rsidR="0070132C" w:rsidRPr="0070132C" w:rsidRDefault="0070132C" w:rsidP="0070132C">
      <w:pPr>
        <w:spacing w:line="240" w:lineRule="auto"/>
        <w:ind w:left="720"/>
        <w:rPr>
          <w:sz w:val="10"/>
        </w:rPr>
      </w:pPr>
    </w:p>
    <w:p w:rsidR="00601492" w:rsidRDefault="0070132C" w:rsidP="0070132C">
      <w:pPr>
        <w:spacing w:line="240" w:lineRule="auto"/>
      </w:pPr>
      <w:r>
        <w:t>Argument about whether signing chimps really are using language ... will not be settled by observation of them, because what counts as language cannot be settled that way. Nor can it be settled by definition. We know, for example, that cows communicate to one another when they moo, but nobody thinks they are speaking or that ‘moo’ is a word in cow language’ (</w:t>
      </w:r>
      <w:proofErr w:type="spellStart"/>
      <w:r>
        <w:t>Raimond</w:t>
      </w:r>
      <w:proofErr w:type="spellEnd"/>
      <w:r>
        <w:t xml:space="preserve"> </w:t>
      </w:r>
      <w:proofErr w:type="spellStart"/>
      <w:r>
        <w:t>Gaita</w:t>
      </w:r>
      <w:proofErr w:type="spellEnd"/>
      <w:r>
        <w:t xml:space="preserve">, </w:t>
      </w:r>
      <w:r w:rsidRPr="0070132C">
        <w:rPr>
          <w:i/>
        </w:rPr>
        <w:t>The Philosopher’s Dog</w:t>
      </w:r>
      <w:r>
        <w:t>, Routledge 2002, p112)</w:t>
      </w:r>
    </w:p>
    <w:p w:rsidR="0070132C" w:rsidRPr="0070132C" w:rsidRDefault="0070132C" w:rsidP="0070132C">
      <w:pPr>
        <w:spacing w:line="240" w:lineRule="auto"/>
        <w:rPr>
          <w:sz w:val="4"/>
        </w:rPr>
      </w:pPr>
    </w:p>
    <w:p w:rsidR="00A349F0" w:rsidRPr="00A349F0" w:rsidRDefault="00A349F0" w:rsidP="00A349F0">
      <w:pPr>
        <w:spacing w:line="240" w:lineRule="auto"/>
        <w:ind w:left="720"/>
        <w:rPr>
          <w:sz w:val="14"/>
        </w:rPr>
      </w:pPr>
    </w:p>
    <w:p w:rsidR="00A349F0" w:rsidRDefault="00A349F0" w:rsidP="00FB2F93">
      <w:pPr>
        <w:spacing w:line="240" w:lineRule="auto"/>
      </w:pPr>
      <w:r w:rsidRPr="00A349F0">
        <w:t>‘When nothing is left intact and the fire is only smouldering I leave, carrying one of the wounded blankets with me, I will need it until the fur grows. The house shuts with a click behind me.</w:t>
      </w:r>
      <w:r>
        <w:t xml:space="preserve"> / </w:t>
      </w:r>
      <w:r w:rsidRPr="00A349F0">
        <w:t>I untie my feet from my shoes and walk down the shore; the earth is damp, cold, pockmarked with raindrops</w:t>
      </w:r>
      <w:r>
        <w:t>’ (MA Surfacing, 171)</w:t>
      </w:r>
    </w:p>
    <w:p w:rsidR="00BA3B09" w:rsidRDefault="00BA3B09">
      <w:r>
        <w:t>1972</w:t>
      </w:r>
      <w:r>
        <w:tab/>
        <w:t xml:space="preserve">MA </w:t>
      </w:r>
      <w:r w:rsidRPr="00BA3B09">
        <w:rPr>
          <w:i/>
        </w:rPr>
        <w:t>Survival: A Thematic Guide to Canadian Writing</w:t>
      </w:r>
      <w:r>
        <w:t xml:space="preserve"> </w:t>
      </w:r>
    </w:p>
    <w:p w:rsidR="00BA3B09" w:rsidRDefault="00BA3B09">
      <w:r>
        <w:t>1976</w:t>
      </w:r>
      <w:r>
        <w:tab/>
        <w:t xml:space="preserve">MA </w:t>
      </w:r>
      <w:r w:rsidRPr="00BA3B09">
        <w:rPr>
          <w:i/>
        </w:rPr>
        <w:t>Lady Oracle</w:t>
      </w:r>
    </w:p>
    <w:p w:rsidR="00BA3B09" w:rsidRDefault="00D63DA8">
      <w:r>
        <w:t>1977</w:t>
      </w:r>
      <w:r>
        <w:tab/>
      </w:r>
      <w:r w:rsidR="00BA3B09">
        <w:t xml:space="preserve">MA </w:t>
      </w:r>
      <w:r w:rsidR="00BA3B09" w:rsidRPr="00BA3B09">
        <w:rPr>
          <w:i/>
        </w:rPr>
        <w:t>Dancing Girls</w:t>
      </w:r>
    </w:p>
    <w:p w:rsidR="00BA3B09" w:rsidRPr="00BA3B09" w:rsidRDefault="00BA3B09">
      <w:pPr>
        <w:rPr>
          <w:i/>
        </w:rPr>
      </w:pPr>
      <w:r>
        <w:t>1979</w:t>
      </w:r>
      <w:r>
        <w:tab/>
      </w:r>
      <w:r w:rsidR="00D63DA8">
        <w:t xml:space="preserve">MA </w:t>
      </w:r>
      <w:r w:rsidR="00D63DA8" w:rsidRPr="00D63DA8">
        <w:rPr>
          <w:i/>
        </w:rPr>
        <w:t>Life Before Ma</w:t>
      </w:r>
      <w:r>
        <w:rPr>
          <w:i/>
        </w:rPr>
        <w:t>n</w:t>
      </w:r>
    </w:p>
    <w:p w:rsidR="00176628" w:rsidRPr="00176628" w:rsidRDefault="00176628" w:rsidP="00DD1754">
      <w:pPr>
        <w:spacing w:line="240" w:lineRule="auto"/>
        <w:ind w:left="720"/>
        <w:rPr>
          <w:rFonts w:cs="Times New Roman"/>
          <w:sz w:val="8"/>
          <w:szCs w:val="24"/>
        </w:rPr>
      </w:pPr>
    </w:p>
    <w:p w:rsidR="00DD1754" w:rsidRDefault="00DD1754" w:rsidP="00FB2F93">
      <w:pPr>
        <w:spacing w:line="240" w:lineRule="auto"/>
        <w:rPr>
          <w:rFonts w:cs="Times New Roman"/>
          <w:szCs w:val="24"/>
        </w:rPr>
      </w:pPr>
      <w:proofErr w:type="spellStart"/>
      <w:r w:rsidRPr="0019478B">
        <w:rPr>
          <w:rFonts w:cs="Times New Roman"/>
          <w:szCs w:val="24"/>
        </w:rPr>
        <w:t>Lesje</w:t>
      </w:r>
      <w:proofErr w:type="spellEnd"/>
      <w:r w:rsidRPr="0019478B">
        <w:rPr>
          <w:rFonts w:cs="Times New Roman"/>
          <w:szCs w:val="24"/>
        </w:rPr>
        <w:t xml:space="preserve"> wonders: “Does she care whether the human race survives or not? She doesn’t know. The dinosaurs didn’t survive and it wasn’t the end of the world. In her bleaker moments ... she feels the human race has it coming” </w:t>
      </w:r>
      <w:r w:rsidRPr="0019478B">
        <w:rPr>
          <w:rFonts w:eastAsia="NewBaskerville-Roman" w:cs="Times New Roman"/>
          <w:szCs w:val="24"/>
        </w:rPr>
        <w:t xml:space="preserve">(1996, </w:t>
      </w:r>
      <w:r w:rsidR="0024158C">
        <w:rPr>
          <w:rFonts w:eastAsia="NewBaskerville-Roman" w:cs="Times New Roman"/>
          <w:szCs w:val="24"/>
        </w:rPr>
        <w:t>p</w:t>
      </w:r>
      <w:r w:rsidRPr="0019478B">
        <w:rPr>
          <w:rFonts w:cs="Times New Roman"/>
          <w:szCs w:val="24"/>
        </w:rPr>
        <w:t>19)</w:t>
      </w:r>
    </w:p>
    <w:p w:rsidR="0024158C" w:rsidRPr="00176628" w:rsidRDefault="0024158C" w:rsidP="00DD1754">
      <w:pPr>
        <w:spacing w:line="240" w:lineRule="auto"/>
        <w:ind w:left="720"/>
        <w:rPr>
          <w:rFonts w:cstheme="minorHAnsi"/>
          <w:sz w:val="10"/>
        </w:rPr>
      </w:pPr>
    </w:p>
    <w:p w:rsidR="0024158C" w:rsidRDefault="0024158C" w:rsidP="00FB2F93">
      <w:pPr>
        <w:spacing w:line="240" w:lineRule="auto"/>
        <w:rPr>
          <w:rFonts w:cstheme="minorHAnsi"/>
        </w:rPr>
      </w:pPr>
      <w:r>
        <w:rPr>
          <w:rFonts w:cstheme="minorHAnsi"/>
        </w:rPr>
        <w:t>T</w:t>
      </w:r>
      <w:r w:rsidRPr="001D58AA">
        <w:rPr>
          <w:rFonts w:cstheme="minorHAnsi"/>
        </w:rPr>
        <w:t>he lifeboat game. ‘We are all in a lifeboat ... and food is running out. What you have to do is convince everyone else why you should be allowed to remain in the lifeboat ins</w:t>
      </w:r>
      <w:r>
        <w:rPr>
          <w:rFonts w:cstheme="minorHAnsi"/>
        </w:rPr>
        <w:t>tead of being thrown overboard’</w:t>
      </w:r>
      <w:r w:rsidRPr="001D58AA">
        <w:rPr>
          <w:rFonts w:cstheme="minorHAnsi"/>
        </w:rPr>
        <w:t xml:space="preserve"> </w:t>
      </w:r>
      <w:r>
        <w:rPr>
          <w:rFonts w:cstheme="minorHAnsi"/>
        </w:rPr>
        <w:t>(1996, p147)</w:t>
      </w:r>
      <w:r w:rsidRPr="001D58AA">
        <w:rPr>
          <w:rFonts w:cstheme="minorHAnsi"/>
        </w:rPr>
        <w:t>.</w:t>
      </w:r>
    </w:p>
    <w:p w:rsidR="00176628" w:rsidRPr="00176628" w:rsidRDefault="00176628" w:rsidP="00DD1754">
      <w:pPr>
        <w:spacing w:line="240" w:lineRule="auto"/>
        <w:ind w:left="720"/>
        <w:rPr>
          <w:sz w:val="14"/>
        </w:rPr>
      </w:pPr>
    </w:p>
    <w:p w:rsidR="00864796" w:rsidRDefault="00864796" w:rsidP="00176628">
      <w:pPr>
        <w:spacing w:line="360" w:lineRule="auto"/>
      </w:pPr>
      <w:r>
        <w:t xml:space="preserve">1980 </w:t>
      </w:r>
      <w:r w:rsidR="000C3306">
        <w:tab/>
      </w:r>
      <w:r>
        <w:t xml:space="preserve">Carolyn Merchant </w:t>
      </w:r>
      <w:r w:rsidRPr="00864796">
        <w:rPr>
          <w:i/>
        </w:rPr>
        <w:t>The Death of Nature</w:t>
      </w:r>
      <w:r>
        <w:t xml:space="preserve"> (history of human attitudes towards nature)</w:t>
      </w:r>
    </w:p>
    <w:p w:rsidR="008F5E70" w:rsidRDefault="008F5E70" w:rsidP="008F5E70">
      <w:pPr>
        <w:spacing w:line="240" w:lineRule="auto"/>
      </w:pPr>
      <w:r w:rsidRPr="001D58AA">
        <w:t xml:space="preserve">Holmes Rolston: ‘Ought we to feed people first, and save nature last? We never face so simple a question. The practical question is more complex’ and ‘There is something ungodly about an ethic by which the late-coming </w:t>
      </w:r>
      <w:r w:rsidRPr="001D58AA">
        <w:rPr>
          <w:i/>
        </w:rPr>
        <w:t>Homo Sapiens</w:t>
      </w:r>
      <w:r w:rsidRPr="001D58AA">
        <w:t xml:space="preserve"> arrogantly regards the welfare of one’s own species as absolute, with the welfare of all the other five million species sacrificed to that’. ‘Feeding People versus Saving Nature?’ </w:t>
      </w:r>
      <w:r w:rsidR="00947029">
        <w:t>(</w:t>
      </w:r>
      <w:r w:rsidRPr="001D58AA">
        <w:t>in Light and Rolston III (</w:t>
      </w:r>
      <w:proofErr w:type="spellStart"/>
      <w:r w:rsidRPr="001D58AA">
        <w:t>eds</w:t>
      </w:r>
      <w:proofErr w:type="spellEnd"/>
      <w:r w:rsidRPr="001D58AA">
        <w:t xml:space="preserve">) </w:t>
      </w:r>
      <w:r w:rsidRPr="001D58AA">
        <w:rPr>
          <w:i/>
        </w:rPr>
        <w:t>Environmental Ethics: an Anthology</w:t>
      </w:r>
      <w:r w:rsidR="00947029">
        <w:t>. Oxford: Blackwell, 2003</w:t>
      </w:r>
      <w:r w:rsidRPr="001D58AA">
        <w:t>, 451-461. pp. 460-1</w:t>
      </w:r>
      <w:r w:rsidR="00947029">
        <w:t>)</w:t>
      </w:r>
      <w:r w:rsidRPr="001D58AA">
        <w:t>.</w:t>
      </w:r>
    </w:p>
    <w:p w:rsidR="008F5E70" w:rsidRPr="00911A36" w:rsidRDefault="008F5E70" w:rsidP="00176628">
      <w:pPr>
        <w:spacing w:line="360" w:lineRule="auto"/>
        <w:rPr>
          <w:sz w:val="12"/>
        </w:rPr>
      </w:pPr>
    </w:p>
    <w:p w:rsidR="00176628" w:rsidRDefault="00A70950" w:rsidP="00911A36">
      <w:pPr>
        <w:spacing w:line="240" w:lineRule="auto"/>
        <w:ind w:left="720" w:hanging="720"/>
      </w:pPr>
      <w:r>
        <w:t>1982</w:t>
      </w:r>
      <w:r>
        <w:tab/>
        <w:t xml:space="preserve">Murray </w:t>
      </w:r>
      <w:proofErr w:type="spellStart"/>
      <w:r>
        <w:t>Bookachin</w:t>
      </w:r>
      <w:proofErr w:type="spellEnd"/>
      <w:r w:rsidR="00176628">
        <w:t>:</w:t>
      </w:r>
      <w:r>
        <w:t xml:space="preserve"> ‘the very idea of dominating ... nature has its origins in the domination of human by human’. </w:t>
      </w:r>
    </w:p>
    <w:p w:rsidR="00A70950" w:rsidRDefault="00A70950" w:rsidP="00176628">
      <w:pPr>
        <w:spacing w:line="240" w:lineRule="auto"/>
        <w:ind w:left="720"/>
      </w:pPr>
      <w:r w:rsidRPr="00FD766C">
        <w:rPr>
          <w:i/>
        </w:rPr>
        <w:t>The Ecology of Freedom: The Emergence and Dissolution of Hierarchy</w:t>
      </w:r>
      <w:r>
        <w:t xml:space="preserve"> (Edinburgh: AK Press, 2005)</w:t>
      </w:r>
    </w:p>
    <w:p w:rsidR="000C3306" w:rsidRDefault="000C3306" w:rsidP="000C3306">
      <w:r>
        <w:t xml:space="preserve">1984 </w:t>
      </w:r>
      <w:r>
        <w:tab/>
        <w:t xml:space="preserve">J. Baird </w:t>
      </w:r>
      <w:proofErr w:type="spellStart"/>
      <w:r>
        <w:t>Callicot</w:t>
      </w:r>
      <w:proofErr w:type="spellEnd"/>
      <w:r>
        <w:t xml:space="preserve">, ‘Non-Anthropocentric Value Theory and Environmental Ethics’ </w:t>
      </w:r>
    </w:p>
    <w:p w:rsidR="00176628" w:rsidRPr="00176628" w:rsidRDefault="00176628" w:rsidP="000C3306">
      <w:pPr>
        <w:spacing w:line="240" w:lineRule="auto"/>
        <w:ind w:left="720"/>
        <w:rPr>
          <w:sz w:val="14"/>
        </w:rPr>
      </w:pPr>
    </w:p>
    <w:p w:rsidR="000C3306" w:rsidRDefault="00176628" w:rsidP="00AE412F">
      <w:pPr>
        <w:spacing w:line="240" w:lineRule="auto"/>
      </w:pPr>
      <w:r>
        <w:t>‘</w:t>
      </w:r>
      <w:r w:rsidR="000C3306">
        <w:t>An anthropocentric value theory (or axiology), by common consensus, confers intrinsic value on human beings and regards all other things, including other forms of life, as being only instrumentally valuable, i.e., valuable only to the extent that they are means or instruments which may serve human beings. A non-anthropocentric value theory (or axiology), on the other hand, would confer intrinsic value on some non-human beings</w:t>
      </w:r>
      <w:r>
        <w:t>’</w:t>
      </w:r>
      <w:r w:rsidR="000C3306">
        <w:t>.</w:t>
      </w:r>
      <w:r w:rsidR="000C3306" w:rsidRPr="000C3306">
        <w:t xml:space="preserve"> </w:t>
      </w:r>
    </w:p>
    <w:p w:rsidR="000C3306" w:rsidRDefault="00120255" w:rsidP="000C3306">
      <w:r>
        <w:t xml:space="preserve"> </w:t>
      </w:r>
      <w:r w:rsidR="000C3306" w:rsidRPr="000C3306">
        <w:rPr>
          <w:i/>
        </w:rPr>
        <w:t>American Philosophical Quarterly</w:t>
      </w:r>
      <w:r w:rsidR="000C3306">
        <w:t>, Vol. 21, No. 4 (Oct., 1984), pp. 299-309, p299</w:t>
      </w:r>
      <w:r>
        <w:t>)</w:t>
      </w:r>
    </w:p>
    <w:p w:rsidR="00D63DA8" w:rsidRDefault="00D63DA8">
      <w:pPr>
        <w:rPr>
          <w:i/>
        </w:rPr>
      </w:pPr>
      <w:r>
        <w:t>1991</w:t>
      </w:r>
      <w:r>
        <w:tab/>
        <w:t xml:space="preserve">MA </w:t>
      </w:r>
      <w:r w:rsidRPr="00D63DA8">
        <w:rPr>
          <w:i/>
        </w:rPr>
        <w:t>Wilderness Tips</w:t>
      </w:r>
    </w:p>
    <w:p w:rsidR="00AE412F" w:rsidRDefault="00AE412F" w:rsidP="00AE412F">
      <w:pPr>
        <w:spacing w:line="240" w:lineRule="auto"/>
        <w:rPr>
          <w:rFonts w:cs="Times New Roman"/>
          <w:szCs w:val="24"/>
        </w:rPr>
      </w:pPr>
    </w:p>
    <w:p w:rsidR="00856715" w:rsidRDefault="00856715" w:rsidP="00AE412F">
      <w:pPr>
        <w:spacing w:line="240" w:lineRule="auto"/>
        <w:rPr>
          <w:rFonts w:cs="Times New Roman"/>
          <w:szCs w:val="24"/>
        </w:rPr>
      </w:pPr>
      <w:r>
        <w:rPr>
          <w:rFonts w:cs="Times New Roman"/>
          <w:szCs w:val="24"/>
        </w:rPr>
        <w:t xml:space="preserve">Includes </w:t>
      </w:r>
      <w:r w:rsidR="00990FD3">
        <w:rPr>
          <w:rFonts w:cs="Times New Roman"/>
          <w:szCs w:val="24"/>
        </w:rPr>
        <w:t xml:space="preserve">the </w:t>
      </w:r>
      <w:r>
        <w:rPr>
          <w:rFonts w:cs="Times New Roman"/>
          <w:szCs w:val="24"/>
        </w:rPr>
        <w:t>short story: ‘Death by Landscape</w:t>
      </w:r>
      <w:r w:rsidR="00990FD3">
        <w:rPr>
          <w:rFonts w:cs="Times New Roman"/>
          <w:szCs w:val="24"/>
        </w:rPr>
        <w:t>,</w:t>
      </w:r>
      <w:r>
        <w:rPr>
          <w:rFonts w:cs="Times New Roman"/>
          <w:szCs w:val="24"/>
        </w:rPr>
        <w:t xml:space="preserve">’ in which </w:t>
      </w:r>
      <w:r w:rsidRPr="0019478B">
        <w:rPr>
          <w:rFonts w:cs="Times New Roman"/>
          <w:szCs w:val="24"/>
        </w:rPr>
        <w:t>a young girl vanishes, swallowed up by the landscape, never to return</w:t>
      </w:r>
      <w:r w:rsidR="00AE412F">
        <w:rPr>
          <w:rFonts w:cs="Times New Roman"/>
          <w:szCs w:val="24"/>
        </w:rPr>
        <w:t xml:space="preserve"> – a</w:t>
      </w:r>
      <w:r w:rsidR="00990FD3" w:rsidRPr="0019478B">
        <w:rPr>
          <w:rFonts w:cs="Times New Roman"/>
          <w:szCs w:val="24"/>
        </w:rPr>
        <w:t xml:space="preserve">ccording to </w:t>
      </w:r>
      <w:r w:rsidR="00990FD3">
        <w:rPr>
          <w:rFonts w:cs="Times New Roman"/>
          <w:szCs w:val="24"/>
        </w:rPr>
        <w:t xml:space="preserve">Faith </w:t>
      </w:r>
      <w:proofErr w:type="spellStart"/>
      <w:r w:rsidR="00990FD3">
        <w:rPr>
          <w:rFonts w:cs="Times New Roman"/>
          <w:szCs w:val="24"/>
        </w:rPr>
        <w:t>Hamill</w:t>
      </w:r>
      <w:proofErr w:type="spellEnd"/>
      <w:r w:rsidR="00990FD3" w:rsidRPr="0019478B">
        <w:rPr>
          <w:rFonts w:cs="Times New Roman"/>
          <w:szCs w:val="24"/>
        </w:rPr>
        <w:t>, ‘death by landscape’ is a phrase that expresses Atwood’s views on the tendency to overplay landscape (‘nature’) as ‘dangerous place’ (</w:t>
      </w:r>
      <w:proofErr w:type="spellStart"/>
      <w:r w:rsidR="00C71745">
        <w:rPr>
          <w:rFonts w:cs="Times New Roman"/>
          <w:szCs w:val="24"/>
        </w:rPr>
        <w:t>Hamill</w:t>
      </w:r>
      <w:proofErr w:type="spellEnd"/>
      <w:r w:rsidR="00C71745">
        <w:rPr>
          <w:rFonts w:cs="Times New Roman"/>
          <w:szCs w:val="24"/>
        </w:rPr>
        <w:t xml:space="preserve">, </w:t>
      </w:r>
      <w:r w:rsidR="00C71745">
        <w:rPr>
          <w:rFonts w:cs="Times New Roman"/>
          <w:i/>
          <w:szCs w:val="24"/>
        </w:rPr>
        <w:t>Canadian Literature</w:t>
      </w:r>
      <w:r w:rsidR="00C71745">
        <w:rPr>
          <w:rFonts w:cs="Times New Roman"/>
          <w:szCs w:val="24"/>
        </w:rPr>
        <w:t xml:space="preserve">, </w:t>
      </w:r>
      <w:r w:rsidR="00990FD3">
        <w:rPr>
          <w:rFonts w:cs="Times New Roman"/>
          <w:szCs w:val="24"/>
        </w:rPr>
        <w:t>2007</w:t>
      </w:r>
      <w:r w:rsidR="00AE412F">
        <w:rPr>
          <w:rFonts w:cs="Times New Roman"/>
          <w:szCs w:val="24"/>
        </w:rPr>
        <w:t>)</w:t>
      </w:r>
    </w:p>
    <w:p w:rsidR="00AE412F" w:rsidRPr="00AE412F" w:rsidRDefault="00AE412F" w:rsidP="00AE412F">
      <w:pPr>
        <w:spacing w:line="240" w:lineRule="auto"/>
        <w:rPr>
          <w:rFonts w:cs="Times New Roman"/>
          <w:sz w:val="14"/>
          <w:szCs w:val="24"/>
        </w:rPr>
      </w:pPr>
    </w:p>
    <w:p w:rsidR="00D63DA8" w:rsidRDefault="00D63DA8" w:rsidP="004F00A6">
      <w:pPr>
        <w:spacing w:line="360" w:lineRule="auto"/>
      </w:pPr>
      <w:r>
        <w:t>1992</w:t>
      </w:r>
      <w:r>
        <w:tab/>
        <w:t xml:space="preserve">MA </w:t>
      </w:r>
      <w:r w:rsidRPr="00D63DA8">
        <w:rPr>
          <w:i/>
        </w:rPr>
        <w:t>Good Bones</w:t>
      </w:r>
    </w:p>
    <w:p w:rsidR="004F00A6" w:rsidRDefault="004F00A6" w:rsidP="004F00A6">
      <w:pPr>
        <w:spacing w:line="240" w:lineRule="auto"/>
        <w:ind w:left="720" w:hanging="720"/>
        <w:rPr>
          <w:rFonts w:cs="Times New Roman"/>
          <w:szCs w:val="24"/>
        </w:rPr>
      </w:pPr>
      <w:r w:rsidRPr="00D247B6">
        <w:rPr>
          <w:rFonts w:cs="Times New Roman"/>
          <w:szCs w:val="24"/>
        </w:rPr>
        <w:t>1992</w:t>
      </w:r>
      <w:r>
        <w:rPr>
          <w:rFonts w:cs="Times New Roman"/>
          <w:szCs w:val="24"/>
        </w:rPr>
        <w:tab/>
        <w:t xml:space="preserve">Rio – Earth Summit: </w:t>
      </w:r>
      <w:r w:rsidRPr="00D247B6">
        <w:rPr>
          <w:rFonts w:cs="Times New Roman"/>
          <w:szCs w:val="24"/>
        </w:rPr>
        <w:t>United Nations Framework Convention on Climate Change (UNFCCC, 1992)</w:t>
      </w:r>
      <w:r>
        <w:rPr>
          <w:rFonts w:cs="Times New Roman"/>
          <w:szCs w:val="24"/>
        </w:rPr>
        <w:t>; Kyoto Protocol</w:t>
      </w:r>
      <w:r w:rsidRPr="00D247B6">
        <w:rPr>
          <w:rFonts w:cs="Times New Roman"/>
          <w:szCs w:val="24"/>
        </w:rPr>
        <w:t xml:space="preserve"> 1997 (</w:t>
      </w:r>
      <w:r>
        <w:rPr>
          <w:rFonts w:cs="Times New Roman"/>
          <w:szCs w:val="24"/>
        </w:rPr>
        <w:t>came into force in</w:t>
      </w:r>
      <w:r w:rsidRPr="00D247B6">
        <w:rPr>
          <w:rFonts w:cs="Times New Roman"/>
          <w:szCs w:val="24"/>
        </w:rPr>
        <w:t xml:space="preserve"> 2005)</w:t>
      </w:r>
      <w:r>
        <w:rPr>
          <w:rFonts w:cs="Times New Roman"/>
          <w:szCs w:val="24"/>
        </w:rPr>
        <w:t xml:space="preserve"> – need for a multilateral agreement due to cost of non-emitting fuels</w:t>
      </w:r>
      <w:r w:rsidRPr="00D247B6">
        <w:rPr>
          <w:rFonts w:cs="Times New Roman"/>
          <w:szCs w:val="24"/>
        </w:rPr>
        <w:t>.</w:t>
      </w:r>
      <w:r>
        <w:rPr>
          <w:rFonts w:cs="Times New Roman"/>
          <w:szCs w:val="24"/>
        </w:rPr>
        <w:t xml:space="preserve"> Generally deemed a failure</w:t>
      </w:r>
      <w:r w:rsidR="00120255">
        <w:rPr>
          <w:rFonts w:cs="Times New Roman"/>
          <w:szCs w:val="24"/>
        </w:rPr>
        <w:t>.</w:t>
      </w:r>
    </w:p>
    <w:p w:rsidR="00120255" w:rsidRPr="00120255" w:rsidRDefault="00120255" w:rsidP="008F5E70">
      <w:pPr>
        <w:spacing w:line="240" w:lineRule="auto"/>
        <w:contextualSpacing/>
        <w:rPr>
          <w:rFonts w:cs="Times New Roman"/>
          <w:sz w:val="14"/>
          <w:szCs w:val="24"/>
        </w:rPr>
      </w:pPr>
    </w:p>
    <w:p w:rsidR="008F5E70" w:rsidRPr="00D247B6" w:rsidRDefault="008F5E70" w:rsidP="008F5E70">
      <w:pPr>
        <w:spacing w:line="240" w:lineRule="auto"/>
        <w:contextualSpacing/>
        <w:rPr>
          <w:rFonts w:cs="Times New Roman"/>
          <w:szCs w:val="24"/>
        </w:rPr>
      </w:pPr>
      <w:r>
        <w:rPr>
          <w:rFonts w:cs="Times New Roman"/>
          <w:szCs w:val="24"/>
        </w:rPr>
        <w:t>‘</w:t>
      </w:r>
      <w:r w:rsidR="00FB2F93">
        <w:rPr>
          <w:rFonts w:cs="Times New Roman"/>
          <w:szCs w:val="24"/>
        </w:rPr>
        <w:t>...</w:t>
      </w:r>
      <w:r w:rsidRPr="00D247B6">
        <w:rPr>
          <w:rFonts w:cs="Times New Roman"/>
          <w:szCs w:val="24"/>
        </w:rPr>
        <w:t xml:space="preserve"> ecocritics have typically been interested in literary forms that focus on individuals, families, and nations, but climate change art necessarily considers connections and </w:t>
      </w:r>
      <w:proofErr w:type="spellStart"/>
      <w:r w:rsidRPr="00D247B6">
        <w:rPr>
          <w:rFonts w:cs="Times New Roman"/>
          <w:szCs w:val="24"/>
        </w:rPr>
        <w:t>disjunctures</w:t>
      </w:r>
      <w:proofErr w:type="spellEnd"/>
      <w:r w:rsidRPr="00D247B6">
        <w:rPr>
          <w:rFonts w:cs="Times New Roman"/>
          <w:szCs w:val="24"/>
        </w:rPr>
        <w:t xml:space="preserve"> between ‘local, regional, and global forms of inhabitation’. Timothy Clark has expanded these arguments, suggesting that eco-critical arguments that advance a ‘</w:t>
      </w:r>
      <w:proofErr w:type="spellStart"/>
      <w:r w:rsidRPr="00D247B6">
        <w:rPr>
          <w:rFonts w:cs="Times New Roman"/>
          <w:szCs w:val="24"/>
        </w:rPr>
        <w:t>bioregionalist</w:t>
      </w:r>
      <w:proofErr w:type="spellEnd"/>
      <w:r w:rsidRPr="00D247B6">
        <w:rPr>
          <w:rFonts w:cs="Times New Roman"/>
          <w:szCs w:val="24"/>
        </w:rPr>
        <w:t xml:space="preserve"> idea’ and literature devoted to ‘communicating the particular’ may be taking place on the wrong scale, since climate change is a global problem and will require international solutions. Similarly, the political goal of ‘acting only locally’ is superseded by the political need to move beyond ‘mere individual behaviour and consumer choice’ and engage with ‘those national and global structures of economics and forms of government that are ultimately more responsible’ for climate change.</w:t>
      </w:r>
      <w:r>
        <w:rPr>
          <w:rFonts w:cs="Times New Roman"/>
          <w:szCs w:val="24"/>
        </w:rPr>
        <w:t>’</w:t>
      </w:r>
      <w:r w:rsidRPr="00D247B6">
        <w:rPr>
          <w:rFonts w:cs="Times New Roman"/>
          <w:szCs w:val="24"/>
        </w:rPr>
        <w:t xml:space="preserve"> </w:t>
      </w:r>
      <w:r w:rsidR="00BA5142" w:rsidRPr="00D247B6">
        <w:rPr>
          <w:rFonts w:cs="Times New Roman"/>
          <w:szCs w:val="24"/>
        </w:rPr>
        <w:t xml:space="preserve">This shift in ecocritical attention has enabled a more sophisticated engagement with the politics of climate change. </w:t>
      </w:r>
      <w:r>
        <w:rPr>
          <w:rFonts w:cs="Times New Roman"/>
          <w:szCs w:val="24"/>
        </w:rPr>
        <w:t>(Adam Trexler 2012</w:t>
      </w:r>
      <w:r w:rsidR="008D7043">
        <w:rPr>
          <w:rFonts w:cs="Times New Roman"/>
          <w:szCs w:val="24"/>
        </w:rPr>
        <w:t>, awaiting publication</w:t>
      </w:r>
      <w:r>
        <w:rPr>
          <w:rFonts w:cs="Times New Roman"/>
          <w:szCs w:val="24"/>
        </w:rPr>
        <w:t xml:space="preserve">) </w:t>
      </w:r>
    </w:p>
    <w:p w:rsidR="008F5E70" w:rsidRPr="00FB2F93" w:rsidRDefault="008F5E70" w:rsidP="004F00A6">
      <w:pPr>
        <w:spacing w:line="240" w:lineRule="auto"/>
        <w:ind w:left="720" w:hanging="720"/>
        <w:rPr>
          <w:rFonts w:cs="Times New Roman"/>
          <w:sz w:val="10"/>
          <w:szCs w:val="24"/>
        </w:rPr>
      </w:pPr>
    </w:p>
    <w:p w:rsidR="00BA3B09" w:rsidRDefault="00BA3B09">
      <w:r>
        <w:t>1996</w:t>
      </w:r>
      <w:r>
        <w:tab/>
        <w:t xml:space="preserve">MA </w:t>
      </w:r>
      <w:r w:rsidRPr="00BA3B09">
        <w:rPr>
          <w:i/>
        </w:rPr>
        <w:t>Strange Things: The Malevolent North in Canadian Literature</w:t>
      </w:r>
    </w:p>
    <w:p w:rsidR="005C46A2" w:rsidRDefault="005C46A2" w:rsidP="00176628">
      <w:r>
        <w:t xml:space="preserve">1998 </w:t>
      </w:r>
      <w:r>
        <w:tab/>
        <w:t>Ulrich Beck</w:t>
      </w:r>
      <w:r w:rsidR="00176628">
        <w:t>:</w:t>
      </w:r>
      <w:r>
        <w:t xml:space="preserve"> </w:t>
      </w:r>
      <w:r w:rsidR="005E7105">
        <w:t>‘</w:t>
      </w:r>
      <w:r>
        <w:t>We live in an age of unintended consequences</w:t>
      </w:r>
      <w:r w:rsidR="005E7105">
        <w:t>’</w:t>
      </w:r>
      <w:r>
        <w:t xml:space="preserve"> </w:t>
      </w:r>
    </w:p>
    <w:p w:rsidR="00B1273B" w:rsidRDefault="00176628" w:rsidP="00176628">
      <w:pPr>
        <w:ind w:firstLine="720"/>
      </w:pPr>
      <w:r w:rsidRPr="005C46A2">
        <w:rPr>
          <w:i/>
        </w:rPr>
        <w:t>World Risk Society</w:t>
      </w:r>
      <w:r>
        <w:rPr>
          <w:i/>
        </w:rPr>
        <w:t xml:space="preserve"> </w:t>
      </w:r>
      <w:r>
        <w:t>(Cambridge, MA: Polity, 1998), p119</w:t>
      </w:r>
    </w:p>
    <w:p w:rsidR="00B1273B" w:rsidRDefault="00B1273B" w:rsidP="00FB2F93">
      <w:r>
        <w:lastRenderedPageBreak/>
        <w:t xml:space="preserve">2000 </w:t>
      </w:r>
      <w:r>
        <w:tab/>
        <w:t xml:space="preserve"> </w:t>
      </w:r>
      <w:r w:rsidR="00D63DA8">
        <w:t xml:space="preserve">Jonathan </w:t>
      </w:r>
      <w:r>
        <w:t>Bate</w:t>
      </w:r>
      <w:r w:rsidR="00D63DA8">
        <w:t>,</w:t>
      </w:r>
      <w:r>
        <w:t xml:space="preserve"> </w:t>
      </w:r>
      <w:r w:rsidRPr="00B1273B">
        <w:rPr>
          <w:i/>
        </w:rPr>
        <w:t>Song of the Earth</w:t>
      </w:r>
      <w:r w:rsidR="00FB2F93">
        <w:t xml:space="preserve">: </w:t>
      </w:r>
      <w:r>
        <w:t>Environmental cri</w:t>
      </w:r>
      <w:r w:rsidR="00D63DA8">
        <w:t>sis and the Romantic tradition</w:t>
      </w:r>
    </w:p>
    <w:p w:rsidR="00176628" w:rsidRPr="00176628" w:rsidRDefault="00176628" w:rsidP="00176628">
      <w:pPr>
        <w:pStyle w:val="ListParagraph"/>
        <w:spacing w:line="360" w:lineRule="auto"/>
        <w:ind w:left="1077"/>
        <w:rPr>
          <w:sz w:val="12"/>
        </w:rPr>
      </w:pPr>
    </w:p>
    <w:p w:rsidR="00BA3B09" w:rsidRDefault="00BA3B09" w:rsidP="00261BAA">
      <w:pPr>
        <w:spacing w:line="360" w:lineRule="auto"/>
      </w:pPr>
      <w:r>
        <w:t>2002</w:t>
      </w:r>
      <w:r>
        <w:tab/>
        <w:t xml:space="preserve">MA </w:t>
      </w:r>
      <w:r w:rsidRPr="00BA3B09">
        <w:rPr>
          <w:i/>
        </w:rPr>
        <w:t>Negotiating with the Dead</w:t>
      </w:r>
      <w:r>
        <w:rPr>
          <w:i/>
        </w:rPr>
        <w:t xml:space="preserve">: </w:t>
      </w:r>
      <w:r w:rsidRPr="00BA3B09">
        <w:rPr>
          <w:i/>
        </w:rPr>
        <w:t>A Writer on Writing</w:t>
      </w:r>
    </w:p>
    <w:p w:rsidR="00D63DA8" w:rsidRDefault="00D63DA8" w:rsidP="00261BAA">
      <w:pPr>
        <w:spacing w:line="360" w:lineRule="auto"/>
      </w:pPr>
      <w:r>
        <w:t>2003</w:t>
      </w:r>
      <w:r>
        <w:tab/>
        <w:t xml:space="preserve">MA </w:t>
      </w:r>
      <w:r w:rsidRPr="00D63DA8">
        <w:rPr>
          <w:i/>
        </w:rPr>
        <w:t>Oryx and Crake</w:t>
      </w:r>
    </w:p>
    <w:p w:rsidR="00D8044E" w:rsidRPr="00E85A54" w:rsidRDefault="00DA10BA" w:rsidP="00FB2F93">
      <w:pPr>
        <w:spacing w:line="240" w:lineRule="auto"/>
        <w:jc w:val="left"/>
      </w:pPr>
      <w:r w:rsidRPr="00E85A54">
        <w:t xml:space="preserve">‘The lion-sheep splice was commissioned by the Lion </w:t>
      </w:r>
      <w:proofErr w:type="spellStart"/>
      <w:r w:rsidRPr="00E85A54">
        <w:t>Isiahists</w:t>
      </w:r>
      <w:proofErr w:type="spellEnd"/>
      <w:r w:rsidRPr="00E85A54">
        <w:t xml:space="preserve"> in order to force the advent of the Peaceable Kingdom. They’d </w:t>
      </w:r>
      <w:r w:rsidRPr="00A349F0">
        <w:rPr>
          <w:b/>
        </w:rPr>
        <w:t>reasoned</w:t>
      </w:r>
      <w:r w:rsidRPr="00E85A54">
        <w:t xml:space="preserve"> the only way to fulfil the lion / lamb friendship prophecy without the first eating the second would be to meld the two of them together. But the result hadn’t been strictly vegetarian’ (OC, 113)</w:t>
      </w:r>
    </w:p>
    <w:p w:rsidR="00E85A54" w:rsidRDefault="00E85A54" w:rsidP="006F32F7">
      <w:pPr>
        <w:spacing w:line="240" w:lineRule="auto"/>
        <w:ind w:left="720" w:hanging="720"/>
        <w:jc w:val="left"/>
      </w:pPr>
    </w:p>
    <w:p w:rsidR="00911A36" w:rsidRPr="00911A36" w:rsidRDefault="00911A36" w:rsidP="00FB2F93">
      <w:pPr>
        <w:spacing w:line="240" w:lineRule="auto"/>
        <w:jc w:val="left"/>
      </w:pPr>
      <w:r w:rsidRPr="00911A36">
        <w:t xml:space="preserve">“So, are the butterflies – are they recent?” Jimmy asked after a while. The ones he was looking at had wings the size of pancakes and were shocking pink, and were clustering all over one of the purple shrubs. </w:t>
      </w:r>
      <w:r w:rsidR="00FB2F93">
        <w:t xml:space="preserve"> / </w:t>
      </w:r>
      <w:r w:rsidRPr="00911A36">
        <w:t xml:space="preserve">“You mean, did they occur in nature or were they created by the hand of man? In other words are they real or fake?” </w:t>
      </w:r>
      <w:r w:rsidR="00FB2F93">
        <w:t xml:space="preserve"> / </w:t>
      </w:r>
      <w:r w:rsidRPr="00911A36">
        <w:rPr>
          <w:bCs/>
        </w:rPr>
        <w:t xml:space="preserve">“Mm,” said Jimmy. He didn’t want to get into the </w:t>
      </w:r>
      <w:r w:rsidRPr="00911A36">
        <w:rPr>
          <w:bCs/>
          <w:i/>
          <w:iCs/>
        </w:rPr>
        <w:t>what is real</w:t>
      </w:r>
      <w:r w:rsidRPr="00911A36">
        <w:rPr>
          <w:bCs/>
        </w:rPr>
        <w:t xml:space="preserve"> thing with Crake. </w:t>
      </w:r>
      <w:r w:rsidRPr="00911A36">
        <w:t>(OC, 235).</w:t>
      </w:r>
      <w:r w:rsidR="00984812">
        <w:tab/>
      </w:r>
    </w:p>
    <w:p w:rsidR="00911A36" w:rsidRPr="00911A36" w:rsidRDefault="00911A36" w:rsidP="006F32F7">
      <w:pPr>
        <w:spacing w:line="240" w:lineRule="auto"/>
        <w:ind w:left="720" w:hanging="720"/>
        <w:jc w:val="left"/>
        <w:rPr>
          <w:sz w:val="16"/>
        </w:rPr>
      </w:pPr>
    </w:p>
    <w:p w:rsidR="00FB2F93" w:rsidRDefault="006F32F7" w:rsidP="00911A36">
      <w:pPr>
        <w:spacing w:line="240" w:lineRule="auto"/>
        <w:ind w:left="720" w:hanging="720"/>
        <w:jc w:val="left"/>
      </w:pPr>
      <w:r>
        <w:t xml:space="preserve">2004 </w:t>
      </w:r>
      <w:r>
        <w:tab/>
        <w:t xml:space="preserve">Bruno Latour: </w:t>
      </w:r>
    </w:p>
    <w:p w:rsidR="006F32F7" w:rsidRDefault="006F32F7" w:rsidP="00FB2F93">
      <w:pPr>
        <w:spacing w:line="240" w:lineRule="auto"/>
        <w:jc w:val="left"/>
      </w:pPr>
      <w:r>
        <w:t>‘We are not witnessing the emergence of questions about natur</w:t>
      </w:r>
      <w:r w:rsidR="00FB2F93">
        <w:t xml:space="preserve">e in political debates, but the </w:t>
      </w:r>
      <w:r>
        <w:t xml:space="preserve">progressive transformation of all matters of fact into disputed states of affair’. </w:t>
      </w:r>
      <w:r w:rsidRPr="006F32F7">
        <w:rPr>
          <w:i/>
        </w:rPr>
        <w:t>Politics of Nature: How to Bring Sciences into Democracy</w:t>
      </w:r>
      <w:r w:rsidR="00405BDA">
        <w:t xml:space="preserve">, trans Catherine Porter </w:t>
      </w:r>
      <w:r>
        <w:t>(</w:t>
      </w:r>
      <w:r w:rsidR="00405BDA">
        <w:t>Cambridge, MA: Harvard</w:t>
      </w:r>
      <w:r w:rsidR="00176628">
        <w:t xml:space="preserve"> University Press</w:t>
      </w:r>
      <w:r w:rsidR="00405BDA">
        <w:t>, 2004)</w:t>
      </w:r>
      <w:r>
        <w:t>, pp. 24-5</w:t>
      </w:r>
    </w:p>
    <w:p w:rsidR="006F32F7" w:rsidRPr="006F32F7" w:rsidRDefault="006F32F7" w:rsidP="006F32F7">
      <w:pPr>
        <w:spacing w:line="240" w:lineRule="auto"/>
        <w:ind w:left="720" w:hanging="720"/>
        <w:jc w:val="left"/>
        <w:rPr>
          <w:sz w:val="16"/>
        </w:rPr>
      </w:pPr>
    </w:p>
    <w:p w:rsidR="00BB1189" w:rsidRDefault="00BB1189" w:rsidP="006F32F7">
      <w:pPr>
        <w:spacing w:line="360" w:lineRule="auto"/>
        <w:jc w:val="left"/>
        <w:rPr>
          <w:i/>
        </w:rPr>
      </w:pPr>
      <w:r>
        <w:t>2006</w:t>
      </w:r>
      <w:r>
        <w:tab/>
        <w:t xml:space="preserve">Will Self, </w:t>
      </w:r>
      <w:r w:rsidRPr="00BB1189">
        <w:rPr>
          <w:i/>
        </w:rPr>
        <w:t>The</w:t>
      </w:r>
      <w:r>
        <w:t xml:space="preserve"> </w:t>
      </w:r>
      <w:r w:rsidRPr="00C71745">
        <w:rPr>
          <w:i/>
        </w:rPr>
        <w:t>Book of Dave</w:t>
      </w:r>
    </w:p>
    <w:p w:rsidR="00BB1189" w:rsidRDefault="00BB1189" w:rsidP="00261BAA">
      <w:pPr>
        <w:spacing w:line="360" w:lineRule="auto"/>
        <w:jc w:val="left"/>
        <w:rPr>
          <w:i/>
        </w:rPr>
      </w:pPr>
      <w:r w:rsidRPr="00BB1189">
        <w:t>2006</w:t>
      </w:r>
      <w:r w:rsidRPr="00BB1189">
        <w:tab/>
        <w:t>Cormac McCarthy</w:t>
      </w:r>
      <w:r>
        <w:rPr>
          <w:i/>
        </w:rPr>
        <w:t>, The Road</w:t>
      </w:r>
      <w:r w:rsidR="006F32F7">
        <w:rPr>
          <w:i/>
        </w:rPr>
        <w:t xml:space="preserve"> </w:t>
      </w:r>
    </w:p>
    <w:p w:rsidR="00BB1189" w:rsidRPr="00BB1189" w:rsidRDefault="00FB2F93" w:rsidP="00261BAA">
      <w:pPr>
        <w:spacing w:line="360" w:lineRule="auto"/>
        <w:ind w:left="720" w:hanging="720"/>
        <w:jc w:val="left"/>
        <w:rPr>
          <w:i/>
        </w:rPr>
      </w:pPr>
      <w:r>
        <w:t>2006</w:t>
      </w:r>
      <w:r>
        <w:tab/>
        <w:t>D</w:t>
      </w:r>
      <w:r w:rsidR="00BB1189">
        <w:t xml:space="preserve"> Lessing </w:t>
      </w:r>
      <w:r w:rsidR="00BB1189" w:rsidRPr="00BB1189">
        <w:rPr>
          <w:i/>
        </w:rPr>
        <w:t xml:space="preserve">The Story of General Dann and Mara’s Daughter, </w:t>
      </w:r>
      <w:proofErr w:type="spellStart"/>
      <w:r w:rsidR="00BB1189" w:rsidRPr="00BB1189">
        <w:rPr>
          <w:i/>
        </w:rPr>
        <w:t>Griot</w:t>
      </w:r>
      <w:proofErr w:type="spellEnd"/>
      <w:r w:rsidR="00BB1189" w:rsidRPr="00BB1189">
        <w:rPr>
          <w:i/>
        </w:rPr>
        <w:t xml:space="preserve"> and the Snow Dog </w:t>
      </w:r>
    </w:p>
    <w:p w:rsidR="00D8044E" w:rsidRPr="00E85A54" w:rsidRDefault="00AE412F" w:rsidP="00E85A54">
      <w:pPr>
        <w:spacing w:line="240" w:lineRule="auto"/>
      </w:pPr>
      <w:r w:rsidRPr="00AE412F">
        <w:t xml:space="preserve">‘The term Anthropocene ... Suggests that the Earth has now left its natural geological epoch, the present interglacial state called the Holocene. Human activities have become so pervasive and profound that they rival the great forces of nature and are pushing the Earth into planetary </w:t>
      </w:r>
      <w:r w:rsidRPr="00AE412F">
        <w:rPr>
          <w:i/>
          <w:iCs/>
        </w:rPr>
        <w:t>terra incognita</w:t>
      </w:r>
      <w:r w:rsidRPr="00AE412F">
        <w:t>.’ (</w:t>
      </w:r>
      <w:r w:rsidR="00DA10BA" w:rsidRPr="00E85A54">
        <w:t xml:space="preserve">Steffen, Will, </w:t>
      </w:r>
      <w:proofErr w:type="spellStart"/>
      <w:r w:rsidR="00DA10BA" w:rsidRPr="00E85A54">
        <w:t>Crutzen</w:t>
      </w:r>
      <w:proofErr w:type="spellEnd"/>
      <w:r w:rsidR="00DA10BA" w:rsidRPr="00E85A54">
        <w:t>, Paul J., McNe</w:t>
      </w:r>
      <w:r w:rsidR="00FB2F93">
        <w:t xml:space="preserve">ill, John R. ‘The Anthropocene’ </w:t>
      </w:r>
      <w:proofErr w:type="spellStart"/>
      <w:r w:rsidR="00DA10BA" w:rsidRPr="00E85A54">
        <w:rPr>
          <w:i/>
          <w:iCs/>
        </w:rPr>
        <w:t>Ambio</w:t>
      </w:r>
      <w:proofErr w:type="spellEnd"/>
      <w:r w:rsidR="00DA10BA" w:rsidRPr="00E85A54">
        <w:t xml:space="preserve"> (2007) 38, pp. 614-21</w:t>
      </w:r>
      <w:r w:rsidR="00E85A54">
        <w:t>, p</w:t>
      </w:r>
      <w:r w:rsidR="00E85A54" w:rsidRPr="00AE412F">
        <w:t>614</w:t>
      </w:r>
      <w:r w:rsidR="00E85A54">
        <w:t>)</w:t>
      </w:r>
    </w:p>
    <w:p w:rsidR="00AE412F" w:rsidRPr="00AE412F" w:rsidRDefault="00AE412F" w:rsidP="00261BAA">
      <w:pPr>
        <w:spacing w:line="360" w:lineRule="auto"/>
        <w:rPr>
          <w:sz w:val="12"/>
        </w:rPr>
      </w:pPr>
    </w:p>
    <w:p w:rsidR="00261BAA" w:rsidRDefault="00261BAA" w:rsidP="00261BAA">
      <w:pPr>
        <w:spacing w:line="360" w:lineRule="auto"/>
      </w:pPr>
      <w:r>
        <w:t>2007</w:t>
      </w:r>
      <w:r>
        <w:tab/>
        <w:t xml:space="preserve">Jeanette </w:t>
      </w:r>
      <w:proofErr w:type="spellStart"/>
      <w:r>
        <w:t>Winterson</w:t>
      </w:r>
      <w:proofErr w:type="spellEnd"/>
      <w:r>
        <w:t xml:space="preserve"> </w:t>
      </w:r>
      <w:r w:rsidRPr="00261BAA">
        <w:rPr>
          <w:i/>
        </w:rPr>
        <w:t>The Stone Gods</w:t>
      </w:r>
      <w:r>
        <w:t xml:space="preserve"> </w:t>
      </w:r>
    </w:p>
    <w:p w:rsidR="00AE412F" w:rsidRPr="00AE412F" w:rsidRDefault="00120255" w:rsidP="00AE412F">
      <w:pPr>
        <w:spacing w:line="240" w:lineRule="auto"/>
      </w:pPr>
      <w:r>
        <w:t>‘</w:t>
      </w:r>
      <w:r w:rsidR="00AE412F" w:rsidRPr="00AE412F">
        <w:t>The end of ‘externality’ means that the consequences of human action do not go away any more. They build up with destructive effects in the air and in the street ... The primary human reality is becoming more and more a realm of inherited and accumulating accidents, after-effec</w:t>
      </w:r>
      <w:r>
        <w:t>ts and long term repercussions.’</w:t>
      </w:r>
      <w:r w:rsidR="00AE412F">
        <w:t xml:space="preserve"> </w:t>
      </w:r>
      <w:r w:rsidR="00AE412F" w:rsidRPr="00AE412F">
        <w:t>(Timothy Clark</w:t>
      </w:r>
      <w:r>
        <w:t>,</w:t>
      </w:r>
      <w:r w:rsidR="00AE412F" w:rsidRPr="00AE412F">
        <w:t xml:space="preserve"> </w:t>
      </w:r>
      <w:r w:rsidRPr="00120255">
        <w:t xml:space="preserve">‘Towards A Deconstructive Environmental Criticism’ </w:t>
      </w:r>
      <w:r w:rsidRPr="00120255">
        <w:rPr>
          <w:i/>
          <w:iCs/>
        </w:rPr>
        <w:t>Oxford Literary Review</w:t>
      </w:r>
      <w:r w:rsidRPr="00120255">
        <w:t xml:space="preserve"> </w:t>
      </w:r>
      <w:r w:rsidR="00AE412F" w:rsidRPr="00AE412F">
        <w:t>2008, 48)</w:t>
      </w:r>
    </w:p>
    <w:p w:rsidR="00AE412F" w:rsidRPr="00AE412F" w:rsidRDefault="00AE412F" w:rsidP="00261BAA">
      <w:pPr>
        <w:spacing w:line="360" w:lineRule="auto"/>
        <w:rPr>
          <w:sz w:val="10"/>
        </w:rPr>
      </w:pPr>
    </w:p>
    <w:p w:rsidR="00D63DA8" w:rsidRDefault="00D63DA8" w:rsidP="00261BAA">
      <w:pPr>
        <w:spacing w:line="360" w:lineRule="auto"/>
      </w:pPr>
      <w:r>
        <w:t>2009</w:t>
      </w:r>
      <w:r>
        <w:tab/>
        <w:t>MA</w:t>
      </w:r>
      <w:r w:rsidR="00BA3B09">
        <w:t xml:space="preserve"> </w:t>
      </w:r>
      <w:r w:rsidR="00BA3B09" w:rsidRPr="00BA3B09">
        <w:rPr>
          <w:i/>
        </w:rPr>
        <w:t>The Year of the Flood</w:t>
      </w:r>
      <w:r w:rsidR="00BA3B09">
        <w:t xml:space="preserve"> </w:t>
      </w:r>
    </w:p>
    <w:p w:rsidR="00D63DA8" w:rsidRDefault="00D63DA8" w:rsidP="00261BAA">
      <w:pPr>
        <w:spacing w:line="360" w:lineRule="auto"/>
      </w:pPr>
      <w:r>
        <w:t>2010</w:t>
      </w:r>
      <w:r>
        <w:tab/>
        <w:t xml:space="preserve">Ian </w:t>
      </w:r>
      <w:proofErr w:type="spellStart"/>
      <w:r>
        <w:t>McEwan</w:t>
      </w:r>
      <w:proofErr w:type="spellEnd"/>
      <w:r>
        <w:t xml:space="preserve">, </w:t>
      </w:r>
      <w:r w:rsidRPr="00D63DA8">
        <w:rPr>
          <w:i/>
        </w:rPr>
        <w:t>Solar</w:t>
      </w:r>
      <w:r>
        <w:t xml:space="preserve"> </w:t>
      </w:r>
    </w:p>
    <w:p w:rsidR="00120255" w:rsidRPr="00120255" w:rsidRDefault="00120255" w:rsidP="00120255">
      <w:pPr>
        <w:spacing w:line="240" w:lineRule="auto"/>
      </w:pPr>
      <w:r w:rsidRPr="00120255">
        <w:t>“</w:t>
      </w:r>
      <w:proofErr w:type="spellStart"/>
      <w:r w:rsidRPr="00120255">
        <w:t>Hyperobjects</w:t>
      </w:r>
      <w:proofErr w:type="spellEnd"/>
      <w:r w:rsidRPr="00120255">
        <w:t xml:space="preserve"> do not rot in our lifetimes. They do not burn without themselves burning (releasing radiation, dioxins, and so on). The ecological thought must think of the future of these objects, these toxic things that appear almost more real than reality itself, like the acidic blood of the Alien in Ridley Scott’s film</w:t>
      </w:r>
      <w:r>
        <w:t xml:space="preserve"> ...</w:t>
      </w:r>
      <w:proofErr w:type="spellStart"/>
      <w:r>
        <w:t>H</w:t>
      </w:r>
      <w:r w:rsidRPr="00120255">
        <w:t>yperobjects</w:t>
      </w:r>
      <w:proofErr w:type="spellEnd"/>
      <w:r w:rsidRPr="00120255">
        <w:t xml:space="preserve"> don’t just burn a hole in the world;</w:t>
      </w:r>
      <w:r>
        <w:t xml:space="preserve"> they burn a hole in your mind.’ </w:t>
      </w:r>
      <w:r w:rsidRPr="00120255">
        <w:t>(Timothy Morton</w:t>
      </w:r>
      <w:r>
        <w:rPr>
          <w:lang w:val="en-US"/>
        </w:rPr>
        <w:t xml:space="preserve">, </w:t>
      </w:r>
      <w:r w:rsidRPr="00120255">
        <w:t xml:space="preserve">2010, 130) </w:t>
      </w:r>
    </w:p>
    <w:p w:rsidR="00D63DA8" w:rsidRDefault="00D63DA8" w:rsidP="00D63DA8"/>
    <w:p w:rsidR="00D63DA8" w:rsidRDefault="00D63DA8" w:rsidP="00D63DA8"/>
    <w:p w:rsidR="00AE412F" w:rsidRPr="00AE412F" w:rsidRDefault="00AE412F" w:rsidP="00AE412F">
      <w:pPr>
        <w:spacing w:line="240" w:lineRule="auto"/>
        <w:rPr>
          <w:b/>
        </w:rPr>
      </w:pPr>
      <w:r w:rsidRPr="00AE412F">
        <w:rPr>
          <w:b/>
        </w:rPr>
        <w:lastRenderedPageBreak/>
        <w:t>Definitions – Environmental Criticism / Ecocriticism</w:t>
      </w:r>
    </w:p>
    <w:p w:rsidR="00AE412F" w:rsidRDefault="00AE412F" w:rsidP="00AE412F">
      <w:pPr>
        <w:spacing w:line="240" w:lineRule="auto"/>
      </w:pPr>
    </w:p>
    <w:p w:rsidR="00F73763" w:rsidRDefault="00AE412F" w:rsidP="00AE412F">
      <w:pPr>
        <w:spacing w:line="240" w:lineRule="auto"/>
      </w:pPr>
      <w:r w:rsidRPr="00AE412F">
        <w:t xml:space="preserve">‘Ecocriticism, the study of human-nature relations in literature, film and other cultural expressions, has rapidly become established in the field of literary theory since its inception in the early 1990s. Ecocritics initially focused on American nature writing, the British Romantics and environmentally oriented non-fiction. In recent years, however, ecocritics have broadened this scope to include the study of earlier literary works, such as Shakespeare's plays and texts produced outside of the Anglo-American world. After two decades, ecocritics are forging new paths by taking interdisciplinary approaches, informed by, for example, risk theory, queer studies and </w:t>
      </w:r>
      <w:proofErr w:type="spellStart"/>
      <w:r w:rsidRPr="00AE412F">
        <w:t>postcolonialism</w:t>
      </w:r>
      <w:proofErr w:type="spellEnd"/>
      <w:r w:rsidRPr="00AE412F">
        <w:t xml:space="preserve">. As such, ecocriticism has also come to be at the forefront of current trends in the study of literatures in English.’ </w:t>
      </w:r>
    </w:p>
    <w:p w:rsidR="00AE412F" w:rsidRPr="00AE412F" w:rsidRDefault="00AE412F" w:rsidP="00AE412F">
      <w:pPr>
        <w:spacing w:line="240" w:lineRule="auto"/>
      </w:pPr>
      <w:r w:rsidRPr="00AE412F">
        <w:t>(</w:t>
      </w:r>
      <w:proofErr w:type="spellStart"/>
      <w:r w:rsidRPr="00AE412F">
        <w:t>Bracke</w:t>
      </w:r>
      <w:proofErr w:type="spellEnd"/>
      <w:r w:rsidRPr="00AE412F">
        <w:t xml:space="preserve"> &amp; </w:t>
      </w:r>
      <w:proofErr w:type="spellStart"/>
      <w:r w:rsidRPr="00AE412F">
        <w:t>Corporaal</w:t>
      </w:r>
      <w:proofErr w:type="spellEnd"/>
      <w:r w:rsidRPr="00AE412F">
        <w:t xml:space="preserve"> </w:t>
      </w:r>
      <w:r w:rsidR="00F73763" w:rsidRPr="00F73763">
        <w:t xml:space="preserve">'Ecocriticism and English Studies: An Introduction', </w:t>
      </w:r>
      <w:r w:rsidR="00F73763" w:rsidRPr="00F73763">
        <w:rPr>
          <w:i/>
          <w:iCs/>
        </w:rPr>
        <w:t xml:space="preserve">English Studies </w:t>
      </w:r>
      <w:r w:rsidR="00F73763" w:rsidRPr="00F73763">
        <w:t xml:space="preserve">(2010) 91:7, 709 - 712 </w:t>
      </w:r>
      <w:r w:rsidRPr="00AE412F">
        <w:t>2010, 709)</w:t>
      </w:r>
    </w:p>
    <w:p w:rsidR="00AE412F" w:rsidRDefault="00AE412F" w:rsidP="00D63DA8">
      <w:pPr>
        <w:rPr>
          <w:b/>
        </w:rPr>
      </w:pPr>
    </w:p>
    <w:p w:rsidR="00120255" w:rsidRPr="00120255" w:rsidRDefault="00120255" w:rsidP="00120255">
      <w:pPr>
        <w:spacing w:line="240" w:lineRule="auto"/>
      </w:pPr>
      <w:r>
        <w:t>‘</w:t>
      </w:r>
      <w:r w:rsidRPr="00120255">
        <w:t>Simply put, ecocriticism is the study of the relationship between literature and the physical environment. Just as feminist criticism examines language and literature from a gender conscious perspective, and Marxist criticism brings an awareness of modes of production and economic class to its reading of texts, ecocriticism takes an earth-centred approach to literary stu</w:t>
      </w:r>
      <w:r>
        <w:t>dies.’</w:t>
      </w:r>
      <w:r w:rsidRPr="00120255">
        <w:t xml:space="preserve"> (</w:t>
      </w:r>
      <w:proofErr w:type="spellStart"/>
      <w:r w:rsidRPr="00120255">
        <w:t>Cheryll</w:t>
      </w:r>
      <w:proofErr w:type="spellEnd"/>
      <w:r w:rsidRPr="00120255">
        <w:t xml:space="preserve"> </w:t>
      </w:r>
      <w:proofErr w:type="spellStart"/>
      <w:r w:rsidRPr="00120255">
        <w:t>Glotfelty</w:t>
      </w:r>
      <w:proofErr w:type="spellEnd"/>
      <w:r w:rsidRPr="00120255">
        <w:t xml:space="preserve"> 1996, xix)</w:t>
      </w:r>
    </w:p>
    <w:p w:rsidR="00120255" w:rsidRDefault="00120255" w:rsidP="00120255"/>
    <w:p w:rsidR="00F73763" w:rsidRDefault="00120255" w:rsidP="00120255">
      <w:pPr>
        <w:spacing w:line="240" w:lineRule="auto"/>
      </w:pPr>
      <w:r>
        <w:t>‘</w:t>
      </w:r>
      <w:r w:rsidRPr="00120255">
        <w:t>The simplicity of this broad claim</w:t>
      </w:r>
      <w:r>
        <w:t xml:space="preserve"> [</w:t>
      </w:r>
      <w:proofErr w:type="spellStart"/>
      <w:r>
        <w:t>Glotfelty’s</w:t>
      </w:r>
      <w:proofErr w:type="spellEnd"/>
      <w:r>
        <w:t>]</w:t>
      </w:r>
      <w:r w:rsidRPr="00120255">
        <w:t xml:space="preserve"> deceptively suggests an innocence of motive for ecocriticism: to sketch ... an impartial evaluation of relations between the literary and the environmental is to elide its po</w:t>
      </w:r>
      <w:r>
        <w:t>litics.’</w:t>
      </w:r>
      <w:r w:rsidRPr="00120255">
        <w:t xml:space="preserve"> </w:t>
      </w:r>
      <w:r>
        <w:t xml:space="preserve"> </w:t>
      </w:r>
    </w:p>
    <w:p w:rsidR="00120255" w:rsidRPr="00120255" w:rsidRDefault="00120255" w:rsidP="00120255">
      <w:pPr>
        <w:spacing w:line="240" w:lineRule="auto"/>
      </w:pPr>
      <w:r w:rsidRPr="00120255">
        <w:t>(Adeline Johns-Putra</w:t>
      </w:r>
      <w:r w:rsidR="00F73763">
        <w:t>,</w:t>
      </w:r>
      <w:r w:rsidRPr="00120255">
        <w:t xml:space="preserve"> </w:t>
      </w:r>
      <w:r w:rsidR="00F73763" w:rsidRPr="00F73763">
        <w:t xml:space="preserve">'Ecocriticism, Genre, and Climate Change: Reading the Utopian Vision of Kim Stanley Robinson's Science in the Capital Trilogy', </w:t>
      </w:r>
      <w:r w:rsidR="00F73763" w:rsidRPr="00F73763">
        <w:rPr>
          <w:i/>
        </w:rPr>
        <w:t>English Studies</w:t>
      </w:r>
      <w:r w:rsidR="00F73763" w:rsidRPr="00F73763">
        <w:t xml:space="preserve"> (2010) 91: 7, pp. 744 — 760</w:t>
      </w:r>
      <w:r w:rsidRPr="00120255">
        <w:t xml:space="preserve">, 745) </w:t>
      </w:r>
    </w:p>
    <w:p w:rsidR="00F73763" w:rsidRDefault="00F73763" w:rsidP="00F73763">
      <w:pPr>
        <w:spacing w:line="240" w:lineRule="auto"/>
      </w:pPr>
    </w:p>
    <w:p w:rsidR="00F73763" w:rsidRDefault="00F73763" w:rsidP="00F73763">
      <w:pPr>
        <w:spacing w:line="240" w:lineRule="auto"/>
      </w:pPr>
      <w:r>
        <w:t>‘</w:t>
      </w:r>
      <w:r w:rsidRPr="00F73763">
        <w:t>... ecocriticism has no central, dominant doctrine or theoretical apparatus—rather, ecocritical theory, such as it is, is being re-defined daily by the actual practice of thousands of literary scholars around the world</w:t>
      </w:r>
      <w:r>
        <w:t xml:space="preserve">.’ </w:t>
      </w:r>
      <w:r w:rsidRPr="00F73763">
        <w:t xml:space="preserve">(Scott </w:t>
      </w:r>
      <w:proofErr w:type="spellStart"/>
      <w:r w:rsidRPr="00F73763">
        <w:t>Slovic</w:t>
      </w:r>
      <w:proofErr w:type="spellEnd"/>
      <w:r w:rsidRPr="00F73763">
        <w:t xml:space="preserve"> 2000, 161)</w:t>
      </w:r>
    </w:p>
    <w:p w:rsidR="00F73763" w:rsidRDefault="00F73763" w:rsidP="00F73763">
      <w:pPr>
        <w:spacing w:line="240" w:lineRule="auto"/>
      </w:pPr>
    </w:p>
    <w:p w:rsidR="00F73763" w:rsidRPr="00F73763" w:rsidRDefault="00F73763" w:rsidP="00F73763">
      <w:pPr>
        <w:spacing w:line="240" w:lineRule="auto"/>
      </w:pPr>
      <w:r>
        <w:t>‘</w:t>
      </w:r>
      <w:r w:rsidRPr="00F73763">
        <w:t xml:space="preserve">The </w:t>
      </w:r>
      <w:proofErr w:type="spellStart"/>
      <w:r w:rsidRPr="00F73763">
        <w:t>ecocritic</w:t>
      </w:r>
      <w:proofErr w:type="spellEnd"/>
      <w:r w:rsidRPr="00F73763">
        <w:t xml:space="preserve"> wants to track environmental ideas and representations wherever they appear, to see more clearly a debate which seems to be taking place, often part-concealed, in a great many cultural spaces. Most of all, ecocriticism seeks to evaluate texts and ideas in terms of their coherence and usefulness as responses to environmental crisis</w:t>
      </w:r>
      <w:r>
        <w:t xml:space="preserve">’. </w:t>
      </w:r>
      <w:r w:rsidRPr="00F73763">
        <w:t xml:space="preserve">(Richard </w:t>
      </w:r>
      <w:proofErr w:type="spellStart"/>
      <w:r w:rsidRPr="00F73763">
        <w:t>Kerridge</w:t>
      </w:r>
      <w:proofErr w:type="spellEnd"/>
      <w:r w:rsidRPr="00F73763">
        <w:t xml:space="preserve"> 1998, 5)</w:t>
      </w:r>
    </w:p>
    <w:p w:rsidR="00E97D14" w:rsidRDefault="00E97D14">
      <w:pPr>
        <w:spacing w:after="200" w:line="276" w:lineRule="auto"/>
        <w:jc w:val="left"/>
        <w:rPr>
          <w:b/>
        </w:rPr>
      </w:pPr>
    </w:p>
    <w:p w:rsidR="00E97D14" w:rsidRDefault="00E97D14">
      <w:pPr>
        <w:spacing w:after="200" w:line="276" w:lineRule="auto"/>
        <w:jc w:val="left"/>
        <w:rPr>
          <w:b/>
        </w:rPr>
      </w:pPr>
    </w:p>
    <w:p w:rsidR="00E97D14" w:rsidRDefault="00E97D14">
      <w:pPr>
        <w:spacing w:after="200" w:line="276" w:lineRule="auto"/>
        <w:jc w:val="left"/>
        <w:rPr>
          <w:b/>
        </w:rPr>
      </w:pPr>
    </w:p>
    <w:p w:rsidR="00E97D14" w:rsidRDefault="00E97D14">
      <w:pPr>
        <w:spacing w:after="200" w:line="276" w:lineRule="auto"/>
        <w:jc w:val="left"/>
        <w:rPr>
          <w:b/>
        </w:rPr>
      </w:pPr>
    </w:p>
    <w:p w:rsidR="00E97D14" w:rsidRDefault="00E97D14">
      <w:pPr>
        <w:spacing w:after="200" w:line="276" w:lineRule="auto"/>
        <w:jc w:val="left"/>
        <w:rPr>
          <w:b/>
        </w:rPr>
      </w:pPr>
    </w:p>
    <w:p w:rsidR="00BA5142" w:rsidRDefault="00BA5142" w:rsidP="00E97D14">
      <w:pPr>
        <w:spacing w:after="200" w:line="276" w:lineRule="auto"/>
        <w:jc w:val="left"/>
        <w:rPr>
          <w:b/>
        </w:rPr>
      </w:pPr>
      <w:r>
        <w:rPr>
          <w:b/>
        </w:rPr>
        <w:br w:type="page"/>
      </w:r>
    </w:p>
    <w:p w:rsidR="00D63DA8" w:rsidRPr="008D7043" w:rsidRDefault="00D63DA8" w:rsidP="008D7043">
      <w:pPr>
        <w:spacing w:line="240" w:lineRule="auto"/>
        <w:rPr>
          <w:sz w:val="22"/>
        </w:rPr>
      </w:pPr>
      <w:r w:rsidRPr="008D7043">
        <w:rPr>
          <w:b/>
          <w:sz w:val="22"/>
        </w:rPr>
        <w:lastRenderedPageBreak/>
        <w:t xml:space="preserve">Environmental criticism / ecocriticism – </w:t>
      </w:r>
      <w:r w:rsidR="00F73763" w:rsidRPr="008D7043">
        <w:rPr>
          <w:b/>
          <w:sz w:val="22"/>
        </w:rPr>
        <w:t xml:space="preserve">thoughts / </w:t>
      </w:r>
      <w:r w:rsidRPr="008D7043">
        <w:rPr>
          <w:b/>
          <w:sz w:val="22"/>
        </w:rPr>
        <w:t>useful terms</w:t>
      </w:r>
    </w:p>
    <w:p w:rsidR="008D7043" w:rsidRPr="008D7043" w:rsidRDefault="008D7043" w:rsidP="008D7043">
      <w:pPr>
        <w:spacing w:line="240" w:lineRule="auto"/>
        <w:rPr>
          <w:sz w:val="32"/>
          <w:u w:val="single"/>
        </w:rPr>
      </w:pPr>
    </w:p>
    <w:p w:rsidR="00F73763" w:rsidRPr="008D7043" w:rsidRDefault="00F73763" w:rsidP="00F73763">
      <w:pPr>
        <w:spacing w:line="240" w:lineRule="auto"/>
        <w:rPr>
          <w:sz w:val="22"/>
          <w:u w:val="single"/>
        </w:rPr>
      </w:pPr>
      <w:r w:rsidRPr="008D7043">
        <w:rPr>
          <w:sz w:val="22"/>
          <w:u w:val="single"/>
        </w:rPr>
        <w:t>Environmental criticism and postmodernism:</w:t>
      </w:r>
    </w:p>
    <w:p w:rsidR="00F73763" w:rsidRPr="008D7043" w:rsidRDefault="00F73763" w:rsidP="00F73763">
      <w:pPr>
        <w:spacing w:line="240" w:lineRule="auto"/>
        <w:rPr>
          <w:sz w:val="16"/>
        </w:rPr>
      </w:pPr>
    </w:p>
    <w:p w:rsidR="00F73763" w:rsidRPr="008D7043" w:rsidRDefault="00F73763" w:rsidP="00F73763">
      <w:pPr>
        <w:spacing w:line="240" w:lineRule="auto"/>
        <w:rPr>
          <w:sz w:val="22"/>
        </w:rPr>
      </w:pPr>
      <w:r w:rsidRPr="008D7043">
        <w:rPr>
          <w:sz w:val="22"/>
        </w:rPr>
        <w:t xml:space="preserve">‘We need to distinguish between postmodern theory, which is mainly inimical to ecocriticism, and postmodern ecology, which will increasingly become its scientific reference point” (Greg </w:t>
      </w:r>
      <w:proofErr w:type="spellStart"/>
      <w:r w:rsidRPr="008D7043">
        <w:rPr>
          <w:sz w:val="22"/>
        </w:rPr>
        <w:t>Garrard</w:t>
      </w:r>
      <w:proofErr w:type="spellEnd"/>
      <w:r w:rsidRPr="008D7043">
        <w:rPr>
          <w:sz w:val="22"/>
        </w:rPr>
        <w:t xml:space="preserve"> 2004, 14)</w:t>
      </w:r>
    </w:p>
    <w:p w:rsidR="00F73763" w:rsidRPr="008D7043" w:rsidRDefault="00F73763" w:rsidP="00F73763">
      <w:pPr>
        <w:spacing w:line="240" w:lineRule="auto"/>
        <w:rPr>
          <w:sz w:val="14"/>
        </w:rPr>
      </w:pPr>
    </w:p>
    <w:p w:rsidR="00F73763" w:rsidRPr="008D7043" w:rsidRDefault="00F73763" w:rsidP="00F73763">
      <w:pPr>
        <w:spacing w:line="240" w:lineRule="auto"/>
        <w:rPr>
          <w:sz w:val="22"/>
        </w:rPr>
      </w:pPr>
      <w:r w:rsidRPr="008D7043">
        <w:rPr>
          <w:sz w:val="22"/>
        </w:rPr>
        <w:t xml:space="preserve">‘Ecocriticism has arrived at something of an impasse with what its practitioners variously call ‘‘postmodernism’’, ‘‘postmodern theory’’, or simply ‘‘theory’’. I suggest here that ecocriticism has often been too quick to disregard as theory a range of critical apparatuses that would allow an interrogation of literary structure and form, and has thus failed to utilise potentially pertinent critical and theoretical concepts.” (Adeline Johns-Putra 2010, 744) </w:t>
      </w:r>
    </w:p>
    <w:p w:rsidR="00F73763" w:rsidRPr="008D7043" w:rsidRDefault="00F73763" w:rsidP="008D7043">
      <w:pPr>
        <w:spacing w:line="240" w:lineRule="auto"/>
        <w:rPr>
          <w:sz w:val="16"/>
        </w:rPr>
      </w:pPr>
    </w:p>
    <w:p w:rsidR="00F73763" w:rsidRPr="008D7043" w:rsidRDefault="000F0F4D" w:rsidP="008D7043">
      <w:pPr>
        <w:spacing w:line="240" w:lineRule="auto"/>
        <w:rPr>
          <w:sz w:val="22"/>
        </w:rPr>
      </w:pPr>
      <w:r w:rsidRPr="008D7043">
        <w:rPr>
          <w:sz w:val="22"/>
        </w:rPr>
        <w:t xml:space="preserve">‘Once analyses of postmodernity and modernity are conjoined with analysis of the roots of the global environmental crisis, it will become clear that what we are facing is a unique historical event. In the middle of the nineteenth century Karl Marx argued that ‘only rarely and under quite special conditions is a society able to adopt a critical attitude towards itself’. The situation we are in is one of those quite special conditions in which not merely a society but the whole of modern civilization is being forced to adopt a critical attitude towards itself’ (Arran </w:t>
      </w:r>
      <w:proofErr w:type="spellStart"/>
      <w:r w:rsidRPr="008D7043">
        <w:rPr>
          <w:sz w:val="22"/>
        </w:rPr>
        <w:t>Gare</w:t>
      </w:r>
      <w:proofErr w:type="spellEnd"/>
      <w:r w:rsidRPr="008D7043">
        <w:rPr>
          <w:sz w:val="22"/>
        </w:rPr>
        <w:t xml:space="preserve"> 1995, 2)</w:t>
      </w:r>
    </w:p>
    <w:p w:rsidR="00F73763" w:rsidRPr="008D7043" w:rsidRDefault="00F73763" w:rsidP="008D7043">
      <w:pPr>
        <w:spacing w:line="240" w:lineRule="auto"/>
        <w:rPr>
          <w:sz w:val="20"/>
        </w:rPr>
      </w:pPr>
    </w:p>
    <w:p w:rsidR="000F0F4D" w:rsidRPr="008D7043" w:rsidRDefault="000F0F4D" w:rsidP="000F0F4D">
      <w:pPr>
        <w:rPr>
          <w:sz w:val="22"/>
          <w:u w:val="single"/>
        </w:rPr>
      </w:pPr>
      <w:r w:rsidRPr="008D7043">
        <w:rPr>
          <w:sz w:val="22"/>
          <w:u w:val="single"/>
        </w:rPr>
        <w:t xml:space="preserve">“Nature” – </w:t>
      </w:r>
      <w:r w:rsidR="00E85A54" w:rsidRPr="008D7043">
        <w:rPr>
          <w:sz w:val="22"/>
          <w:u w:val="single"/>
        </w:rPr>
        <w:t>(</w:t>
      </w:r>
      <w:r w:rsidRPr="008D7043">
        <w:rPr>
          <w:sz w:val="22"/>
          <w:u w:val="single"/>
        </w:rPr>
        <w:t xml:space="preserve">what is </w:t>
      </w:r>
      <w:r w:rsidR="00E85A54" w:rsidRPr="008D7043">
        <w:rPr>
          <w:sz w:val="22"/>
          <w:u w:val="single"/>
        </w:rPr>
        <w:t>“</w:t>
      </w:r>
      <w:r w:rsidRPr="008D7043">
        <w:rPr>
          <w:sz w:val="22"/>
          <w:u w:val="single"/>
        </w:rPr>
        <w:t>it</w:t>
      </w:r>
      <w:r w:rsidR="00E85A54" w:rsidRPr="008D7043">
        <w:rPr>
          <w:sz w:val="22"/>
          <w:u w:val="single"/>
        </w:rPr>
        <w:t>”</w:t>
      </w:r>
      <w:r w:rsidRPr="008D7043">
        <w:rPr>
          <w:sz w:val="22"/>
          <w:u w:val="single"/>
        </w:rPr>
        <w:t>?</w:t>
      </w:r>
      <w:r w:rsidR="00E85A54" w:rsidRPr="008D7043">
        <w:rPr>
          <w:sz w:val="22"/>
          <w:u w:val="single"/>
        </w:rPr>
        <w:t>)</w:t>
      </w:r>
      <w:r w:rsidRPr="008D7043">
        <w:rPr>
          <w:sz w:val="22"/>
          <w:u w:val="single"/>
        </w:rPr>
        <w:t xml:space="preserve"> </w:t>
      </w:r>
    </w:p>
    <w:p w:rsidR="000F0F4D" w:rsidRPr="008D7043" w:rsidRDefault="000F0F4D" w:rsidP="000F0F4D">
      <w:pPr>
        <w:spacing w:line="240" w:lineRule="auto"/>
        <w:rPr>
          <w:sz w:val="22"/>
        </w:rPr>
      </w:pPr>
      <w:r w:rsidRPr="008D7043">
        <w:rPr>
          <w:sz w:val="22"/>
        </w:rPr>
        <w:t xml:space="preserve">Edward Abbey’s notorious challenge to constructivist attitudes to nature: </w:t>
      </w:r>
    </w:p>
    <w:p w:rsidR="000F0F4D" w:rsidRPr="008D7043" w:rsidRDefault="000F0F4D" w:rsidP="000F0F4D">
      <w:pPr>
        <w:spacing w:line="240" w:lineRule="auto"/>
        <w:rPr>
          <w:sz w:val="22"/>
        </w:rPr>
      </w:pPr>
      <w:r w:rsidRPr="008D7043">
        <w:rPr>
          <w:sz w:val="22"/>
        </w:rPr>
        <w:t>‘‘....to refute the solipsist or metaphysical idealist all that you have to do is take him out and throw a rock at his head. If he ducks, he’s a liar.’ (quoted in Love, 2003, 26)</w:t>
      </w:r>
    </w:p>
    <w:p w:rsidR="000F0F4D" w:rsidRPr="008D7043" w:rsidRDefault="000F0F4D" w:rsidP="008D7043">
      <w:pPr>
        <w:spacing w:line="240" w:lineRule="auto"/>
        <w:rPr>
          <w:sz w:val="22"/>
        </w:rPr>
      </w:pPr>
      <w:r w:rsidRPr="008D7043">
        <w:rPr>
          <w:sz w:val="22"/>
        </w:rPr>
        <w:tab/>
      </w:r>
    </w:p>
    <w:p w:rsidR="000F0F4D" w:rsidRPr="008D7043" w:rsidRDefault="000F0F4D" w:rsidP="008D7043">
      <w:pPr>
        <w:spacing w:line="240" w:lineRule="auto"/>
        <w:rPr>
          <w:sz w:val="22"/>
        </w:rPr>
      </w:pPr>
      <w:r w:rsidRPr="008D7043">
        <w:rPr>
          <w:sz w:val="22"/>
        </w:rPr>
        <w:t>Johns-</w:t>
      </w:r>
      <w:proofErr w:type="spellStart"/>
      <w:r w:rsidRPr="008D7043">
        <w:rPr>
          <w:sz w:val="22"/>
        </w:rPr>
        <w:t>Putra’s</w:t>
      </w:r>
      <w:proofErr w:type="spellEnd"/>
      <w:r w:rsidRPr="008D7043">
        <w:rPr>
          <w:sz w:val="22"/>
        </w:rPr>
        <w:t xml:space="preserve"> response to Abbey is:  ‘... first, to concede the existence of the material world, expressed in that rock, inasmuch as it impacts against me. However, then, I would point out that, once I have been hit on the head, the only way to tell of that rock is to construct it, through language.” (Johns-Putra 2010, 746) </w:t>
      </w:r>
    </w:p>
    <w:p w:rsidR="000F0F4D" w:rsidRPr="008D7043" w:rsidRDefault="000F0F4D" w:rsidP="008D7043">
      <w:pPr>
        <w:spacing w:line="240" w:lineRule="auto"/>
        <w:rPr>
          <w:sz w:val="22"/>
        </w:rPr>
      </w:pPr>
    </w:p>
    <w:p w:rsidR="00F73213" w:rsidRPr="008D7043" w:rsidRDefault="00F73213" w:rsidP="00F73213">
      <w:pPr>
        <w:spacing w:line="240" w:lineRule="auto"/>
        <w:rPr>
          <w:sz w:val="22"/>
        </w:rPr>
      </w:pPr>
      <w:r w:rsidRPr="008D7043">
        <w:rPr>
          <w:sz w:val="22"/>
        </w:rPr>
        <w:t>Strange as  it may sound, the idea of nature is getting in the way of properly ecologically forms of culture, philosophy, politics and art ... It is in art that the fantasies we have about nature take shape – and dissolve. In particular the Romantic period, commonly seen as crucially about nature ... still influences the ways in which the ecological imagery works. (Morton 2010, 1)</w:t>
      </w:r>
    </w:p>
    <w:p w:rsidR="008D7043" w:rsidRPr="008D7043" w:rsidRDefault="008D7043" w:rsidP="008D7043">
      <w:pPr>
        <w:spacing w:line="240" w:lineRule="auto"/>
        <w:rPr>
          <w:sz w:val="22"/>
          <w:u w:val="single"/>
        </w:rPr>
      </w:pPr>
    </w:p>
    <w:p w:rsidR="008D7043" w:rsidRPr="008D7043" w:rsidRDefault="008D7043" w:rsidP="008D7043">
      <w:pPr>
        <w:rPr>
          <w:sz w:val="22"/>
          <w:u w:val="single"/>
        </w:rPr>
      </w:pPr>
      <w:r w:rsidRPr="008D7043">
        <w:rPr>
          <w:sz w:val="22"/>
          <w:u w:val="single"/>
        </w:rPr>
        <w:t>Cyborg</w:t>
      </w:r>
    </w:p>
    <w:p w:rsidR="008D7043" w:rsidRPr="008D7043" w:rsidRDefault="008D7043" w:rsidP="008D7043">
      <w:pPr>
        <w:spacing w:line="240" w:lineRule="auto"/>
        <w:rPr>
          <w:sz w:val="22"/>
        </w:rPr>
      </w:pPr>
      <w:r w:rsidRPr="008D7043">
        <w:rPr>
          <w:sz w:val="22"/>
        </w:rPr>
        <w:t>‘A mid twentieth century coinage, derived from “cybernetics,” denoting an organic (typically, human) being altered by mechanical means. Since the mid-1980s the idea has been given greater circulation and bite through the influence of Donna Haraway’s “Cyborg Manifesto” (1991: 49-81), in which “Cyborg signifies not one but three “crucial boundary breakdowns”: between organisms and machines, between humans and nonhumans, and between the physical and the non-physical. Haraway’s vision of a Cyborg as “a kind of disassembled and reassembled, postmodern collective and personal self” (p. 163) is framed particularly as a socialist- feminist myth of identity to liberate women from the bonds of the natural; but its intended reach is more sweeping: to envisage “a way out of the maze of dualisms in which we have explained our bodies and our tools to ourselves” (p.181). In this view, we are all Cyborgs now.’ (Lawrence Buell 2005, p. 136)</w:t>
      </w:r>
    </w:p>
    <w:p w:rsidR="008D7043" w:rsidRPr="008D7043" w:rsidRDefault="008D7043" w:rsidP="008D7043">
      <w:pPr>
        <w:spacing w:line="240" w:lineRule="auto"/>
        <w:rPr>
          <w:sz w:val="22"/>
        </w:rPr>
      </w:pPr>
    </w:p>
    <w:p w:rsidR="008D7043" w:rsidRPr="008D7043" w:rsidRDefault="008D7043" w:rsidP="008D7043">
      <w:pPr>
        <w:spacing w:line="240" w:lineRule="auto"/>
        <w:rPr>
          <w:sz w:val="22"/>
        </w:rPr>
      </w:pPr>
      <w:r w:rsidRPr="008D7043">
        <w:rPr>
          <w:sz w:val="22"/>
        </w:rPr>
        <w:t xml:space="preserve">“... A </w:t>
      </w:r>
      <w:proofErr w:type="spellStart"/>
      <w:r w:rsidRPr="008D7043">
        <w:rPr>
          <w:sz w:val="22"/>
        </w:rPr>
        <w:t>cyborg</w:t>
      </w:r>
      <w:proofErr w:type="spellEnd"/>
      <w:r w:rsidRPr="008D7043">
        <w:rPr>
          <w:sz w:val="22"/>
        </w:rPr>
        <w:t xml:space="preserve"> world might be about lived social and bodily realities in which people are not afraid of their joint kinship with animals and machines, not afraid of permanently partial identities and contradictory standpoints.” (Donna Haraway, 1980, in Norton, 2195-6) </w:t>
      </w:r>
    </w:p>
    <w:p w:rsidR="000F0F4D" w:rsidRPr="008D7043" w:rsidRDefault="000F0F4D" w:rsidP="008D7043">
      <w:pPr>
        <w:spacing w:line="240" w:lineRule="auto"/>
        <w:rPr>
          <w:sz w:val="16"/>
        </w:rPr>
      </w:pPr>
    </w:p>
    <w:p w:rsidR="008D7043" w:rsidRDefault="008D7043" w:rsidP="00D63DA8">
      <w:pPr>
        <w:rPr>
          <w:sz w:val="22"/>
          <w:u w:val="single"/>
        </w:rPr>
      </w:pPr>
    </w:p>
    <w:p w:rsidR="00D63DA8" w:rsidRPr="008D7043" w:rsidRDefault="00D63DA8" w:rsidP="00D63DA8">
      <w:pPr>
        <w:rPr>
          <w:sz w:val="22"/>
          <w:u w:val="single"/>
        </w:rPr>
      </w:pPr>
      <w:r w:rsidRPr="008D7043">
        <w:rPr>
          <w:sz w:val="22"/>
          <w:u w:val="single"/>
        </w:rPr>
        <w:lastRenderedPageBreak/>
        <w:t>Humanism / posthumanism</w:t>
      </w:r>
      <w:r w:rsidR="008D7043" w:rsidRPr="008D7043">
        <w:rPr>
          <w:sz w:val="22"/>
          <w:u w:val="single"/>
        </w:rPr>
        <w:t xml:space="preserve"> / transhumanism</w:t>
      </w:r>
      <w:r w:rsidRPr="008D7043">
        <w:rPr>
          <w:sz w:val="22"/>
          <w:u w:val="single"/>
        </w:rPr>
        <w:t xml:space="preserve"> </w:t>
      </w:r>
    </w:p>
    <w:p w:rsidR="008D7043" w:rsidRPr="008D7043" w:rsidRDefault="008D7043" w:rsidP="008D7043">
      <w:pPr>
        <w:autoSpaceDE w:val="0"/>
        <w:autoSpaceDN w:val="0"/>
        <w:adjustRightInd w:val="0"/>
        <w:spacing w:line="240" w:lineRule="auto"/>
        <w:jc w:val="left"/>
        <w:rPr>
          <w:rFonts w:cs="Times New Roman"/>
          <w:color w:val="000000"/>
          <w:sz w:val="22"/>
        </w:rPr>
      </w:pPr>
    </w:p>
    <w:p w:rsidR="008D7043" w:rsidRPr="008D7043" w:rsidRDefault="008D7043" w:rsidP="008D7043">
      <w:pPr>
        <w:autoSpaceDE w:val="0"/>
        <w:autoSpaceDN w:val="0"/>
        <w:adjustRightInd w:val="0"/>
        <w:spacing w:line="240" w:lineRule="auto"/>
        <w:ind w:left="720"/>
        <w:jc w:val="left"/>
        <w:rPr>
          <w:rFonts w:cs="Times New Roman"/>
          <w:color w:val="000000"/>
          <w:sz w:val="22"/>
        </w:rPr>
      </w:pPr>
      <w:r w:rsidRPr="008D7043">
        <w:rPr>
          <w:rFonts w:cs="Times New Roman"/>
          <w:color w:val="000000"/>
          <w:sz w:val="22"/>
        </w:rPr>
        <w:t xml:space="preserve">It is important to recognize that the construction of the posthuman does not require the subject to be a literal </w:t>
      </w:r>
      <w:proofErr w:type="spellStart"/>
      <w:r w:rsidRPr="008D7043">
        <w:rPr>
          <w:rFonts w:cs="Times New Roman"/>
          <w:color w:val="000000"/>
          <w:sz w:val="22"/>
        </w:rPr>
        <w:t>cyborg</w:t>
      </w:r>
      <w:proofErr w:type="spellEnd"/>
      <w:r w:rsidRPr="008D7043">
        <w:rPr>
          <w:rFonts w:cs="Times New Roman"/>
          <w:color w:val="000000"/>
          <w:sz w:val="22"/>
        </w:rPr>
        <w:t xml:space="preserve">. Whether or not interventions have been made on the body, new models of subjectivity emerging from such fields as cognitive science and artificial life imply that even a biologically unaltered </w:t>
      </w:r>
      <w:r w:rsidRPr="008D7043">
        <w:rPr>
          <w:rFonts w:cs="Times New Roman"/>
          <w:i/>
          <w:iCs/>
          <w:color w:val="000000"/>
          <w:sz w:val="22"/>
        </w:rPr>
        <w:t xml:space="preserve">Homo sapiens </w:t>
      </w:r>
      <w:r w:rsidRPr="008D7043">
        <w:rPr>
          <w:rFonts w:cs="Times New Roman"/>
          <w:color w:val="000000"/>
          <w:sz w:val="22"/>
        </w:rPr>
        <w:t xml:space="preserve">counts as posthuman. The defining characteristics involve the construction of subjectivity, not the presence of </w:t>
      </w:r>
      <w:proofErr w:type="spellStart"/>
      <w:r w:rsidRPr="008D7043">
        <w:rPr>
          <w:rFonts w:cs="Times New Roman"/>
          <w:color w:val="000000"/>
          <w:sz w:val="22"/>
        </w:rPr>
        <w:t>nonbiological</w:t>
      </w:r>
      <w:proofErr w:type="spellEnd"/>
      <w:r w:rsidRPr="008D7043">
        <w:rPr>
          <w:rFonts w:cs="Times New Roman"/>
          <w:color w:val="000000"/>
          <w:sz w:val="22"/>
        </w:rPr>
        <w:t xml:space="preserve"> components. (p. 4)</w:t>
      </w:r>
    </w:p>
    <w:p w:rsidR="008D7043" w:rsidRPr="008D7043" w:rsidRDefault="008D7043" w:rsidP="008D7043">
      <w:pPr>
        <w:autoSpaceDE w:val="0"/>
        <w:autoSpaceDN w:val="0"/>
        <w:adjustRightInd w:val="0"/>
        <w:spacing w:line="240" w:lineRule="auto"/>
        <w:jc w:val="left"/>
        <w:rPr>
          <w:rFonts w:cs="Times New Roman"/>
          <w:color w:val="000000"/>
          <w:sz w:val="22"/>
        </w:rPr>
      </w:pPr>
    </w:p>
    <w:p w:rsidR="008D7043" w:rsidRPr="008D7043" w:rsidRDefault="008D7043" w:rsidP="008D7043">
      <w:pPr>
        <w:autoSpaceDE w:val="0"/>
        <w:autoSpaceDN w:val="0"/>
        <w:adjustRightInd w:val="0"/>
        <w:spacing w:line="240" w:lineRule="auto"/>
        <w:ind w:left="720"/>
        <w:jc w:val="left"/>
        <w:rPr>
          <w:rFonts w:cs="Times New Roman"/>
          <w:color w:val="000000"/>
          <w:sz w:val="22"/>
        </w:rPr>
      </w:pPr>
      <w:r w:rsidRPr="008D7043">
        <w:rPr>
          <w:rFonts w:cs="Times New Roman"/>
          <w:color w:val="000000"/>
          <w:sz w:val="22"/>
        </w:rPr>
        <w:t>The posthuman does not really mean the end of humanity. It signals instead the end of a certain conception of the human, a conception that may have applied, at best, to that fraction of humanity who had wealth, power, and leisure to conceptualize themselves as autonomous beings exercising their will through individual agency and choice. (p. XXX)</w:t>
      </w:r>
    </w:p>
    <w:p w:rsidR="008D7043" w:rsidRPr="008D7043" w:rsidRDefault="008D7043" w:rsidP="008D7043">
      <w:pPr>
        <w:autoSpaceDE w:val="0"/>
        <w:autoSpaceDN w:val="0"/>
        <w:adjustRightInd w:val="0"/>
        <w:spacing w:line="240" w:lineRule="auto"/>
        <w:jc w:val="left"/>
        <w:rPr>
          <w:rFonts w:cs="Times New Roman"/>
          <w:color w:val="000000"/>
          <w:sz w:val="22"/>
        </w:rPr>
      </w:pPr>
    </w:p>
    <w:p w:rsidR="008D7043" w:rsidRPr="008D7043" w:rsidRDefault="008D7043" w:rsidP="008D7043">
      <w:pPr>
        <w:autoSpaceDE w:val="0"/>
        <w:autoSpaceDN w:val="0"/>
        <w:adjustRightInd w:val="0"/>
        <w:spacing w:line="240" w:lineRule="auto"/>
        <w:jc w:val="left"/>
        <w:rPr>
          <w:rFonts w:cs="Times New Roman"/>
          <w:color w:val="000000"/>
          <w:sz w:val="22"/>
        </w:rPr>
      </w:pPr>
      <w:proofErr w:type="spellStart"/>
      <w:r w:rsidRPr="008D7043">
        <w:rPr>
          <w:rFonts w:cs="Times New Roman"/>
          <w:color w:val="000000"/>
          <w:sz w:val="22"/>
        </w:rPr>
        <w:t>Hayles</w:t>
      </w:r>
      <w:proofErr w:type="spellEnd"/>
      <w:r w:rsidRPr="008D7043">
        <w:rPr>
          <w:rFonts w:cs="Times New Roman"/>
          <w:color w:val="000000"/>
          <w:sz w:val="22"/>
        </w:rPr>
        <w:t xml:space="preserve">, N. Katherine (1999). </w:t>
      </w:r>
      <w:r w:rsidRPr="008D7043">
        <w:rPr>
          <w:rFonts w:cs="Times New Roman"/>
          <w:i/>
          <w:iCs/>
          <w:color w:val="000000"/>
          <w:sz w:val="22"/>
        </w:rPr>
        <w:t>How We Became Posthuman: Virtual Bodies in Cybernetics, Literature, and Informatics</w:t>
      </w:r>
      <w:r w:rsidRPr="008D7043">
        <w:rPr>
          <w:rFonts w:cs="Times New Roman"/>
          <w:color w:val="000000"/>
          <w:sz w:val="22"/>
        </w:rPr>
        <w:t>. Chicago, University of Chicago Press.</w:t>
      </w:r>
    </w:p>
    <w:p w:rsidR="008D7043" w:rsidRPr="008D7043" w:rsidRDefault="008D7043" w:rsidP="008D7043">
      <w:pPr>
        <w:autoSpaceDE w:val="0"/>
        <w:autoSpaceDN w:val="0"/>
        <w:adjustRightInd w:val="0"/>
        <w:spacing w:line="240" w:lineRule="auto"/>
        <w:jc w:val="left"/>
        <w:rPr>
          <w:rFonts w:cs="Times New Roman"/>
          <w:color w:val="000000"/>
          <w:sz w:val="22"/>
        </w:rPr>
      </w:pPr>
    </w:p>
    <w:p w:rsidR="008D7043" w:rsidRPr="008D7043" w:rsidRDefault="00E97D14" w:rsidP="008D7043">
      <w:pPr>
        <w:autoSpaceDE w:val="0"/>
        <w:autoSpaceDN w:val="0"/>
        <w:adjustRightInd w:val="0"/>
        <w:spacing w:line="240" w:lineRule="auto"/>
        <w:jc w:val="left"/>
        <w:rPr>
          <w:rFonts w:cs="Times New Roman"/>
          <w:color w:val="000000"/>
          <w:sz w:val="22"/>
        </w:rPr>
      </w:pPr>
      <w:r w:rsidRPr="008D7043">
        <w:rPr>
          <w:rFonts w:eastAsia="Times New Roman" w:cs="Times New Roman"/>
          <w:sz w:val="22"/>
          <w:lang w:eastAsia="en-GB"/>
        </w:rPr>
        <w:t>‘[A]</w:t>
      </w:r>
      <w:proofErr w:type="spellStart"/>
      <w:r w:rsidRPr="00E97D14">
        <w:rPr>
          <w:rFonts w:eastAsia="Times New Roman" w:cs="Times New Roman"/>
          <w:sz w:val="22"/>
          <w:lang w:eastAsia="en-GB"/>
        </w:rPr>
        <w:t>ccounts</w:t>
      </w:r>
      <w:proofErr w:type="spellEnd"/>
      <w:r w:rsidRPr="00E97D14">
        <w:rPr>
          <w:rFonts w:eastAsia="Times New Roman" w:cs="Times New Roman"/>
          <w:sz w:val="22"/>
          <w:lang w:eastAsia="en-GB"/>
        </w:rPr>
        <w:t xml:space="preserve"> of </w:t>
      </w:r>
      <w:r w:rsidRPr="008D7043">
        <w:rPr>
          <w:rFonts w:eastAsia="Times New Roman" w:cs="Times New Roman"/>
          <w:sz w:val="22"/>
          <w:lang w:eastAsia="en-GB"/>
        </w:rPr>
        <w:t>posthumanism</w:t>
      </w:r>
      <w:r w:rsidRPr="00E97D14">
        <w:rPr>
          <w:rFonts w:eastAsia="Times New Roman" w:cs="Times New Roman"/>
          <w:sz w:val="22"/>
          <w:lang w:eastAsia="en-GB"/>
        </w:rPr>
        <w:t xml:space="preserve"> tend to gravitate toward one of two poles, even as they often combine elements of both: a positive (or in extreme form, utopian) assessment, or, as in Fukuyama, a negative (or even dystopian) one. This difference is further complicated by a second polarization already touched on: between a </w:t>
      </w:r>
      <w:r w:rsidRPr="00E97D14">
        <w:rPr>
          <w:rFonts w:eastAsia="Times New Roman" w:cs="Times New Roman"/>
          <w:i/>
          <w:sz w:val="22"/>
          <w:lang w:eastAsia="en-GB"/>
        </w:rPr>
        <w:t>historical</w:t>
      </w:r>
      <w:r w:rsidRPr="00E97D14">
        <w:rPr>
          <w:rFonts w:eastAsia="Times New Roman" w:cs="Times New Roman"/>
          <w:sz w:val="22"/>
          <w:lang w:eastAsia="en-GB"/>
        </w:rPr>
        <w:t xml:space="preserve"> understanding of </w:t>
      </w:r>
      <w:r w:rsidRPr="008D7043">
        <w:rPr>
          <w:rFonts w:eastAsia="Times New Roman" w:cs="Times New Roman"/>
          <w:sz w:val="22"/>
          <w:lang w:eastAsia="en-GB"/>
        </w:rPr>
        <w:t>posthumanism</w:t>
      </w:r>
      <w:r w:rsidRPr="00E97D14">
        <w:rPr>
          <w:rFonts w:eastAsia="Times New Roman" w:cs="Times New Roman"/>
          <w:sz w:val="22"/>
          <w:lang w:eastAsia="en-GB"/>
        </w:rPr>
        <w:t xml:space="preserve"> (of the sort found in Fukuyama, or in Katherine </w:t>
      </w:r>
      <w:proofErr w:type="spellStart"/>
      <w:r w:rsidRPr="008D7043">
        <w:rPr>
          <w:rFonts w:eastAsia="Times New Roman" w:cs="Times New Roman"/>
          <w:sz w:val="22"/>
          <w:lang w:eastAsia="en-GB"/>
        </w:rPr>
        <w:t>Hayles</w:t>
      </w:r>
      <w:proofErr w:type="spellEnd"/>
      <w:r w:rsidRPr="00E97D14">
        <w:rPr>
          <w:rFonts w:eastAsia="Times New Roman" w:cs="Times New Roman"/>
          <w:sz w:val="22"/>
          <w:lang w:eastAsia="en-GB"/>
        </w:rPr>
        <w:t xml:space="preserve">’ </w:t>
      </w:r>
      <w:r w:rsidRPr="00E97D14">
        <w:rPr>
          <w:rFonts w:eastAsia="Times New Roman" w:cs="Times New Roman"/>
          <w:i/>
          <w:sz w:val="22"/>
          <w:lang w:eastAsia="en-GB"/>
        </w:rPr>
        <w:t xml:space="preserve">How We Became </w:t>
      </w:r>
      <w:r w:rsidRPr="008D7043">
        <w:rPr>
          <w:rFonts w:eastAsia="Times New Roman" w:cs="Times New Roman"/>
          <w:i/>
          <w:sz w:val="22"/>
          <w:lang w:eastAsia="en-GB"/>
        </w:rPr>
        <w:t>Posthuman</w:t>
      </w:r>
      <w:r w:rsidRPr="00E97D14">
        <w:rPr>
          <w:rFonts w:eastAsia="Times New Roman" w:cs="Times New Roman"/>
          <w:sz w:val="22"/>
          <w:lang w:eastAsia="en-GB"/>
        </w:rPr>
        <w:t xml:space="preserve">) that identifies the term with specific historical and technological developments, and a </w:t>
      </w:r>
      <w:r w:rsidRPr="00E97D14">
        <w:rPr>
          <w:rFonts w:eastAsia="Times New Roman" w:cs="Times New Roman"/>
          <w:i/>
          <w:sz w:val="22"/>
          <w:lang w:eastAsia="en-GB"/>
        </w:rPr>
        <w:t>philosophical</w:t>
      </w:r>
      <w:r w:rsidRPr="00E97D14">
        <w:rPr>
          <w:rFonts w:eastAsia="Times New Roman" w:cs="Times New Roman"/>
          <w:sz w:val="22"/>
          <w:lang w:eastAsia="en-GB"/>
        </w:rPr>
        <w:t xml:space="preserve"> one (of the type found in the work of Jacques Derrida or Judith Butler, for example) which would insist that the “post-“ of “</w:t>
      </w:r>
      <w:r w:rsidRPr="008D7043">
        <w:rPr>
          <w:rFonts w:eastAsia="Times New Roman" w:cs="Times New Roman"/>
          <w:sz w:val="22"/>
          <w:lang w:eastAsia="en-GB"/>
        </w:rPr>
        <w:t>posthumanism</w:t>
      </w:r>
      <w:r w:rsidRPr="00E97D14">
        <w:rPr>
          <w:rFonts w:eastAsia="Times New Roman" w:cs="Times New Roman"/>
          <w:sz w:val="22"/>
          <w:lang w:eastAsia="en-GB"/>
        </w:rPr>
        <w:t xml:space="preserve">” indicates a particular philosophical orientation toward the question of the human itself, one that would insist (to paraphrase the title of Bruno </w:t>
      </w:r>
      <w:proofErr w:type="spellStart"/>
      <w:r w:rsidRPr="008D7043">
        <w:rPr>
          <w:rFonts w:eastAsia="Times New Roman" w:cs="Times New Roman"/>
          <w:sz w:val="22"/>
          <w:lang w:eastAsia="en-GB"/>
        </w:rPr>
        <w:t>Latour’s</w:t>
      </w:r>
      <w:proofErr w:type="spellEnd"/>
      <w:r w:rsidRPr="00E97D14">
        <w:rPr>
          <w:rFonts w:eastAsia="Times New Roman" w:cs="Times New Roman"/>
          <w:sz w:val="22"/>
          <w:lang w:eastAsia="en-GB"/>
        </w:rPr>
        <w:t xml:space="preserve"> well-known study of modernity), that we have </w:t>
      </w:r>
      <w:r w:rsidRPr="00E97D14">
        <w:rPr>
          <w:rFonts w:eastAsia="Times New Roman" w:cs="Times New Roman"/>
          <w:i/>
          <w:sz w:val="22"/>
          <w:lang w:eastAsia="en-GB"/>
        </w:rPr>
        <w:t xml:space="preserve">never  </w:t>
      </w:r>
      <w:r w:rsidRPr="00E97D14">
        <w:rPr>
          <w:rFonts w:eastAsia="Times New Roman" w:cs="Times New Roman"/>
          <w:sz w:val="22"/>
          <w:lang w:eastAsia="en-GB"/>
        </w:rPr>
        <w:t xml:space="preserve">been only or wholly human, if by “human” we mean that creature familiar to us from the Enlightenment and its legacy (the Cartesian subject of the </w:t>
      </w:r>
      <w:r w:rsidRPr="00E97D14">
        <w:rPr>
          <w:rFonts w:eastAsia="Times New Roman" w:cs="Times New Roman"/>
          <w:i/>
          <w:sz w:val="22"/>
          <w:lang w:eastAsia="en-GB"/>
        </w:rPr>
        <w:t>cogito</w:t>
      </w:r>
      <w:r w:rsidRPr="00E97D14">
        <w:rPr>
          <w:rFonts w:eastAsia="Times New Roman" w:cs="Times New Roman"/>
          <w:sz w:val="22"/>
          <w:lang w:eastAsia="en-GB"/>
        </w:rPr>
        <w:t>, the Kantian “community of reasonable beings,” or, in more sociological terms, the subject as citizen, rights-holder, property-owner, and so on).</w:t>
      </w:r>
      <w:r w:rsidRPr="008D7043">
        <w:rPr>
          <w:rFonts w:eastAsia="Times New Roman" w:cs="Times New Roman"/>
          <w:sz w:val="22"/>
          <w:lang w:eastAsia="en-GB"/>
        </w:rPr>
        <w:t>’ Cary Wolfe:</w:t>
      </w:r>
      <w:r w:rsidRPr="00E97D14">
        <w:rPr>
          <w:rFonts w:eastAsia="Times New Roman" w:cs="Times New Roman"/>
          <w:sz w:val="22"/>
          <w:lang w:eastAsia="en-GB"/>
        </w:rPr>
        <w:t xml:space="preserve"> </w:t>
      </w:r>
      <w:r w:rsidRPr="008D7043">
        <w:rPr>
          <w:rFonts w:eastAsia="Times New Roman" w:cs="Times New Roman"/>
          <w:sz w:val="22"/>
          <w:lang w:eastAsia="en-GB"/>
        </w:rPr>
        <w:t>http://www.carywolfe.com/post_about.html</w:t>
      </w:r>
    </w:p>
    <w:p w:rsidR="00856715" w:rsidRPr="008D7043" w:rsidRDefault="00856715" w:rsidP="00856715">
      <w:pPr>
        <w:pStyle w:val="FootnoteText"/>
        <w:rPr>
          <w:sz w:val="22"/>
          <w:szCs w:val="22"/>
        </w:rPr>
      </w:pPr>
    </w:p>
    <w:p w:rsidR="0077669F" w:rsidRPr="008D7043" w:rsidRDefault="00856715" w:rsidP="0077669F">
      <w:pPr>
        <w:pStyle w:val="Bibliography"/>
        <w:spacing w:line="240" w:lineRule="auto"/>
        <w:rPr>
          <w:noProof/>
        </w:rPr>
      </w:pPr>
      <w:r w:rsidRPr="008D7043">
        <w:t>For an interesting discussion see Lewis P. Hinchman, ‘Is Environmentalism Humanism?’ (2004).</w:t>
      </w:r>
      <w:r w:rsidR="0077669F" w:rsidRPr="008D7043">
        <w:rPr>
          <w:i/>
          <w:iCs/>
          <w:noProof/>
        </w:rPr>
        <w:t xml:space="preserve"> Environmental Values</w:t>
      </w:r>
      <w:r w:rsidR="0077669F" w:rsidRPr="008D7043">
        <w:rPr>
          <w:noProof/>
        </w:rPr>
        <w:t xml:space="preserve"> </w:t>
      </w:r>
      <w:r w:rsidR="0077669F" w:rsidRPr="008D7043">
        <w:rPr>
          <w:i/>
          <w:iCs/>
          <w:noProof/>
        </w:rPr>
        <w:t>, 13</w:t>
      </w:r>
      <w:r w:rsidR="0077669F" w:rsidRPr="008D7043">
        <w:rPr>
          <w:noProof/>
        </w:rPr>
        <w:t>, 3-29.</w:t>
      </w:r>
    </w:p>
    <w:p w:rsidR="00856715" w:rsidRPr="008D7043" w:rsidRDefault="00856715" w:rsidP="00856715">
      <w:pPr>
        <w:pStyle w:val="FootnoteText"/>
        <w:rPr>
          <w:sz w:val="22"/>
          <w:szCs w:val="22"/>
        </w:rPr>
      </w:pPr>
    </w:p>
    <w:p w:rsidR="008D7043" w:rsidRPr="008D7043" w:rsidRDefault="008D7043" w:rsidP="008D7043">
      <w:pPr>
        <w:rPr>
          <w:sz w:val="22"/>
          <w:u w:val="single"/>
        </w:rPr>
      </w:pPr>
      <w:r w:rsidRPr="008D7043">
        <w:rPr>
          <w:sz w:val="22"/>
          <w:u w:val="single"/>
        </w:rPr>
        <w:t>Some “isms”</w:t>
      </w:r>
    </w:p>
    <w:p w:rsidR="008D7043" w:rsidRPr="008D7043" w:rsidRDefault="008D7043" w:rsidP="008D7043">
      <w:pPr>
        <w:pStyle w:val="ListParagraph"/>
        <w:numPr>
          <w:ilvl w:val="0"/>
          <w:numId w:val="5"/>
        </w:numPr>
        <w:spacing w:line="240" w:lineRule="auto"/>
        <w:rPr>
          <w:sz w:val="22"/>
        </w:rPr>
      </w:pPr>
      <w:r w:rsidRPr="008D7043">
        <w:rPr>
          <w:sz w:val="22"/>
        </w:rPr>
        <w:t>Anthropocentrism – ‘system of beliefs and practices that favours humans over other organisms’ (</w:t>
      </w:r>
      <w:proofErr w:type="spellStart"/>
      <w:r w:rsidRPr="008D7043">
        <w:rPr>
          <w:sz w:val="22"/>
        </w:rPr>
        <w:t>Garrard</w:t>
      </w:r>
      <w:proofErr w:type="spellEnd"/>
      <w:r w:rsidRPr="008D7043">
        <w:rPr>
          <w:sz w:val="22"/>
        </w:rPr>
        <w:t>, 2010, 182)</w:t>
      </w:r>
    </w:p>
    <w:p w:rsidR="008D7043" w:rsidRPr="008D7043" w:rsidRDefault="008D7043" w:rsidP="008D7043">
      <w:pPr>
        <w:pStyle w:val="ListParagraph"/>
        <w:numPr>
          <w:ilvl w:val="0"/>
          <w:numId w:val="5"/>
        </w:numPr>
        <w:spacing w:line="240" w:lineRule="auto"/>
        <w:rPr>
          <w:sz w:val="22"/>
        </w:rPr>
      </w:pPr>
      <w:r w:rsidRPr="008D7043">
        <w:rPr>
          <w:sz w:val="22"/>
        </w:rPr>
        <w:t>Ecocentrism – ‘the view in environmental ethics that the interest of the ecosphere must override that of the interest of individual species’ (Buell, 2005, 137)</w:t>
      </w:r>
    </w:p>
    <w:p w:rsidR="008D7043" w:rsidRPr="008D7043" w:rsidRDefault="008D7043" w:rsidP="008D7043">
      <w:pPr>
        <w:pStyle w:val="ListParagraph"/>
        <w:numPr>
          <w:ilvl w:val="0"/>
          <w:numId w:val="5"/>
        </w:numPr>
        <w:spacing w:line="240" w:lineRule="auto"/>
        <w:rPr>
          <w:sz w:val="22"/>
          <w:u w:val="single"/>
        </w:rPr>
      </w:pPr>
      <w:r w:rsidRPr="008D7043">
        <w:rPr>
          <w:sz w:val="22"/>
        </w:rPr>
        <w:t xml:space="preserve">Biocentrism – system of beliefs and practices that makes all “biotic life” (human and non-human alike) the centre of concern. </w:t>
      </w:r>
    </w:p>
    <w:p w:rsidR="008D7043" w:rsidRPr="008D7043" w:rsidRDefault="008D7043" w:rsidP="008D7043">
      <w:pPr>
        <w:pStyle w:val="ListParagraph"/>
        <w:numPr>
          <w:ilvl w:val="0"/>
          <w:numId w:val="5"/>
        </w:numPr>
        <w:spacing w:line="240" w:lineRule="auto"/>
        <w:rPr>
          <w:sz w:val="22"/>
        </w:rPr>
      </w:pPr>
      <w:r w:rsidRPr="008D7043">
        <w:rPr>
          <w:sz w:val="22"/>
        </w:rPr>
        <w:t>Speciesism – prejudice in favour of one’s own species</w:t>
      </w:r>
    </w:p>
    <w:p w:rsidR="008D7043" w:rsidRPr="008D7043" w:rsidRDefault="008D7043" w:rsidP="008D7043">
      <w:pPr>
        <w:pStyle w:val="ListParagraph"/>
        <w:numPr>
          <w:ilvl w:val="0"/>
          <w:numId w:val="5"/>
        </w:numPr>
        <w:spacing w:line="240" w:lineRule="auto"/>
        <w:rPr>
          <w:sz w:val="22"/>
        </w:rPr>
      </w:pPr>
      <w:r w:rsidRPr="008D7043">
        <w:rPr>
          <w:sz w:val="22"/>
        </w:rPr>
        <w:t xml:space="preserve">Anthropomorphism – attribution of human characteristics to the non-human </w:t>
      </w:r>
    </w:p>
    <w:p w:rsidR="008D7043" w:rsidRPr="008D7043" w:rsidRDefault="008D7043" w:rsidP="008D7043">
      <w:pPr>
        <w:spacing w:line="240" w:lineRule="auto"/>
        <w:rPr>
          <w:sz w:val="12"/>
        </w:rPr>
      </w:pPr>
    </w:p>
    <w:p w:rsidR="008D7043" w:rsidRPr="008D7043" w:rsidRDefault="008D7043" w:rsidP="008D7043">
      <w:pPr>
        <w:rPr>
          <w:sz w:val="22"/>
          <w:u w:val="single"/>
        </w:rPr>
      </w:pPr>
      <w:proofErr w:type="spellStart"/>
      <w:r w:rsidRPr="008D7043">
        <w:rPr>
          <w:sz w:val="22"/>
          <w:u w:val="single"/>
        </w:rPr>
        <w:t>Ecofeminism</w:t>
      </w:r>
      <w:proofErr w:type="spellEnd"/>
    </w:p>
    <w:p w:rsidR="008D7043" w:rsidRPr="008D7043" w:rsidRDefault="008D7043" w:rsidP="008D7043">
      <w:pPr>
        <w:spacing w:line="240" w:lineRule="auto"/>
        <w:rPr>
          <w:sz w:val="22"/>
        </w:rPr>
      </w:pPr>
    </w:p>
    <w:p w:rsidR="008D7043" w:rsidRDefault="008D7043" w:rsidP="008D7043">
      <w:pPr>
        <w:spacing w:line="240" w:lineRule="auto"/>
        <w:rPr>
          <w:sz w:val="22"/>
          <w:lang w:val="en-US"/>
        </w:rPr>
      </w:pPr>
      <w:r w:rsidRPr="008D7043">
        <w:rPr>
          <w:sz w:val="22"/>
        </w:rPr>
        <w:t xml:space="preserve">‘Just as feminism was moved by minority and “third world” feminisms during the 1980s and 1990s towards </w:t>
      </w:r>
      <w:proofErr w:type="spellStart"/>
      <w:r w:rsidRPr="008D7043">
        <w:rPr>
          <w:sz w:val="22"/>
        </w:rPr>
        <w:t>autocritique</w:t>
      </w:r>
      <w:proofErr w:type="spellEnd"/>
      <w:r w:rsidRPr="008D7043">
        <w:rPr>
          <w:sz w:val="22"/>
        </w:rPr>
        <w:t xml:space="preserve"> of its prior focus on Western white middle-class concerns, so during the past decade some </w:t>
      </w:r>
      <w:proofErr w:type="spellStart"/>
      <w:r w:rsidRPr="008D7043">
        <w:rPr>
          <w:sz w:val="22"/>
        </w:rPr>
        <w:t>ecofeminists</w:t>
      </w:r>
      <w:proofErr w:type="spellEnd"/>
      <w:r w:rsidRPr="008D7043">
        <w:rPr>
          <w:sz w:val="22"/>
        </w:rPr>
        <w:t xml:space="preserve"> have been among the leaders in a broader initiative to push environmental criticism toward substantive engagement with issues of environmental welfare and equity of more pressing concern to the impoverished and socially marginalised: to landscapes of urbanization, racism, poverty, and </w:t>
      </w:r>
      <w:proofErr w:type="spellStart"/>
      <w:r w:rsidRPr="008D7043">
        <w:rPr>
          <w:sz w:val="22"/>
        </w:rPr>
        <w:t>toxification</w:t>
      </w:r>
      <w:proofErr w:type="spellEnd"/>
      <w:r w:rsidRPr="008D7043">
        <w:rPr>
          <w:sz w:val="22"/>
        </w:rPr>
        <w:t>; and to the voices of witnesses and victims of environmental injustice .’</w:t>
      </w:r>
      <w:r w:rsidRPr="008D7043">
        <w:rPr>
          <w:rFonts w:ascii="Perpetua" w:eastAsia="+mn-ea" w:hAnsi="Perpetua" w:cs="+mn-cs"/>
          <w:iCs/>
          <w:color w:val="000000"/>
          <w:kern w:val="24"/>
          <w:sz w:val="22"/>
          <w:lang w:val="en-US"/>
        </w:rPr>
        <w:t xml:space="preserve"> (</w:t>
      </w:r>
      <w:r w:rsidRPr="008D7043">
        <w:rPr>
          <w:sz w:val="22"/>
          <w:lang w:val="en-US"/>
        </w:rPr>
        <w:t xml:space="preserve">Lawrence Buell, </w:t>
      </w:r>
      <w:r w:rsidRPr="008D7043">
        <w:rPr>
          <w:i/>
          <w:sz w:val="22"/>
          <w:lang w:val="en-US"/>
        </w:rPr>
        <w:t>The Future of Environmental Criticism: Environmental Crisis and Literary Imagination</w:t>
      </w:r>
      <w:r w:rsidRPr="008D7043">
        <w:rPr>
          <w:sz w:val="22"/>
          <w:lang w:val="en-US"/>
        </w:rPr>
        <w:t>. Oxford: Blackwell, 2005)</w:t>
      </w:r>
    </w:p>
    <w:sectPr w:rsidR="008D7043" w:rsidSect="008C1A6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A10BA" w:rsidRDefault="00DA10BA" w:rsidP="008F5E70">
      <w:pPr>
        <w:spacing w:line="240" w:lineRule="auto"/>
      </w:pPr>
      <w:r>
        <w:separator/>
      </w:r>
    </w:p>
  </w:endnote>
  <w:endnote w:type="continuationSeparator" w:id="0">
    <w:p w:rsidR="00DA10BA" w:rsidRDefault="00DA10BA" w:rsidP="008F5E7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ode">
    <w:altName w:val="Code"/>
    <w:panose1 w:val="00000000000000000000"/>
    <w:charset w:val="00"/>
    <w:family w:val="swiss"/>
    <w:notTrueType/>
    <w:pitch w:val="default"/>
    <w:sig w:usb0="00000003" w:usb1="00000000" w:usb2="00000000" w:usb3="00000000" w:csb0="00000001" w:csb1="00000000"/>
  </w:font>
  <w:font w:name="NewBaskerville-Roman">
    <w:altName w:val="MS Mincho"/>
    <w:panose1 w:val="00000000000000000000"/>
    <w:charset w:val="80"/>
    <w:family w:val="auto"/>
    <w:notTrueType/>
    <w:pitch w:val="default"/>
    <w:sig w:usb0="00000001" w:usb1="08070000" w:usb2="00000010" w:usb3="00000000" w:csb0="00020000" w:csb1="00000000"/>
  </w:font>
  <w:font w:name="Perpetua">
    <w:panose1 w:val="02020502060401020303"/>
    <w:charset w:val="00"/>
    <w:family w:val="roman"/>
    <w:pitch w:val="variable"/>
    <w:sig w:usb0="00000003" w:usb1="00000000" w:usb2="00000000" w:usb3="00000000" w:csb0="00000001" w:csb1="00000000"/>
  </w:font>
  <w:font w:name="+mn-ea">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A10BA" w:rsidRDefault="00DA10BA" w:rsidP="008F5E70">
      <w:pPr>
        <w:spacing w:line="240" w:lineRule="auto"/>
      </w:pPr>
      <w:r>
        <w:separator/>
      </w:r>
    </w:p>
  </w:footnote>
  <w:footnote w:type="continuationSeparator" w:id="0">
    <w:p w:rsidR="00DA10BA" w:rsidRDefault="00DA10BA" w:rsidP="008F5E70">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467D52"/>
    <w:multiLevelType w:val="hybridMultilevel"/>
    <w:tmpl w:val="08D43166"/>
    <w:lvl w:ilvl="0" w:tplc="A04C1960">
      <w:start w:val="1"/>
      <w:numFmt w:val="bullet"/>
      <w:lvlText w:val=""/>
      <w:lvlJc w:val="left"/>
      <w:pPr>
        <w:tabs>
          <w:tab w:val="num" w:pos="720"/>
        </w:tabs>
        <w:ind w:left="720" w:hanging="360"/>
      </w:pPr>
      <w:rPr>
        <w:rFonts w:ascii="Wingdings 2" w:hAnsi="Wingdings 2" w:hint="default"/>
      </w:rPr>
    </w:lvl>
    <w:lvl w:ilvl="1" w:tplc="B6E4E676">
      <w:start w:val="1"/>
      <w:numFmt w:val="bullet"/>
      <w:lvlText w:val=""/>
      <w:lvlJc w:val="left"/>
      <w:pPr>
        <w:tabs>
          <w:tab w:val="num" w:pos="1440"/>
        </w:tabs>
        <w:ind w:left="1440" w:hanging="360"/>
      </w:pPr>
      <w:rPr>
        <w:rFonts w:ascii="Wingdings 2" w:hAnsi="Wingdings 2" w:hint="default"/>
      </w:rPr>
    </w:lvl>
    <w:lvl w:ilvl="2" w:tplc="D68E8712" w:tentative="1">
      <w:start w:val="1"/>
      <w:numFmt w:val="bullet"/>
      <w:lvlText w:val=""/>
      <w:lvlJc w:val="left"/>
      <w:pPr>
        <w:tabs>
          <w:tab w:val="num" w:pos="2160"/>
        </w:tabs>
        <w:ind w:left="2160" w:hanging="360"/>
      </w:pPr>
      <w:rPr>
        <w:rFonts w:ascii="Wingdings 2" w:hAnsi="Wingdings 2" w:hint="default"/>
      </w:rPr>
    </w:lvl>
    <w:lvl w:ilvl="3" w:tplc="2F80CEE0" w:tentative="1">
      <w:start w:val="1"/>
      <w:numFmt w:val="bullet"/>
      <w:lvlText w:val=""/>
      <w:lvlJc w:val="left"/>
      <w:pPr>
        <w:tabs>
          <w:tab w:val="num" w:pos="2880"/>
        </w:tabs>
        <w:ind w:left="2880" w:hanging="360"/>
      </w:pPr>
      <w:rPr>
        <w:rFonts w:ascii="Wingdings 2" w:hAnsi="Wingdings 2" w:hint="default"/>
      </w:rPr>
    </w:lvl>
    <w:lvl w:ilvl="4" w:tplc="162E6012" w:tentative="1">
      <w:start w:val="1"/>
      <w:numFmt w:val="bullet"/>
      <w:lvlText w:val=""/>
      <w:lvlJc w:val="left"/>
      <w:pPr>
        <w:tabs>
          <w:tab w:val="num" w:pos="3600"/>
        </w:tabs>
        <w:ind w:left="3600" w:hanging="360"/>
      </w:pPr>
      <w:rPr>
        <w:rFonts w:ascii="Wingdings 2" w:hAnsi="Wingdings 2" w:hint="default"/>
      </w:rPr>
    </w:lvl>
    <w:lvl w:ilvl="5" w:tplc="F9223DB6" w:tentative="1">
      <w:start w:val="1"/>
      <w:numFmt w:val="bullet"/>
      <w:lvlText w:val=""/>
      <w:lvlJc w:val="left"/>
      <w:pPr>
        <w:tabs>
          <w:tab w:val="num" w:pos="4320"/>
        </w:tabs>
        <w:ind w:left="4320" w:hanging="360"/>
      </w:pPr>
      <w:rPr>
        <w:rFonts w:ascii="Wingdings 2" w:hAnsi="Wingdings 2" w:hint="default"/>
      </w:rPr>
    </w:lvl>
    <w:lvl w:ilvl="6" w:tplc="D3FCF3EE" w:tentative="1">
      <w:start w:val="1"/>
      <w:numFmt w:val="bullet"/>
      <w:lvlText w:val=""/>
      <w:lvlJc w:val="left"/>
      <w:pPr>
        <w:tabs>
          <w:tab w:val="num" w:pos="5040"/>
        </w:tabs>
        <w:ind w:left="5040" w:hanging="360"/>
      </w:pPr>
      <w:rPr>
        <w:rFonts w:ascii="Wingdings 2" w:hAnsi="Wingdings 2" w:hint="default"/>
      </w:rPr>
    </w:lvl>
    <w:lvl w:ilvl="7" w:tplc="955EC60E" w:tentative="1">
      <w:start w:val="1"/>
      <w:numFmt w:val="bullet"/>
      <w:lvlText w:val=""/>
      <w:lvlJc w:val="left"/>
      <w:pPr>
        <w:tabs>
          <w:tab w:val="num" w:pos="5760"/>
        </w:tabs>
        <w:ind w:left="5760" w:hanging="360"/>
      </w:pPr>
      <w:rPr>
        <w:rFonts w:ascii="Wingdings 2" w:hAnsi="Wingdings 2" w:hint="default"/>
      </w:rPr>
    </w:lvl>
    <w:lvl w:ilvl="8" w:tplc="89FE6AFC" w:tentative="1">
      <w:start w:val="1"/>
      <w:numFmt w:val="bullet"/>
      <w:lvlText w:val=""/>
      <w:lvlJc w:val="left"/>
      <w:pPr>
        <w:tabs>
          <w:tab w:val="num" w:pos="6480"/>
        </w:tabs>
        <w:ind w:left="6480" w:hanging="360"/>
      </w:pPr>
      <w:rPr>
        <w:rFonts w:ascii="Wingdings 2" w:hAnsi="Wingdings 2" w:hint="default"/>
      </w:rPr>
    </w:lvl>
  </w:abstractNum>
  <w:abstractNum w:abstractNumId="1">
    <w:nsid w:val="4C3D093A"/>
    <w:multiLevelType w:val="hybridMultilevel"/>
    <w:tmpl w:val="2A1027B8"/>
    <w:lvl w:ilvl="0" w:tplc="22741F6A">
      <w:start w:val="1"/>
      <w:numFmt w:val="bullet"/>
      <w:lvlText w:val=""/>
      <w:lvlJc w:val="left"/>
      <w:pPr>
        <w:tabs>
          <w:tab w:val="num" w:pos="720"/>
        </w:tabs>
        <w:ind w:left="720" w:hanging="360"/>
      </w:pPr>
      <w:rPr>
        <w:rFonts w:ascii="Wingdings 2" w:hAnsi="Wingdings 2" w:hint="default"/>
      </w:rPr>
    </w:lvl>
    <w:lvl w:ilvl="1" w:tplc="9E78C9DA">
      <w:start w:val="1"/>
      <w:numFmt w:val="bullet"/>
      <w:lvlText w:val=""/>
      <w:lvlJc w:val="left"/>
      <w:pPr>
        <w:tabs>
          <w:tab w:val="num" w:pos="1440"/>
        </w:tabs>
        <w:ind w:left="1440" w:hanging="360"/>
      </w:pPr>
      <w:rPr>
        <w:rFonts w:ascii="Wingdings 2" w:hAnsi="Wingdings 2" w:hint="default"/>
      </w:rPr>
    </w:lvl>
    <w:lvl w:ilvl="2" w:tplc="49629098" w:tentative="1">
      <w:start w:val="1"/>
      <w:numFmt w:val="bullet"/>
      <w:lvlText w:val=""/>
      <w:lvlJc w:val="left"/>
      <w:pPr>
        <w:tabs>
          <w:tab w:val="num" w:pos="2160"/>
        </w:tabs>
        <w:ind w:left="2160" w:hanging="360"/>
      </w:pPr>
      <w:rPr>
        <w:rFonts w:ascii="Wingdings 2" w:hAnsi="Wingdings 2" w:hint="default"/>
      </w:rPr>
    </w:lvl>
    <w:lvl w:ilvl="3" w:tplc="7A56CCFC" w:tentative="1">
      <w:start w:val="1"/>
      <w:numFmt w:val="bullet"/>
      <w:lvlText w:val=""/>
      <w:lvlJc w:val="left"/>
      <w:pPr>
        <w:tabs>
          <w:tab w:val="num" w:pos="2880"/>
        </w:tabs>
        <w:ind w:left="2880" w:hanging="360"/>
      </w:pPr>
      <w:rPr>
        <w:rFonts w:ascii="Wingdings 2" w:hAnsi="Wingdings 2" w:hint="default"/>
      </w:rPr>
    </w:lvl>
    <w:lvl w:ilvl="4" w:tplc="90E058C8" w:tentative="1">
      <w:start w:val="1"/>
      <w:numFmt w:val="bullet"/>
      <w:lvlText w:val=""/>
      <w:lvlJc w:val="left"/>
      <w:pPr>
        <w:tabs>
          <w:tab w:val="num" w:pos="3600"/>
        </w:tabs>
        <w:ind w:left="3600" w:hanging="360"/>
      </w:pPr>
      <w:rPr>
        <w:rFonts w:ascii="Wingdings 2" w:hAnsi="Wingdings 2" w:hint="default"/>
      </w:rPr>
    </w:lvl>
    <w:lvl w:ilvl="5" w:tplc="7E90F394" w:tentative="1">
      <w:start w:val="1"/>
      <w:numFmt w:val="bullet"/>
      <w:lvlText w:val=""/>
      <w:lvlJc w:val="left"/>
      <w:pPr>
        <w:tabs>
          <w:tab w:val="num" w:pos="4320"/>
        </w:tabs>
        <w:ind w:left="4320" w:hanging="360"/>
      </w:pPr>
      <w:rPr>
        <w:rFonts w:ascii="Wingdings 2" w:hAnsi="Wingdings 2" w:hint="default"/>
      </w:rPr>
    </w:lvl>
    <w:lvl w:ilvl="6" w:tplc="34A03728" w:tentative="1">
      <w:start w:val="1"/>
      <w:numFmt w:val="bullet"/>
      <w:lvlText w:val=""/>
      <w:lvlJc w:val="left"/>
      <w:pPr>
        <w:tabs>
          <w:tab w:val="num" w:pos="5040"/>
        </w:tabs>
        <w:ind w:left="5040" w:hanging="360"/>
      </w:pPr>
      <w:rPr>
        <w:rFonts w:ascii="Wingdings 2" w:hAnsi="Wingdings 2" w:hint="default"/>
      </w:rPr>
    </w:lvl>
    <w:lvl w:ilvl="7" w:tplc="7A9AC280" w:tentative="1">
      <w:start w:val="1"/>
      <w:numFmt w:val="bullet"/>
      <w:lvlText w:val=""/>
      <w:lvlJc w:val="left"/>
      <w:pPr>
        <w:tabs>
          <w:tab w:val="num" w:pos="5760"/>
        </w:tabs>
        <w:ind w:left="5760" w:hanging="360"/>
      </w:pPr>
      <w:rPr>
        <w:rFonts w:ascii="Wingdings 2" w:hAnsi="Wingdings 2" w:hint="default"/>
      </w:rPr>
    </w:lvl>
    <w:lvl w:ilvl="8" w:tplc="3C54B7B8" w:tentative="1">
      <w:start w:val="1"/>
      <w:numFmt w:val="bullet"/>
      <w:lvlText w:val=""/>
      <w:lvlJc w:val="left"/>
      <w:pPr>
        <w:tabs>
          <w:tab w:val="num" w:pos="6480"/>
        </w:tabs>
        <w:ind w:left="6480" w:hanging="360"/>
      </w:pPr>
      <w:rPr>
        <w:rFonts w:ascii="Wingdings 2" w:hAnsi="Wingdings 2" w:hint="default"/>
      </w:rPr>
    </w:lvl>
  </w:abstractNum>
  <w:abstractNum w:abstractNumId="2">
    <w:nsid w:val="606434C1"/>
    <w:multiLevelType w:val="hybridMultilevel"/>
    <w:tmpl w:val="7EBC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AD245A3"/>
    <w:multiLevelType w:val="hybridMultilevel"/>
    <w:tmpl w:val="70C25DD8"/>
    <w:lvl w:ilvl="0" w:tplc="2F1C8D48">
      <w:numFmt w:val="bullet"/>
      <w:lvlText w:val="-"/>
      <w:lvlJc w:val="left"/>
      <w:pPr>
        <w:ind w:left="1080" w:hanging="36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7FC20D9E"/>
    <w:multiLevelType w:val="hybridMultilevel"/>
    <w:tmpl w:val="36C461C2"/>
    <w:lvl w:ilvl="0" w:tplc="E07A2560">
      <w:start w:val="1"/>
      <w:numFmt w:val="bullet"/>
      <w:lvlText w:val=""/>
      <w:lvlJc w:val="left"/>
      <w:pPr>
        <w:tabs>
          <w:tab w:val="num" w:pos="720"/>
        </w:tabs>
        <w:ind w:left="720" w:hanging="360"/>
      </w:pPr>
      <w:rPr>
        <w:rFonts w:ascii="Wingdings 2" w:hAnsi="Wingdings 2" w:hint="default"/>
      </w:rPr>
    </w:lvl>
    <w:lvl w:ilvl="1" w:tplc="21DA01B0" w:tentative="1">
      <w:start w:val="1"/>
      <w:numFmt w:val="bullet"/>
      <w:lvlText w:val=""/>
      <w:lvlJc w:val="left"/>
      <w:pPr>
        <w:tabs>
          <w:tab w:val="num" w:pos="1440"/>
        </w:tabs>
        <w:ind w:left="1440" w:hanging="360"/>
      </w:pPr>
      <w:rPr>
        <w:rFonts w:ascii="Wingdings 2" w:hAnsi="Wingdings 2" w:hint="default"/>
      </w:rPr>
    </w:lvl>
    <w:lvl w:ilvl="2" w:tplc="00783F44" w:tentative="1">
      <w:start w:val="1"/>
      <w:numFmt w:val="bullet"/>
      <w:lvlText w:val=""/>
      <w:lvlJc w:val="left"/>
      <w:pPr>
        <w:tabs>
          <w:tab w:val="num" w:pos="2160"/>
        </w:tabs>
        <w:ind w:left="2160" w:hanging="360"/>
      </w:pPr>
      <w:rPr>
        <w:rFonts w:ascii="Wingdings 2" w:hAnsi="Wingdings 2" w:hint="default"/>
      </w:rPr>
    </w:lvl>
    <w:lvl w:ilvl="3" w:tplc="9C02857C" w:tentative="1">
      <w:start w:val="1"/>
      <w:numFmt w:val="bullet"/>
      <w:lvlText w:val=""/>
      <w:lvlJc w:val="left"/>
      <w:pPr>
        <w:tabs>
          <w:tab w:val="num" w:pos="2880"/>
        </w:tabs>
        <w:ind w:left="2880" w:hanging="360"/>
      </w:pPr>
      <w:rPr>
        <w:rFonts w:ascii="Wingdings 2" w:hAnsi="Wingdings 2" w:hint="default"/>
      </w:rPr>
    </w:lvl>
    <w:lvl w:ilvl="4" w:tplc="8D4618DE" w:tentative="1">
      <w:start w:val="1"/>
      <w:numFmt w:val="bullet"/>
      <w:lvlText w:val=""/>
      <w:lvlJc w:val="left"/>
      <w:pPr>
        <w:tabs>
          <w:tab w:val="num" w:pos="3600"/>
        </w:tabs>
        <w:ind w:left="3600" w:hanging="360"/>
      </w:pPr>
      <w:rPr>
        <w:rFonts w:ascii="Wingdings 2" w:hAnsi="Wingdings 2" w:hint="default"/>
      </w:rPr>
    </w:lvl>
    <w:lvl w:ilvl="5" w:tplc="8578BA96" w:tentative="1">
      <w:start w:val="1"/>
      <w:numFmt w:val="bullet"/>
      <w:lvlText w:val=""/>
      <w:lvlJc w:val="left"/>
      <w:pPr>
        <w:tabs>
          <w:tab w:val="num" w:pos="4320"/>
        </w:tabs>
        <w:ind w:left="4320" w:hanging="360"/>
      </w:pPr>
      <w:rPr>
        <w:rFonts w:ascii="Wingdings 2" w:hAnsi="Wingdings 2" w:hint="default"/>
      </w:rPr>
    </w:lvl>
    <w:lvl w:ilvl="6" w:tplc="9A366F62" w:tentative="1">
      <w:start w:val="1"/>
      <w:numFmt w:val="bullet"/>
      <w:lvlText w:val=""/>
      <w:lvlJc w:val="left"/>
      <w:pPr>
        <w:tabs>
          <w:tab w:val="num" w:pos="5040"/>
        </w:tabs>
        <w:ind w:left="5040" w:hanging="360"/>
      </w:pPr>
      <w:rPr>
        <w:rFonts w:ascii="Wingdings 2" w:hAnsi="Wingdings 2" w:hint="default"/>
      </w:rPr>
    </w:lvl>
    <w:lvl w:ilvl="7" w:tplc="7C100BA6" w:tentative="1">
      <w:start w:val="1"/>
      <w:numFmt w:val="bullet"/>
      <w:lvlText w:val=""/>
      <w:lvlJc w:val="left"/>
      <w:pPr>
        <w:tabs>
          <w:tab w:val="num" w:pos="5760"/>
        </w:tabs>
        <w:ind w:left="5760" w:hanging="360"/>
      </w:pPr>
      <w:rPr>
        <w:rFonts w:ascii="Wingdings 2" w:hAnsi="Wingdings 2" w:hint="default"/>
      </w:rPr>
    </w:lvl>
    <w:lvl w:ilvl="8" w:tplc="5F40A838"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DA3FDA"/>
    <w:rsid w:val="000C3306"/>
    <w:rsid w:val="000D6FAE"/>
    <w:rsid w:val="000D7883"/>
    <w:rsid w:val="000F0F4D"/>
    <w:rsid w:val="000F3D15"/>
    <w:rsid w:val="00120255"/>
    <w:rsid w:val="00162EAA"/>
    <w:rsid w:val="00176628"/>
    <w:rsid w:val="001E3AE3"/>
    <w:rsid w:val="0024158C"/>
    <w:rsid w:val="00257A87"/>
    <w:rsid w:val="00261BAA"/>
    <w:rsid w:val="002D7AE2"/>
    <w:rsid w:val="002E7DB6"/>
    <w:rsid w:val="00323F38"/>
    <w:rsid w:val="003F60E7"/>
    <w:rsid w:val="00405BDA"/>
    <w:rsid w:val="00407791"/>
    <w:rsid w:val="0042172B"/>
    <w:rsid w:val="00426E05"/>
    <w:rsid w:val="0045318B"/>
    <w:rsid w:val="004F00A6"/>
    <w:rsid w:val="00500370"/>
    <w:rsid w:val="00592643"/>
    <w:rsid w:val="005C46A2"/>
    <w:rsid w:val="005E7105"/>
    <w:rsid w:val="006013E9"/>
    <w:rsid w:val="00601492"/>
    <w:rsid w:val="006C7BA6"/>
    <w:rsid w:val="006F32F7"/>
    <w:rsid w:val="006F4317"/>
    <w:rsid w:val="0070132C"/>
    <w:rsid w:val="0070139E"/>
    <w:rsid w:val="00703079"/>
    <w:rsid w:val="007524C2"/>
    <w:rsid w:val="00754303"/>
    <w:rsid w:val="0077669F"/>
    <w:rsid w:val="00792474"/>
    <w:rsid w:val="007E2A94"/>
    <w:rsid w:val="00837FF7"/>
    <w:rsid w:val="008436D0"/>
    <w:rsid w:val="00856715"/>
    <w:rsid w:val="00860CE2"/>
    <w:rsid w:val="00864796"/>
    <w:rsid w:val="008938A5"/>
    <w:rsid w:val="008C1A62"/>
    <w:rsid w:val="008D7043"/>
    <w:rsid w:val="008E39D1"/>
    <w:rsid w:val="008F5E70"/>
    <w:rsid w:val="00901DB4"/>
    <w:rsid w:val="00911A36"/>
    <w:rsid w:val="009341C9"/>
    <w:rsid w:val="00947029"/>
    <w:rsid w:val="00983146"/>
    <w:rsid w:val="00984812"/>
    <w:rsid w:val="009877BF"/>
    <w:rsid w:val="00990FD3"/>
    <w:rsid w:val="009B3ED5"/>
    <w:rsid w:val="009B40BF"/>
    <w:rsid w:val="009D2266"/>
    <w:rsid w:val="009E49DE"/>
    <w:rsid w:val="00A066DE"/>
    <w:rsid w:val="00A349F0"/>
    <w:rsid w:val="00A54198"/>
    <w:rsid w:val="00A63289"/>
    <w:rsid w:val="00A70950"/>
    <w:rsid w:val="00A95FD7"/>
    <w:rsid w:val="00AE412F"/>
    <w:rsid w:val="00B01137"/>
    <w:rsid w:val="00B031A5"/>
    <w:rsid w:val="00B1069D"/>
    <w:rsid w:val="00B1273B"/>
    <w:rsid w:val="00B65A2D"/>
    <w:rsid w:val="00B80CDF"/>
    <w:rsid w:val="00BA3B09"/>
    <w:rsid w:val="00BA5142"/>
    <w:rsid w:val="00BB1189"/>
    <w:rsid w:val="00BB2065"/>
    <w:rsid w:val="00C43662"/>
    <w:rsid w:val="00C5185D"/>
    <w:rsid w:val="00C71745"/>
    <w:rsid w:val="00D25112"/>
    <w:rsid w:val="00D345CC"/>
    <w:rsid w:val="00D37752"/>
    <w:rsid w:val="00D63DA8"/>
    <w:rsid w:val="00D8044E"/>
    <w:rsid w:val="00D84734"/>
    <w:rsid w:val="00DA10BA"/>
    <w:rsid w:val="00DA3FDA"/>
    <w:rsid w:val="00DD1754"/>
    <w:rsid w:val="00DF156E"/>
    <w:rsid w:val="00E6656B"/>
    <w:rsid w:val="00E85A54"/>
    <w:rsid w:val="00E86B1D"/>
    <w:rsid w:val="00E9747E"/>
    <w:rsid w:val="00E97D14"/>
    <w:rsid w:val="00ED7109"/>
    <w:rsid w:val="00EF32EB"/>
    <w:rsid w:val="00F73213"/>
    <w:rsid w:val="00F73763"/>
    <w:rsid w:val="00F94C85"/>
    <w:rsid w:val="00FA7AE7"/>
    <w:rsid w:val="00FB2F93"/>
    <w:rsid w:val="00FD6227"/>
    <w:rsid w:val="00FD76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7791"/>
    <w:pPr>
      <w:spacing w:after="0" w:line="400" w:lineRule="exact"/>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47E"/>
    <w:pPr>
      <w:ind w:left="720"/>
      <w:contextualSpacing/>
    </w:pPr>
  </w:style>
  <w:style w:type="paragraph" w:styleId="FootnoteText">
    <w:name w:val="footnote text"/>
    <w:basedOn w:val="Normal"/>
    <w:link w:val="FootnoteTextChar"/>
    <w:uiPriority w:val="99"/>
    <w:semiHidden/>
    <w:unhideWhenUsed/>
    <w:rsid w:val="00856715"/>
    <w:pPr>
      <w:spacing w:line="240" w:lineRule="auto"/>
    </w:pPr>
    <w:rPr>
      <w:sz w:val="20"/>
      <w:szCs w:val="20"/>
    </w:rPr>
  </w:style>
  <w:style w:type="character" w:customStyle="1" w:styleId="FootnoteTextChar">
    <w:name w:val="Footnote Text Char"/>
    <w:basedOn w:val="DefaultParagraphFont"/>
    <w:link w:val="FootnoteText"/>
    <w:uiPriority w:val="99"/>
    <w:semiHidden/>
    <w:rsid w:val="00856715"/>
    <w:rPr>
      <w:rFonts w:ascii="Times New Roman" w:hAnsi="Times New Roman"/>
      <w:sz w:val="20"/>
      <w:szCs w:val="20"/>
    </w:rPr>
  </w:style>
  <w:style w:type="paragraph" w:styleId="Bibliography">
    <w:name w:val="Bibliography"/>
    <w:basedOn w:val="Normal"/>
    <w:next w:val="Normal"/>
    <w:uiPriority w:val="37"/>
    <w:unhideWhenUsed/>
    <w:rsid w:val="0077669F"/>
    <w:pPr>
      <w:spacing w:line="360" w:lineRule="auto"/>
    </w:pPr>
    <w:rPr>
      <w:sz w:val="22"/>
    </w:rPr>
  </w:style>
  <w:style w:type="paragraph" w:customStyle="1" w:styleId="Default">
    <w:name w:val="Default"/>
    <w:rsid w:val="000C3306"/>
    <w:pPr>
      <w:autoSpaceDE w:val="0"/>
      <w:autoSpaceDN w:val="0"/>
      <w:adjustRightInd w:val="0"/>
      <w:spacing w:after="0" w:line="240" w:lineRule="auto"/>
    </w:pPr>
    <w:rPr>
      <w:rFonts w:ascii="Code" w:hAnsi="Code" w:cs="Code"/>
      <w:color w:val="000000"/>
      <w:sz w:val="24"/>
      <w:szCs w:val="24"/>
    </w:rPr>
  </w:style>
  <w:style w:type="paragraph" w:styleId="EndnoteText">
    <w:name w:val="endnote text"/>
    <w:basedOn w:val="Normal"/>
    <w:link w:val="EndnoteTextChar"/>
    <w:uiPriority w:val="99"/>
    <w:unhideWhenUsed/>
    <w:rsid w:val="008F5E70"/>
    <w:pPr>
      <w:spacing w:after="200" w:line="276" w:lineRule="auto"/>
      <w:jc w:val="left"/>
    </w:pPr>
    <w:rPr>
      <w:rFonts w:ascii="Calibri" w:eastAsia="Calibri" w:hAnsi="Calibri" w:cs="Times New Roman"/>
      <w:sz w:val="20"/>
      <w:szCs w:val="20"/>
    </w:rPr>
  </w:style>
  <w:style w:type="character" w:customStyle="1" w:styleId="EndnoteTextChar">
    <w:name w:val="Endnote Text Char"/>
    <w:basedOn w:val="DefaultParagraphFont"/>
    <w:link w:val="EndnoteText"/>
    <w:uiPriority w:val="99"/>
    <w:rsid w:val="008F5E70"/>
    <w:rPr>
      <w:rFonts w:ascii="Calibri" w:eastAsia="Calibri" w:hAnsi="Calibri" w:cs="Times New Roman"/>
      <w:sz w:val="20"/>
      <w:szCs w:val="20"/>
    </w:rPr>
  </w:style>
  <w:style w:type="character" w:styleId="EndnoteReference">
    <w:name w:val="endnote reference"/>
    <w:basedOn w:val="DefaultParagraphFont"/>
    <w:uiPriority w:val="99"/>
    <w:semiHidden/>
    <w:unhideWhenUsed/>
    <w:rsid w:val="008F5E70"/>
    <w:rPr>
      <w:vertAlign w:val="superscript"/>
    </w:rPr>
  </w:style>
  <w:style w:type="character" w:customStyle="1" w:styleId="spelle">
    <w:name w:val="spelle"/>
    <w:basedOn w:val="DefaultParagraphFont"/>
    <w:rsid w:val="00E97D14"/>
  </w:style>
</w:styles>
</file>

<file path=word/webSettings.xml><?xml version="1.0" encoding="utf-8"?>
<w:webSettings xmlns:r="http://schemas.openxmlformats.org/officeDocument/2006/relationships" xmlns:w="http://schemas.openxmlformats.org/wordprocessingml/2006/main">
  <w:divs>
    <w:div w:id="55470144">
      <w:bodyDiv w:val="1"/>
      <w:marLeft w:val="0"/>
      <w:marRight w:val="0"/>
      <w:marTop w:val="0"/>
      <w:marBottom w:val="0"/>
      <w:divBdr>
        <w:top w:val="none" w:sz="0" w:space="0" w:color="auto"/>
        <w:left w:val="none" w:sz="0" w:space="0" w:color="auto"/>
        <w:bottom w:val="none" w:sz="0" w:space="0" w:color="auto"/>
        <w:right w:val="none" w:sz="0" w:space="0" w:color="auto"/>
      </w:divBdr>
    </w:div>
    <w:div w:id="86970620">
      <w:bodyDiv w:val="1"/>
      <w:marLeft w:val="0"/>
      <w:marRight w:val="0"/>
      <w:marTop w:val="0"/>
      <w:marBottom w:val="0"/>
      <w:divBdr>
        <w:top w:val="none" w:sz="0" w:space="0" w:color="auto"/>
        <w:left w:val="none" w:sz="0" w:space="0" w:color="auto"/>
        <w:bottom w:val="none" w:sz="0" w:space="0" w:color="auto"/>
        <w:right w:val="none" w:sz="0" w:space="0" w:color="auto"/>
      </w:divBdr>
    </w:div>
    <w:div w:id="228271907">
      <w:bodyDiv w:val="1"/>
      <w:marLeft w:val="0"/>
      <w:marRight w:val="0"/>
      <w:marTop w:val="0"/>
      <w:marBottom w:val="0"/>
      <w:divBdr>
        <w:top w:val="none" w:sz="0" w:space="0" w:color="auto"/>
        <w:left w:val="none" w:sz="0" w:space="0" w:color="auto"/>
        <w:bottom w:val="none" w:sz="0" w:space="0" w:color="auto"/>
        <w:right w:val="none" w:sz="0" w:space="0" w:color="auto"/>
      </w:divBdr>
    </w:div>
    <w:div w:id="418066634">
      <w:bodyDiv w:val="1"/>
      <w:marLeft w:val="0"/>
      <w:marRight w:val="0"/>
      <w:marTop w:val="0"/>
      <w:marBottom w:val="0"/>
      <w:divBdr>
        <w:top w:val="none" w:sz="0" w:space="0" w:color="auto"/>
        <w:left w:val="none" w:sz="0" w:space="0" w:color="auto"/>
        <w:bottom w:val="none" w:sz="0" w:space="0" w:color="auto"/>
        <w:right w:val="none" w:sz="0" w:space="0" w:color="auto"/>
      </w:divBdr>
    </w:div>
    <w:div w:id="672103801">
      <w:bodyDiv w:val="1"/>
      <w:marLeft w:val="0"/>
      <w:marRight w:val="0"/>
      <w:marTop w:val="0"/>
      <w:marBottom w:val="0"/>
      <w:divBdr>
        <w:top w:val="none" w:sz="0" w:space="0" w:color="auto"/>
        <w:left w:val="none" w:sz="0" w:space="0" w:color="auto"/>
        <w:bottom w:val="none" w:sz="0" w:space="0" w:color="auto"/>
        <w:right w:val="none" w:sz="0" w:space="0" w:color="auto"/>
      </w:divBdr>
    </w:div>
    <w:div w:id="681707025">
      <w:bodyDiv w:val="1"/>
      <w:marLeft w:val="0"/>
      <w:marRight w:val="0"/>
      <w:marTop w:val="0"/>
      <w:marBottom w:val="0"/>
      <w:divBdr>
        <w:top w:val="none" w:sz="0" w:space="0" w:color="auto"/>
        <w:left w:val="none" w:sz="0" w:space="0" w:color="auto"/>
        <w:bottom w:val="none" w:sz="0" w:space="0" w:color="auto"/>
        <w:right w:val="none" w:sz="0" w:space="0" w:color="auto"/>
      </w:divBdr>
    </w:div>
    <w:div w:id="689724705">
      <w:bodyDiv w:val="1"/>
      <w:marLeft w:val="0"/>
      <w:marRight w:val="0"/>
      <w:marTop w:val="0"/>
      <w:marBottom w:val="0"/>
      <w:divBdr>
        <w:top w:val="none" w:sz="0" w:space="0" w:color="auto"/>
        <w:left w:val="none" w:sz="0" w:space="0" w:color="auto"/>
        <w:bottom w:val="none" w:sz="0" w:space="0" w:color="auto"/>
        <w:right w:val="none" w:sz="0" w:space="0" w:color="auto"/>
      </w:divBdr>
    </w:div>
    <w:div w:id="841119502">
      <w:bodyDiv w:val="1"/>
      <w:marLeft w:val="0"/>
      <w:marRight w:val="0"/>
      <w:marTop w:val="0"/>
      <w:marBottom w:val="0"/>
      <w:divBdr>
        <w:top w:val="none" w:sz="0" w:space="0" w:color="auto"/>
        <w:left w:val="none" w:sz="0" w:space="0" w:color="auto"/>
        <w:bottom w:val="none" w:sz="0" w:space="0" w:color="auto"/>
        <w:right w:val="none" w:sz="0" w:space="0" w:color="auto"/>
      </w:divBdr>
    </w:div>
    <w:div w:id="963269992">
      <w:bodyDiv w:val="1"/>
      <w:marLeft w:val="0"/>
      <w:marRight w:val="0"/>
      <w:marTop w:val="0"/>
      <w:marBottom w:val="0"/>
      <w:divBdr>
        <w:top w:val="none" w:sz="0" w:space="0" w:color="auto"/>
        <w:left w:val="none" w:sz="0" w:space="0" w:color="auto"/>
        <w:bottom w:val="none" w:sz="0" w:space="0" w:color="auto"/>
        <w:right w:val="none" w:sz="0" w:space="0" w:color="auto"/>
      </w:divBdr>
    </w:div>
    <w:div w:id="1102529033">
      <w:bodyDiv w:val="1"/>
      <w:marLeft w:val="0"/>
      <w:marRight w:val="0"/>
      <w:marTop w:val="0"/>
      <w:marBottom w:val="0"/>
      <w:divBdr>
        <w:top w:val="none" w:sz="0" w:space="0" w:color="auto"/>
        <w:left w:val="none" w:sz="0" w:space="0" w:color="auto"/>
        <w:bottom w:val="none" w:sz="0" w:space="0" w:color="auto"/>
        <w:right w:val="none" w:sz="0" w:space="0" w:color="auto"/>
      </w:divBdr>
      <w:divsChild>
        <w:div w:id="1227909849">
          <w:marLeft w:val="1008"/>
          <w:marRight w:val="0"/>
          <w:marTop w:val="106"/>
          <w:marBottom w:val="0"/>
          <w:divBdr>
            <w:top w:val="none" w:sz="0" w:space="0" w:color="auto"/>
            <w:left w:val="none" w:sz="0" w:space="0" w:color="auto"/>
            <w:bottom w:val="none" w:sz="0" w:space="0" w:color="auto"/>
            <w:right w:val="none" w:sz="0" w:space="0" w:color="auto"/>
          </w:divBdr>
        </w:div>
      </w:divsChild>
    </w:div>
    <w:div w:id="1109932068">
      <w:bodyDiv w:val="1"/>
      <w:marLeft w:val="0"/>
      <w:marRight w:val="0"/>
      <w:marTop w:val="0"/>
      <w:marBottom w:val="0"/>
      <w:divBdr>
        <w:top w:val="none" w:sz="0" w:space="0" w:color="auto"/>
        <w:left w:val="none" w:sz="0" w:space="0" w:color="auto"/>
        <w:bottom w:val="none" w:sz="0" w:space="0" w:color="auto"/>
        <w:right w:val="none" w:sz="0" w:space="0" w:color="auto"/>
      </w:divBdr>
    </w:div>
    <w:div w:id="1208450422">
      <w:bodyDiv w:val="1"/>
      <w:marLeft w:val="0"/>
      <w:marRight w:val="0"/>
      <w:marTop w:val="0"/>
      <w:marBottom w:val="0"/>
      <w:divBdr>
        <w:top w:val="none" w:sz="0" w:space="0" w:color="auto"/>
        <w:left w:val="none" w:sz="0" w:space="0" w:color="auto"/>
        <w:bottom w:val="none" w:sz="0" w:space="0" w:color="auto"/>
        <w:right w:val="none" w:sz="0" w:space="0" w:color="auto"/>
      </w:divBdr>
    </w:div>
    <w:div w:id="1230000963">
      <w:bodyDiv w:val="1"/>
      <w:marLeft w:val="0"/>
      <w:marRight w:val="0"/>
      <w:marTop w:val="0"/>
      <w:marBottom w:val="0"/>
      <w:divBdr>
        <w:top w:val="none" w:sz="0" w:space="0" w:color="auto"/>
        <w:left w:val="none" w:sz="0" w:space="0" w:color="auto"/>
        <w:bottom w:val="none" w:sz="0" w:space="0" w:color="auto"/>
        <w:right w:val="none" w:sz="0" w:space="0" w:color="auto"/>
      </w:divBdr>
      <w:divsChild>
        <w:div w:id="1408577084">
          <w:marLeft w:val="1008"/>
          <w:marRight w:val="0"/>
          <w:marTop w:val="115"/>
          <w:marBottom w:val="0"/>
          <w:divBdr>
            <w:top w:val="none" w:sz="0" w:space="0" w:color="auto"/>
            <w:left w:val="none" w:sz="0" w:space="0" w:color="auto"/>
            <w:bottom w:val="none" w:sz="0" w:space="0" w:color="auto"/>
            <w:right w:val="none" w:sz="0" w:space="0" w:color="auto"/>
          </w:divBdr>
        </w:div>
      </w:divsChild>
    </w:div>
    <w:div w:id="1521622595">
      <w:bodyDiv w:val="1"/>
      <w:marLeft w:val="0"/>
      <w:marRight w:val="0"/>
      <w:marTop w:val="0"/>
      <w:marBottom w:val="0"/>
      <w:divBdr>
        <w:top w:val="none" w:sz="0" w:space="0" w:color="auto"/>
        <w:left w:val="none" w:sz="0" w:space="0" w:color="auto"/>
        <w:bottom w:val="none" w:sz="0" w:space="0" w:color="auto"/>
        <w:right w:val="none" w:sz="0" w:space="0" w:color="auto"/>
      </w:divBdr>
    </w:div>
    <w:div w:id="1697466437">
      <w:bodyDiv w:val="1"/>
      <w:marLeft w:val="0"/>
      <w:marRight w:val="0"/>
      <w:marTop w:val="0"/>
      <w:marBottom w:val="0"/>
      <w:divBdr>
        <w:top w:val="none" w:sz="0" w:space="0" w:color="auto"/>
        <w:left w:val="none" w:sz="0" w:space="0" w:color="auto"/>
        <w:bottom w:val="none" w:sz="0" w:space="0" w:color="auto"/>
        <w:right w:val="none" w:sz="0" w:space="0" w:color="auto"/>
      </w:divBdr>
      <w:divsChild>
        <w:div w:id="118383228">
          <w:marLeft w:val="432"/>
          <w:marRight w:val="0"/>
          <w:marTop w:val="86"/>
          <w:marBottom w:val="0"/>
          <w:divBdr>
            <w:top w:val="none" w:sz="0" w:space="0" w:color="auto"/>
            <w:left w:val="none" w:sz="0" w:space="0" w:color="auto"/>
            <w:bottom w:val="none" w:sz="0" w:space="0" w:color="auto"/>
            <w:right w:val="none" w:sz="0" w:space="0" w:color="auto"/>
          </w:divBdr>
        </w:div>
      </w:divsChild>
    </w:div>
    <w:div w:id="1727296405">
      <w:bodyDiv w:val="1"/>
      <w:marLeft w:val="0"/>
      <w:marRight w:val="0"/>
      <w:marTop w:val="0"/>
      <w:marBottom w:val="0"/>
      <w:divBdr>
        <w:top w:val="none" w:sz="0" w:space="0" w:color="auto"/>
        <w:left w:val="none" w:sz="0" w:space="0" w:color="auto"/>
        <w:bottom w:val="none" w:sz="0" w:space="0" w:color="auto"/>
        <w:right w:val="none" w:sz="0" w:space="0" w:color="auto"/>
      </w:divBdr>
    </w:div>
    <w:div w:id="214651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fteenth Edition"/>
</file>

<file path=customXml/itemProps1.xml><?xml version="1.0" encoding="utf-8"?>
<ds:datastoreItem xmlns:ds="http://schemas.openxmlformats.org/officeDocument/2006/customXml" ds:itemID="{37B90514-C02C-4C69-B9C3-619399D9E4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6</Pages>
  <Words>2750</Words>
  <Characters>15680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dc:creator>
  <cp:keywords/>
  <dc:description/>
  <cp:lastModifiedBy>LOU</cp:lastModifiedBy>
  <cp:revision>54</cp:revision>
  <dcterms:created xsi:type="dcterms:W3CDTF">2012-03-23T07:35:00Z</dcterms:created>
  <dcterms:modified xsi:type="dcterms:W3CDTF">2012-04-02T09:45:00Z</dcterms:modified>
</cp:coreProperties>
</file>