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4.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color w:val="222222"/>
          <w:sz w:val="32"/>
          <w:szCs w:val="32"/>
          <w:highlight w:val="white"/>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color w:val="222222"/>
          <w:sz w:val="32"/>
          <w:szCs w:val="32"/>
          <w:highlight w:val="white"/>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color w:val="222222"/>
          <w:sz w:val="32"/>
          <w:szCs w:val="32"/>
          <w:highlight w:val="white"/>
        </w:rPr>
      </w:pPr>
      <w:r w:rsidDel="00000000" w:rsidR="00000000" w:rsidRPr="00000000">
        <w:rPr>
          <w:rtl w:val="0"/>
        </w:rPr>
      </w:r>
    </w:p>
    <w:p w:rsidR="00000000" w:rsidDel="00000000" w:rsidP="00000000" w:rsidRDefault="00000000" w:rsidRPr="00000000" w14:paraId="00000004">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tl w:val="0"/>
        </w:rPr>
      </w:r>
    </w:p>
    <w:p w:rsidR="00000000" w:rsidDel="00000000" w:rsidP="00000000" w:rsidRDefault="00000000" w:rsidRPr="00000000" w14:paraId="00000005">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Fonts w:ascii="Times New Roman" w:cs="Times New Roman" w:eastAsia="Times New Roman" w:hAnsi="Times New Roman"/>
          <w:b w:val="1"/>
          <w:color w:val="222222"/>
          <w:sz w:val="32"/>
          <w:szCs w:val="32"/>
          <w:highlight w:val="white"/>
          <w:rtl w:val="0"/>
        </w:rPr>
        <w:t xml:space="preserve">DIGITAL SKILLS AND RESEARCH METHODS- IMPACT OF VIRTUAL LEARNING ENVIRONMENT</w:t>
      </w:r>
    </w:p>
    <w:p w:rsidR="00000000" w:rsidDel="00000000" w:rsidP="00000000" w:rsidRDefault="00000000" w:rsidRPr="00000000" w14:paraId="00000006">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Fonts w:ascii="Times New Roman" w:cs="Times New Roman" w:eastAsia="Times New Roman" w:hAnsi="Times New Roman"/>
          <w:b w:val="1"/>
          <w:color w:val="222222"/>
          <w:sz w:val="32"/>
          <w:szCs w:val="32"/>
          <w:highlight w:val="white"/>
          <w:rtl w:val="0"/>
        </w:rPr>
        <w:t xml:space="preserve">                                          BMSW4003</w:t>
      </w:r>
    </w:p>
    <w:p w:rsidR="00000000" w:rsidDel="00000000" w:rsidP="00000000" w:rsidRDefault="00000000" w:rsidRPr="00000000" w14:paraId="00000007">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Fonts w:ascii="Times New Roman" w:cs="Times New Roman" w:eastAsia="Times New Roman" w:hAnsi="Times New Roman"/>
          <w:b w:val="1"/>
          <w:color w:val="222222"/>
          <w:sz w:val="32"/>
          <w:szCs w:val="32"/>
          <w:highlight w:val="white"/>
          <w:rtl w:val="0"/>
        </w:rPr>
        <w:t xml:space="preserve">STUDENT ID: 2024893</w:t>
      </w:r>
    </w:p>
    <w:p w:rsidR="00000000" w:rsidDel="00000000" w:rsidP="00000000" w:rsidRDefault="00000000" w:rsidRPr="00000000" w14:paraId="00000008">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Fonts w:ascii="Times New Roman" w:cs="Times New Roman" w:eastAsia="Times New Roman" w:hAnsi="Times New Roman"/>
          <w:b w:val="1"/>
          <w:color w:val="222222"/>
          <w:sz w:val="32"/>
          <w:szCs w:val="32"/>
          <w:highlight w:val="white"/>
          <w:rtl w:val="0"/>
        </w:rPr>
        <w:t xml:space="preserve">STUDENT NAME: IACOB ANNA MARIA </w:t>
      </w:r>
    </w:p>
    <w:p w:rsidR="00000000" w:rsidDel="00000000" w:rsidP="00000000" w:rsidRDefault="00000000" w:rsidRPr="00000000" w14:paraId="00000009">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Fonts w:ascii="Times New Roman" w:cs="Times New Roman" w:eastAsia="Times New Roman" w:hAnsi="Times New Roman"/>
          <w:b w:val="1"/>
          <w:color w:val="222222"/>
          <w:sz w:val="32"/>
          <w:szCs w:val="32"/>
          <w:highlight w:val="white"/>
          <w:rtl w:val="0"/>
        </w:rPr>
        <w:t xml:space="preserve">MODULE CODE: BMSW4003</w:t>
      </w:r>
    </w:p>
    <w:p w:rsidR="00000000" w:rsidDel="00000000" w:rsidP="00000000" w:rsidRDefault="00000000" w:rsidRPr="00000000" w14:paraId="0000000A">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Fonts w:ascii="Times New Roman" w:cs="Times New Roman" w:eastAsia="Times New Roman" w:hAnsi="Times New Roman"/>
          <w:b w:val="1"/>
          <w:color w:val="222222"/>
          <w:sz w:val="32"/>
          <w:szCs w:val="32"/>
          <w:highlight w:val="white"/>
          <w:rtl w:val="0"/>
        </w:rPr>
        <w:t xml:space="preserve">MODULE TITTLE: DIGITAL SKILLS AND REARCH METHODS.</w:t>
      </w:r>
    </w:p>
    <w:p w:rsidR="00000000" w:rsidDel="00000000" w:rsidP="00000000" w:rsidRDefault="00000000" w:rsidRPr="00000000" w14:paraId="0000000B">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Fonts w:ascii="Times New Roman" w:cs="Times New Roman" w:eastAsia="Times New Roman" w:hAnsi="Times New Roman"/>
          <w:b w:val="1"/>
          <w:color w:val="222222"/>
          <w:sz w:val="32"/>
          <w:szCs w:val="32"/>
          <w:highlight w:val="white"/>
          <w:rtl w:val="0"/>
        </w:rPr>
        <w:t xml:space="preserve">MODULE LECTURE’S NAME: AFZAL MUNNA </w:t>
      </w:r>
    </w:p>
    <w:p w:rsidR="00000000" w:rsidDel="00000000" w:rsidP="00000000" w:rsidRDefault="00000000" w:rsidRPr="00000000" w14:paraId="0000000C">
      <w:pPr>
        <w:spacing w:line="360" w:lineRule="auto"/>
        <w:jc w:val="left"/>
        <w:rPr>
          <w:rFonts w:ascii="Times New Roman" w:cs="Times New Roman" w:eastAsia="Times New Roman" w:hAnsi="Times New Roman"/>
          <w:b w:val="1"/>
          <w:color w:val="222222"/>
          <w:sz w:val="32"/>
          <w:szCs w:val="32"/>
          <w:highlight w:val="white"/>
        </w:rPr>
      </w:pPr>
      <w:r w:rsidDel="00000000" w:rsidR="00000000" w:rsidRPr="00000000">
        <w:rPr>
          <w:rFonts w:ascii="Times New Roman" w:cs="Times New Roman" w:eastAsia="Times New Roman" w:hAnsi="Times New Roman"/>
          <w:b w:val="1"/>
          <w:color w:val="222222"/>
          <w:sz w:val="32"/>
          <w:szCs w:val="32"/>
          <w:highlight w:val="white"/>
          <w:rtl w:val="0"/>
        </w:rPr>
        <w:t xml:space="preserve">TERM 1 GROUP 3 </w:t>
      </w:r>
    </w:p>
    <w:p w:rsidR="00000000" w:rsidDel="00000000" w:rsidP="00000000" w:rsidRDefault="00000000" w:rsidRPr="00000000" w14:paraId="0000000D">
      <w:pPr>
        <w:spacing w:line="360" w:lineRule="auto"/>
        <w:rPr>
          <w:rFonts w:ascii="Times New Roman" w:cs="Times New Roman" w:eastAsia="Times New Roman" w:hAnsi="Times New Roman"/>
          <w:b w:val="1"/>
          <w:color w:val="222222"/>
          <w:sz w:val="32"/>
          <w:szCs w:val="3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2e75b5"/>
          <w:sz w:val="28"/>
          <w:szCs w:val="28"/>
          <w:u w:val="none"/>
          <w:shd w:fill="auto" w:val="clear"/>
          <w:vertAlign w:val="baseline"/>
        </w:rPr>
      </w:pPr>
      <w:r w:rsidDel="00000000" w:rsidR="00000000" w:rsidRPr="00000000">
        <w:rPr>
          <w:rFonts w:ascii="Calibri" w:cs="Calibri" w:eastAsia="Calibri" w:hAnsi="Calibri"/>
          <w:b w:val="1"/>
          <w:i w:val="0"/>
          <w:smallCaps w:val="0"/>
          <w:strike w:val="0"/>
          <w:color w:val="2e75b5"/>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 and analysis</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Methodology</w:t>
              <w:tab/>
              <w:t xml:space="preserve">4</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findings</w:t>
              <w:tab/>
              <w:t xml:space="preserve">5</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interpretation</w:t>
              <w:tab/>
              <w:t xml:space="preserve">10</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w:t>
              <w:tab/>
              <w:t xml:space="preserve">11</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12</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13</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line="360" w:lineRule="auto"/>
        <w:jc w:val="both"/>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VLE or the virtual learning environment in the technology of education is the platform that is web-based for courses’ digital aspects, normally within the educational institutions (</w:t>
      </w:r>
      <w:r w:rsidDel="00000000" w:rsidR="00000000" w:rsidRPr="00000000">
        <w:rPr>
          <w:rFonts w:ascii="Times New Roman" w:cs="Times New Roman" w:eastAsia="Times New Roman" w:hAnsi="Times New Roman"/>
          <w:sz w:val="24"/>
          <w:szCs w:val="24"/>
          <w:highlight w:val="white"/>
          <w:rtl w:val="0"/>
        </w:rPr>
        <w:t xml:space="preserve">Darusman and Omar, 2021)</w:t>
      </w:r>
      <w:r w:rsidDel="00000000" w:rsidR="00000000" w:rsidRPr="00000000">
        <w:rPr>
          <w:rFonts w:ascii="Times New Roman" w:cs="Times New Roman" w:eastAsia="Times New Roman" w:hAnsi="Times New Roman"/>
          <w:sz w:val="24"/>
          <w:szCs w:val="24"/>
          <w:rtl w:val="0"/>
        </w:rPr>
        <w:t xml:space="preserve">. They mainly present communications, activities and the resources within the course structure along with deliver for various assessment stages (</w:t>
      </w:r>
      <w:r w:rsidDel="00000000" w:rsidR="00000000" w:rsidRPr="00000000">
        <w:rPr>
          <w:rFonts w:ascii="Times New Roman" w:cs="Times New Roman" w:eastAsia="Times New Roman" w:hAnsi="Times New Roman"/>
          <w:sz w:val="24"/>
          <w:szCs w:val="24"/>
          <w:highlight w:val="white"/>
          <w:rtl w:val="0"/>
        </w:rPr>
        <w:t xml:space="preserve">Gautam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report is to determine various impact of VLE or virtual learning environment on the student learning experience. The major objectives are,</w:t>
      </w:r>
    </w:p>
    <w:p w:rsidR="00000000" w:rsidDel="00000000" w:rsidP="00000000" w:rsidRDefault="00000000" w:rsidRPr="00000000" w14:paraId="0000001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determine various impacts of VLE on the experience of students learning </w:t>
      </w:r>
    </w:p>
    <w:p w:rsidR="00000000" w:rsidDel="00000000" w:rsidP="00000000" w:rsidRDefault="00000000" w:rsidRPr="00000000" w14:paraId="0000001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identify the outcome of impact of VLE toward experience of the students learning </w:t>
      </w:r>
    </w:p>
    <w:p w:rsidR="00000000" w:rsidDel="00000000" w:rsidP="00000000" w:rsidRDefault="00000000" w:rsidRPr="00000000" w14:paraId="0000002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evaluate certain changes in VLE usage to overcome the current issues </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Taking this into consideration, the report is going to discuss about VLE, its role, benefits and impacts. Both primary and secondary quantitative data will be used to collect these data. Proper findings will be drawn from survey and thematic analysis. According to the negative findings proper recommendations will be provided.  </w:t>
      </w:r>
    </w:p>
    <w:p w:rsidR="00000000" w:rsidDel="00000000" w:rsidP="00000000" w:rsidRDefault="00000000" w:rsidRPr="00000000" w14:paraId="00000022">
      <w:pPr>
        <w:pStyle w:val="Heading1"/>
        <w:rPr/>
      </w:pPr>
      <w:bookmarkStart w:colFirst="0" w:colLast="0" w:name="_heading=h.30j0zll" w:id="1"/>
      <w:bookmarkEnd w:id="1"/>
      <w:r w:rsidDel="00000000" w:rsidR="00000000" w:rsidRPr="00000000">
        <w:rPr>
          <w:rtl w:val="0"/>
        </w:rPr>
        <w:t xml:space="preserve">Finding and analysis</w:t>
      </w:r>
    </w:p>
    <w:p w:rsidR="00000000" w:rsidDel="00000000" w:rsidP="00000000" w:rsidRDefault="00000000" w:rsidRPr="00000000" w14:paraId="00000023">
      <w:pPr>
        <w:pStyle w:val="Heading2"/>
        <w:rPr/>
      </w:pPr>
      <w:bookmarkStart w:colFirst="0" w:colLast="0" w:name="_heading=h.1fob9te" w:id="2"/>
      <w:bookmarkEnd w:id="2"/>
      <w:r w:rsidDel="00000000" w:rsidR="00000000" w:rsidRPr="00000000">
        <w:rPr>
          <w:rtl w:val="0"/>
        </w:rPr>
        <w:t xml:space="preserve">Literature review</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VLE or Virtual Learning Environment is the space of design for learning as well as teaching. The virtual conjures also up the artificial world which replaces the real life. However, the environments of virtual learning neither will nor replace the classrooms also nor existing the educational practises. Traditional learning practically enhances them (</w:t>
      </w:r>
      <w:r w:rsidDel="00000000" w:rsidR="00000000" w:rsidRPr="00000000">
        <w:rPr>
          <w:rFonts w:ascii="Times New Roman" w:cs="Times New Roman" w:eastAsia="Times New Roman" w:hAnsi="Times New Roman"/>
          <w:sz w:val="24"/>
          <w:szCs w:val="24"/>
          <w:highlight w:val="white"/>
          <w:rtl w:val="0"/>
        </w:rPr>
        <w:t xml:space="preserve">Hamutoglu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 advantages of environments of virtual learning are expand inclusively, also improved the accessibility, the cost savings, relationship as well as community building and many more. The other major advantages of VLE are expanded the view of the world, improved the technical skills, the bigger comfort and flexibility and more (</w:t>
      </w:r>
      <w:r w:rsidDel="00000000" w:rsidR="00000000" w:rsidRPr="00000000">
        <w:rPr>
          <w:rFonts w:ascii="Times New Roman" w:cs="Times New Roman" w:eastAsia="Times New Roman" w:hAnsi="Times New Roman"/>
          <w:sz w:val="24"/>
          <w:szCs w:val="24"/>
          <w:highlight w:val="white"/>
          <w:rtl w:val="0"/>
        </w:rPr>
        <w:t xml:space="preserve">Peytcheva-Forsyth and Aleksieva,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VLE were basically introduced in progressing students from the passive toward active learners. The active learning also promotes skills of critical thinking properly for usage of the knowledge that is classroom-acquired into the clinical setting. VLE also forms highly important clinical skills component development in the disciplines range (</w:t>
      </w:r>
      <w:r w:rsidDel="00000000" w:rsidR="00000000" w:rsidRPr="00000000">
        <w:rPr>
          <w:rFonts w:ascii="Times New Roman" w:cs="Times New Roman" w:eastAsia="Times New Roman" w:hAnsi="Times New Roman"/>
          <w:sz w:val="24"/>
          <w:szCs w:val="24"/>
          <w:highlight w:val="white"/>
          <w:rtl w:val="0"/>
        </w:rPr>
        <w:t xml:space="preserve">Batool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various secondary sources it is observed that the virtual learning specifically improve engagement/satisfaction of students as well as recall. VLEs has vital role in the student’s teaching. It is the requirement for advanced technology introduction into the education of the health care as the virtual reality includes Radiotherapy Environment (Virtual) that has observed improvement in the satisfaction of students, recall and engagement. VLEs also qualify the student’s better compare to conventional undetermined teaching however initial outcomes are encouraging (</w:t>
      </w:r>
      <w:r w:rsidDel="00000000" w:rsidR="00000000" w:rsidRPr="00000000">
        <w:rPr>
          <w:rFonts w:ascii="Times New Roman" w:cs="Times New Roman" w:eastAsia="Times New Roman" w:hAnsi="Times New Roman"/>
          <w:sz w:val="24"/>
          <w:szCs w:val="24"/>
          <w:highlight w:val="white"/>
          <w:rtl w:val="0"/>
        </w:rPr>
        <w:t xml:space="preserve">Polhun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8">
      <w:pPr>
        <w:pStyle w:val="Heading2"/>
        <w:rPr/>
      </w:pPr>
      <w:bookmarkStart w:colFirst="0" w:colLast="0" w:name="_heading=h.3znysh7" w:id="3"/>
      <w:bookmarkEnd w:id="3"/>
      <w:r w:rsidDel="00000000" w:rsidR="00000000" w:rsidRPr="00000000">
        <w:rPr>
          <w:rtl w:val="0"/>
        </w:rPr>
        <w:t xml:space="preserve">Methodology</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researcher is going to apply primary quantitative data collection method to collect the topic related data. However it is time consuming and expensive but provide the effective and updated outcomes related to the topic. Various methods are there for collecting the quantitative data are interviews, sampling, the document review and the questionnaire observation. These are hugely applied and common methods for online data collection (</w:t>
      </w:r>
      <w:r w:rsidDel="00000000" w:rsidR="00000000" w:rsidRPr="00000000">
        <w:rPr>
          <w:rFonts w:ascii="Times New Roman" w:cs="Times New Roman" w:eastAsia="Times New Roman" w:hAnsi="Times New Roman"/>
          <w:sz w:val="24"/>
          <w:szCs w:val="24"/>
          <w:highlight w:val="white"/>
          <w:rtl w:val="0"/>
        </w:rPr>
        <w:t xml:space="preserve">Schettini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COVID-19 situation the researcher will collect data from respondents from online survey. The online survey is the structured questionnaire which target audiences finishes over internet normally by the filling out the form. Data is properly stored in the database along with survey tool normally delivers some analysis level of information in the additional reviewing through trained expert. Researcher for this research will use Survey Monkey to develop surveys for free. It normally saves time and cost compare to traditional or offline survey. Researcher will collect data from 25 respondents by providing 5 research questions based on impact of VLE and current learning experience of students.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researcher will also use the random probability sampling. It will help the researcher to collect the survey data from randomly selected respondents. Method of probability sampling is the sampling method which utilises random selection form (</w:t>
      </w:r>
      <w:r w:rsidDel="00000000" w:rsidR="00000000" w:rsidRPr="00000000">
        <w:rPr>
          <w:rFonts w:ascii="Times New Roman" w:cs="Times New Roman" w:eastAsia="Times New Roman" w:hAnsi="Times New Roman"/>
          <w:sz w:val="24"/>
          <w:szCs w:val="24"/>
          <w:highlight w:val="white"/>
          <w:rtl w:val="0"/>
        </w:rPr>
        <w:t xml:space="preserve">Tsay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the researcher also uses secondary quantitative data collection method. These data are already exists as well as was collected through other institution, firm and person. The thematic analysis is basically the method for analysing the qualitative information. It is commonly applied to be the texts set such as the interview transcripts. Researcher will examine information for determining the common themes include patterns, ideas and topics which come up repeatedly. The researcher will use the peer-reviewed journals, books, articles to gather the relevant and authentic data related to VLE and it impact on the learning experience of students (</w:t>
      </w:r>
      <w:r w:rsidDel="00000000" w:rsidR="00000000" w:rsidRPr="00000000">
        <w:rPr>
          <w:rFonts w:ascii="Times New Roman" w:cs="Times New Roman" w:eastAsia="Times New Roman" w:hAnsi="Times New Roman"/>
          <w:sz w:val="24"/>
          <w:szCs w:val="24"/>
          <w:highlight w:val="white"/>
          <w:rtl w:val="0"/>
        </w:rPr>
        <w:t xml:space="preserve">Waheed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D">
      <w:pPr>
        <w:pStyle w:val="Heading2"/>
        <w:rPr/>
      </w:pPr>
      <w:bookmarkStart w:colFirst="0" w:colLast="0" w:name="_heading=h.2et92p0" w:id="4"/>
      <w:bookmarkEnd w:id="4"/>
      <w:r w:rsidDel="00000000" w:rsidR="00000000" w:rsidRPr="00000000">
        <w:rPr>
          <w:rtl w:val="0"/>
        </w:rPr>
        <w:t xml:space="preserve">Data findings </w:t>
      </w:r>
    </w:p>
    <w:p w:rsidR="00000000" w:rsidDel="00000000" w:rsidP="00000000" w:rsidRDefault="00000000" w:rsidRPr="00000000" w14:paraId="0000002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Online Survey (close-ended questions)</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1. Do you agree</w:t>
      </w:r>
      <w:r w:rsidDel="00000000" w:rsidR="00000000" w:rsidRPr="00000000">
        <w:rPr>
          <w:rFonts w:ascii="Times New Roman" w:cs="Times New Roman" w:eastAsia="Times New Roman" w:hAnsi="Times New Roman"/>
          <w:sz w:val="24"/>
          <w:szCs w:val="24"/>
          <w:highlight w:val="white"/>
          <w:rtl w:val="0"/>
        </w:rPr>
        <w:t xml:space="preserve"> VLE offers more engagement and satisfaction than traditional learning?</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6"/>
        <w:gridCol w:w="2255"/>
        <w:gridCol w:w="2256"/>
        <w:gridCol w:w="2249"/>
        <w:tblGridChange w:id="0">
          <w:tblGrid>
            <w:gridCol w:w="2256"/>
            <w:gridCol w:w="2255"/>
            <w:gridCol w:w="2256"/>
            <w:gridCol w:w="2249"/>
          </w:tblGrid>
        </w:tblGridChange>
      </w:tblGrid>
      <w:tr>
        <w:tc>
          <w:tcPr/>
          <w:p w:rsidR="00000000" w:rsidDel="00000000" w:rsidP="00000000" w:rsidRDefault="00000000" w:rsidRPr="00000000" w14:paraId="00000030">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Deliverables </w:t>
            </w:r>
          </w:p>
        </w:tc>
        <w:tc>
          <w:tcPr/>
          <w:p w:rsidR="00000000" w:rsidDel="00000000" w:rsidP="00000000" w:rsidRDefault="00000000" w:rsidRPr="00000000" w14:paraId="00000031">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Total respondents </w:t>
            </w:r>
          </w:p>
        </w:tc>
        <w:tc>
          <w:tcPr/>
          <w:p w:rsidR="00000000" w:rsidDel="00000000" w:rsidP="00000000" w:rsidRDefault="00000000" w:rsidRPr="00000000" w14:paraId="00000032">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Number of respondents </w:t>
            </w:r>
          </w:p>
        </w:tc>
        <w:tc>
          <w:tcPr/>
          <w:p w:rsidR="00000000" w:rsidDel="00000000" w:rsidP="00000000" w:rsidRDefault="00000000" w:rsidRPr="00000000" w14:paraId="00000033">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Percentage </w:t>
            </w:r>
          </w:p>
        </w:tc>
      </w:tr>
      <w:tr>
        <w:tc>
          <w:tcPr/>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Agree </w:t>
            </w:r>
          </w:p>
        </w:tc>
        <w:tc>
          <w:tcPr>
            <w:vMerge w:val="restart"/>
          </w:tcPr>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25</w:t>
            </w:r>
          </w:p>
        </w:tc>
        <w:tc>
          <w:tcPr/>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10</w:t>
            </w:r>
          </w:p>
        </w:tc>
        <w:tc>
          <w:tcPr/>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40%</w:t>
            </w:r>
          </w:p>
        </w:tc>
      </w:tr>
      <w:tr>
        <w:tc>
          <w:tcPr/>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Agree </w:t>
            </w:r>
          </w:p>
        </w:tc>
        <w:tc>
          <w:tcPr>
            <w:vMerge w:val="continue"/>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w:t>
            </w:r>
          </w:p>
        </w:tc>
        <w:tc>
          <w:tcPr/>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24%</w:t>
            </w:r>
          </w:p>
        </w:tc>
      </w:tr>
      <w:tr>
        <w:tc>
          <w:tcPr/>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Neutral </w:t>
            </w:r>
          </w:p>
        </w:tc>
        <w:tc>
          <w:tcPr>
            <w:vMerge w:val="continue"/>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w:t>
            </w:r>
          </w:p>
        </w:tc>
        <w:tc>
          <w:tcPr/>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16%</w:t>
            </w:r>
          </w:p>
        </w:tc>
      </w:tr>
      <w:tr>
        <w:tc>
          <w:tcPr/>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Disagree </w:t>
            </w:r>
          </w:p>
        </w:tc>
        <w:tc>
          <w:tcPr>
            <w:vMerge w:val="continue"/>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w:t>
            </w:r>
          </w:p>
        </w:tc>
        <w:tc>
          <w:tcPr/>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12%</w:t>
            </w:r>
          </w:p>
        </w:tc>
      </w:tr>
      <w:tr>
        <w:tc>
          <w:tcPr/>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disagree </w:t>
            </w:r>
          </w:p>
        </w:tc>
        <w:tc>
          <w:tcPr>
            <w:vMerge w:val="continue"/>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w:t>
            </w:r>
          </w:p>
        </w:tc>
        <w:tc>
          <w:tcPr/>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8%</w:t>
            </w:r>
          </w:p>
        </w:tc>
      </w:tr>
    </w:tbl>
    <w:p w:rsidR="00000000" w:rsidDel="00000000" w:rsidP="00000000" w:rsidRDefault="00000000" w:rsidRPr="00000000" w14:paraId="00000048">
      <w:pPr>
        <w:spacing w:line="36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9">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Table 1: VLE offers more engagement and satisfaction</w:t>
      </w:r>
    </w:p>
    <w:p w:rsidR="00000000" w:rsidDel="00000000" w:rsidP="00000000" w:rsidRDefault="00000000" w:rsidRPr="00000000" w14:paraId="0000004A">
      <w:pPr>
        <w:spacing w:line="360" w:lineRule="auto"/>
        <w:jc w:val="center"/>
        <w:rPr>
          <w:rFonts w:ascii="Times New Roman" w:cs="Times New Roman" w:eastAsia="Times New Roman" w:hAnsi="Times New Roman"/>
          <w:b w:val="1"/>
          <w:sz w:val="24"/>
          <w:szCs w:val="24"/>
          <w:highlight w:val="white"/>
        </w:rPr>
      </w:pPr>
      <w:r w:rsidDel="00000000" w:rsidR="00000000" w:rsidRPr="00000000">
        <w:rPr/>
        <w:drawing>
          <wp:inline distB="0" distT="0" distL="0" distR="0">
            <wp:extent cx="4572000" cy="2743200"/>
            <wp:docPr id="12" name=""/>
            <a:graphic>
              <a:graphicData uri="http://schemas.openxmlformats.org/drawingml/2006/chart">
                <c:chart r:id="rId7"/>
              </a:graphicData>
            </a:graphic>
          </wp:inline>
        </w:drawing>
      </w:r>
      <w:r w:rsidDel="00000000" w:rsidR="00000000" w:rsidRPr="00000000">
        <w:rPr>
          <w:rtl w:val="0"/>
        </w:rPr>
      </w:r>
    </w:p>
    <w:p w:rsidR="00000000" w:rsidDel="00000000" w:rsidP="00000000" w:rsidRDefault="00000000" w:rsidRPr="00000000" w14:paraId="0000004B">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Fig 1: VLE offers more engagement and satisfaction</w:t>
      </w:r>
    </w:p>
    <w:p w:rsidR="00000000" w:rsidDel="00000000" w:rsidP="00000000" w:rsidRDefault="00000000" w:rsidRPr="00000000" w14:paraId="0000004C">
      <w:pP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(Source: Created by the learner)</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 Do you think VLE helps students to progress from passive to active learners? </w:t>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6"/>
        <w:gridCol w:w="2255"/>
        <w:gridCol w:w="2256"/>
        <w:gridCol w:w="2249"/>
        <w:tblGridChange w:id="0">
          <w:tblGrid>
            <w:gridCol w:w="2256"/>
            <w:gridCol w:w="2255"/>
            <w:gridCol w:w="2256"/>
            <w:gridCol w:w="2249"/>
          </w:tblGrid>
        </w:tblGridChange>
      </w:tblGrid>
      <w:tr>
        <w:tc>
          <w:tcPr/>
          <w:p w:rsidR="00000000" w:rsidDel="00000000" w:rsidP="00000000" w:rsidRDefault="00000000" w:rsidRPr="00000000" w14:paraId="0000004E">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Deliverables </w:t>
            </w:r>
          </w:p>
        </w:tc>
        <w:tc>
          <w:tcPr/>
          <w:p w:rsidR="00000000" w:rsidDel="00000000" w:rsidP="00000000" w:rsidRDefault="00000000" w:rsidRPr="00000000" w14:paraId="0000004F">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Total respondents </w:t>
            </w:r>
          </w:p>
        </w:tc>
        <w:tc>
          <w:tcPr/>
          <w:p w:rsidR="00000000" w:rsidDel="00000000" w:rsidP="00000000" w:rsidRDefault="00000000" w:rsidRPr="00000000" w14:paraId="00000050">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Number of respondents </w:t>
            </w:r>
          </w:p>
        </w:tc>
        <w:tc>
          <w:tcPr/>
          <w:p w:rsidR="00000000" w:rsidDel="00000000" w:rsidP="00000000" w:rsidRDefault="00000000" w:rsidRPr="00000000" w14:paraId="00000051">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Percentage </w:t>
            </w:r>
          </w:p>
        </w:tc>
      </w:tr>
      <w:tr>
        <w:tc>
          <w:tcPr/>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Agree </w:t>
            </w:r>
          </w:p>
        </w:tc>
        <w:tc>
          <w:tcPr>
            <w:vMerge w:val="restart"/>
          </w:tcPr>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25</w:t>
            </w:r>
          </w:p>
        </w:tc>
        <w:tc>
          <w:tcPr/>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9</w:t>
            </w:r>
          </w:p>
        </w:tc>
        <w:tc>
          <w:tcPr/>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36%</w:t>
            </w:r>
          </w:p>
        </w:tc>
      </w:tr>
      <w:tr>
        <w:tc>
          <w:tcPr/>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Agree </w:t>
            </w:r>
          </w:p>
        </w:tc>
        <w:tc>
          <w:tcPr>
            <w:vMerge w:val="continue"/>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w:t>
            </w:r>
          </w:p>
        </w:tc>
        <w:tc>
          <w:tcPr/>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24%</w:t>
            </w:r>
          </w:p>
        </w:tc>
      </w:tr>
      <w:tr>
        <w:tc>
          <w:tcPr/>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Neutral </w:t>
            </w:r>
          </w:p>
        </w:tc>
        <w:tc>
          <w:tcPr>
            <w:vMerge w:val="continue"/>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w:t>
            </w:r>
          </w:p>
        </w:tc>
        <w:tc>
          <w:tcPr/>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20%</w:t>
            </w:r>
          </w:p>
        </w:tc>
      </w:tr>
      <w:tr>
        <w:tc>
          <w:tcPr/>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Disagree </w:t>
            </w:r>
          </w:p>
        </w:tc>
        <w:tc>
          <w:tcPr>
            <w:vMerge w:val="continue"/>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w:t>
            </w:r>
          </w:p>
        </w:tc>
        <w:tc>
          <w:tcPr/>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8%</w:t>
            </w:r>
          </w:p>
        </w:tc>
      </w:tr>
      <w:tr>
        <w:tc>
          <w:tcPr/>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disagree </w:t>
            </w:r>
          </w:p>
        </w:tc>
        <w:tc>
          <w:tcPr>
            <w:vMerge w:val="continue"/>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w:t>
            </w:r>
          </w:p>
        </w:tc>
        <w:tc>
          <w:tcPr/>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12%</w:t>
            </w:r>
          </w:p>
        </w:tc>
      </w:tr>
    </w:tbl>
    <w:p w:rsidR="00000000" w:rsidDel="00000000" w:rsidP="00000000" w:rsidRDefault="00000000" w:rsidRPr="00000000" w14:paraId="00000066">
      <w:pPr>
        <w:spacing w:line="36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7">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Table 2: VLE helps students to progress from passive to active learners</w:t>
      </w:r>
    </w:p>
    <w:p w:rsidR="00000000" w:rsidDel="00000000" w:rsidP="00000000" w:rsidRDefault="00000000" w:rsidRPr="00000000" w14:paraId="00000068">
      <w:pPr>
        <w:spacing w:line="360" w:lineRule="auto"/>
        <w:jc w:val="center"/>
        <w:rPr>
          <w:rFonts w:ascii="Times New Roman" w:cs="Times New Roman" w:eastAsia="Times New Roman" w:hAnsi="Times New Roman"/>
          <w:b w:val="1"/>
          <w:sz w:val="24"/>
          <w:szCs w:val="24"/>
          <w:highlight w:val="white"/>
        </w:rPr>
      </w:pPr>
      <w:r w:rsidDel="00000000" w:rsidR="00000000" w:rsidRPr="00000000">
        <w:rPr/>
        <w:drawing>
          <wp:inline distB="0" distT="0" distL="0" distR="0">
            <wp:extent cx="4572000" cy="2743200"/>
            <wp:docPr id="14"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069">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Fig 2: VLE helps students to progress from passive to active learners</w:t>
      </w:r>
    </w:p>
    <w:p w:rsidR="00000000" w:rsidDel="00000000" w:rsidP="00000000" w:rsidRDefault="00000000" w:rsidRPr="00000000" w14:paraId="0000006A">
      <w:pP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(Source: Created by the learner)</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 Do you think in Post Covid-19 situation students will prefer VLE Moodle more than classroom learning? </w:t>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6"/>
        <w:gridCol w:w="2255"/>
        <w:gridCol w:w="2256"/>
        <w:gridCol w:w="2249"/>
        <w:tblGridChange w:id="0">
          <w:tblGrid>
            <w:gridCol w:w="2256"/>
            <w:gridCol w:w="2255"/>
            <w:gridCol w:w="2256"/>
            <w:gridCol w:w="2249"/>
          </w:tblGrid>
        </w:tblGridChange>
      </w:tblGrid>
      <w:tr>
        <w:tc>
          <w:tcPr/>
          <w:p w:rsidR="00000000" w:rsidDel="00000000" w:rsidP="00000000" w:rsidRDefault="00000000" w:rsidRPr="00000000" w14:paraId="0000006C">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Deliverables </w:t>
            </w:r>
          </w:p>
        </w:tc>
        <w:tc>
          <w:tcPr/>
          <w:p w:rsidR="00000000" w:rsidDel="00000000" w:rsidP="00000000" w:rsidRDefault="00000000" w:rsidRPr="00000000" w14:paraId="0000006D">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Total respondents </w:t>
            </w:r>
          </w:p>
        </w:tc>
        <w:tc>
          <w:tcPr/>
          <w:p w:rsidR="00000000" w:rsidDel="00000000" w:rsidP="00000000" w:rsidRDefault="00000000" w:rsidRPr="00000000" w14:paraId="0000006E">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Number of respondents </w:t>
            </w:r>
          </w:p>
        </w:tc>
        <w:tc>
          <w:tcPr/>
          <w:p w:rsidR="00000000" w:rsidDel="00000000" w:rsidP="00000000" w:rsidRDefault="00000000" w:rsidRPr="00000000" w14:paraId="0000006F">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Percentage </w:t>
            </w:r>
          </w:p>
        </w:tc>
      </w:tr>
      <w:tr>
        <w:tc>
          <w:tcPr/>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Agree </w:t>
            </w:r>
          </w:p>
        </w:tc>
        <w:tc>
          <w:tcPr>
            <w:vMerge w:val="restart"/>
          </w:tcPr>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25</w:t>
            </w:r>
          </w:p>
        </w:tc>
        <w:tc>
          <w:tcPr/>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9</w:t>
            </w:r>
          </w:p>
        </w:tc>
        <w:tc>
          <w:tcPr/>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36%</w:t>
            </w:r>
          </w:p>
        </w:tc>
      </w:tr>
      <w:tr>
        <w:tc>
          <w:tcPr/>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Agree </w:t>
            </w:r>
          </w:p>
        </w:tc>
        <w:tc>
          <w:tcPr>
            <w:vMerge w:val="continue"/>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9</w:t>
            </w:r>
          </w:p>
        </w:tc>
        <w:tc>
          <w:tcPr/>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36%</w:t>
            </w:r>
          </w:p>
        </w:tc>
      </w:tr>
      <w:tr>
        <w:tc>
          <w:tcPr/>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Neutral </w:t>
            </w:r>
          </w:p>
        </w:tc>
        <w:tc>
          <w:tcPr>
            <w:vMerge w:val="continue"/>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w:t>
            </w:r>
          </w:p>
        </w:tc>
        <w:tc>
          <w:tcPr/>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8%</w:t>
            </w:r>
          </w:p>
        </w:tc>
      </w:tr>
      <w:tr>
        <w:tc>
          <w:tcPr/>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Disagree </w:t>
            </w:r>
          </w:p>
        </w:tc>
        <w:tc>
          <w:tcPr>
            <w:vMerge w:val="continue"/>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w:t>
            </w:r>
          </w:p>
        </w:tc>
        <w:tc>
          <w:tcPr/>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8%</w:t>
            </w:r>
          </w:p>
        </w:tc>
      </w:tr>
      <w:tr>
        <w:tc>
          <w:tcPr/>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disagree </w:t>
            </w:r>
          </w:p>
        </w:tc>
        <w:tc>
          <w:tcPr>
            <w:vMerge w:val="continue"/>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w:t>
            </w:r>
          </w:p>
        </w:tc>
        <w:tc>
          <w:tcPr/>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12%</w:t>
            </w:r>
          </w:p>
        </w:tc>
      </w:tr>
    </w:tbl>
    <w:p w:rsidR="00000000" w:rsidDel="00000000" w:rsidP="00000000" w:rsidRDefault="00000000" w:rsidRPr="00000000" w14:paraId="00000084">
      <w:pPr>
        <w:spacing w:line="36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5">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Table 3: Post Covid-19 situation students will prefer VLE Moodle</w:t>
      </w:r>
    </w:p>
    <w:p w:rsidR="00000000" w:rsidDel="00000000" w:rsidP="00000000" w:rsidRDefault="00000000" w:rsidRPr="00000000" w14:paraId="00000086">
      <w:pPr>
        <w:spacing w:line="360" w:lineRule="auto"/>
        <w:jc w:val="center"/>
        <w:rPr>
          <w:rFonts w:ascii="Times New Roman" w:cs="Times New Roman" w:eastAsia="Times New Roman" w:hAnsi="Times New Roman"/>
          <w:b w:val="1"/>
          <w:sz w:val="24"/>
          <w:szCs w:val="24"/>
          <w:highlight w:val="white"/>
        </w:rPr>
      </w:pPr>
      <w:r w:rsidDel="00000000" w:rsidR="00000000" w:rsidRPr="00000000">
        <w:rPr/>
        <w:drawing>
          <wp:inline distB="0" distT="0" distL="0" distR="0">
            <wp:extent cx="4572000" cy="2743200"/>
            <wp:docPr id="13"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087">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Fig 3: Post Covid-19 situation students will prefer VLE Moodle</w:t>
      </w:r>
    </w:p>
    <w:p w:rsidR="00000000" w:rsidDel="00000000" w:rsidP="00000000" w:rsidRDefault="00000000" w:rsidRPr="00000000" w14:paraId="00000088">
      <w:pP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(Source: Created by the learner)</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 Do you think VLE creates a positive learning experience for students? </w:t>
      </w:r>
    </w:p>
    <w:tbl>
      <w:tblPr>
        <w:tblStyle w:val="Table4"/>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6"/>
        <w:gridCol w:w="2255"/>
        <w:gridCol w:w="2256"/>
        <w:gridCol w:w="2249"/>
        <w:tblGridChange w:id="0">
          <w:tblGrid>
            <w:gridCol w:w="2256"/>
            <w:gridCol w:w="2255"/>
            <w:gridCol w:w="2256"/>
            <w:gridCol w:w="2249"/>
          </w:tblGrid>
        </w:tblGridChange>
      </w:tblGrid>
      <w:tr>
        <w:tc>
          <w:tcPr/>
          <w:p w:rsidR="00000000" w:rsidDel="00000000" w:rsidP="00000000" w:rsidRDefault="00000000" w:rsidRPr="00000000" w14:paraId="0000008A">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Deliverables </w:t>
            </w:r>
          </w:p>
        </w:tc>
        <w:tc>
          <w:tcPr/>
          <w:p w:rsidR="00000000" w:rsidDel="00000000" w:rsidP="00000000" w:rsidRDefault="00000000" w:rsidRPr="00000000" w14:paraId="0000008B">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Total respondents </w:t>
            </w:r>
          </w:p>
        </w:tc>
        <w:tc>
          <w:tcPr/>
          <w:p w:rsidR="00000000" w:rsidDel="00000000" w:rsidP="00000000" w:rsidRDefault="00000000" w:rsidRPr="00000000" w14:paraId="0000008C">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Number of respondents </w:t>
            </w:r>
          </w:p>
        </w:tc>
        <w:tc>
          <w:tcPr/>
          <w:p w:rsidR="00000000" w:rsidDel="00000000" w:rsidP="00000000" w:rsidRDefault="00000000" w:rsidRPr="00000000" w14:paraId="0000008D">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Percentage </w:t>
            </w:r>
          </w:p>
        </w:tc>
      </w:tr>
      <w:tr>
        <w:tc>
          <w:tcPr/>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Agree </w:t>
            </w:r>
          </w:p>
        </w:tc>
        <w:tc>
          <w:tcPr>
            <w:vMerge w:val="restart"/>
          </w:tcPr>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25</w:t>
            </w:r>
          </w:p>
        </w:tc>
        <w:tc>
          <w:tcPr/>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7</w:t>
            </w:r>
          </w:p>
        </w:tc>
        <w:tc>
          <w:tcPr/>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28%</w:t>
            </w:r>
          </w:p>
        </w:tc>
      </w:tr>
      <w:tr>
        <w:tc>
          <w:tcPr/>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Agree </w:t>
            </w:r>
          </w:p>
        </w:tc>
        <w:tc>
          <w:tcPr>
            <w:vMerge w:val="continue"/>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8</w:t>
            </w:r>
          </w:p>
        </w:tc>
        <w:tc>
          <w:tcPr/>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32%</w:t>
            </w:r>
          </w:p>
        </w:tc>
      </w:tr>
      <w:tr>
        <w:tc>
          <w:tcPr/>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Neutral </w:t>
            </w:r>
          </w:p>
        </w:tc>
        <w:tc>
          <w:tcPr>
            <w:vMerge w:val="continue"/>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w:t>
            </w:r>
          </w:p>
        </w:tc>
        <w:tc>
          <w:tcPr/>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16%</w:t>
            </w:r>
          </w:p>
        </w:tc>
      </w:tr>
      <w:tr>
        <w:tc>
          <w:tcPr/>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Disagree </w:t>
            </w:r>
          </w:p>
        </w:tc>
        <w:tc>
          <w:tcPr>
            <w:vMerge w:val="continue"/>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w:t>
            </w:r>
          </w:p>
        </w:tc>
        <w:tc>
          <w:tcPr/>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12%</w:t>
            </w:r>
          </w:p>
        </w:tc>
      </w:tr>
      <w:tr>
        <w:tc>
          <w:tcPr/>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disagree </w:t>
            </w:r>
          </w:p>
        </w:tc>
        <w:tc>
          <w:tcPr>
            <w:vMerge w:val="continue"/>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w:t>
            </w:r>
          </w:p>
        </w:tc>
        <w:tc>
          <w:tcPr/>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12%</w:t>
            </w:r>
          </w:p>
        </w:tc>
      </w:tr>
    </w:tbl>
    <w:p w:rsidR="00000000" w:rsidDel="00000000" w:rsidP="00000000" w:rsidRDefault="00000000" w:rsidRPr="00000000" w14:paraId="000000A2">
      <w:pPr>
        <w:spacing w:line="36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3">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Table 4: VLE creates a positive learning experience for students</w:t>
      </w:r>
    </w:p>
    <w:p w:rsidR="00000000" w:rsidDel="00000000" w:rsidP="00000000" w:rsidRDefault="00000000" w:rsidRPr="00000000" w14:paraId="000000A4">
      <w:pPr>
        <w:spacing w:line="360" w:lineRule="auto"/>
        <w:jc w:val="center"/>
        <w:rPr>
          <w:rFonts w:ascii="Times New Roman" w:cs="Times New Roman" w:eastAsia="Times New Roman" w:hAnsi="Times New Roman"/>
          <w:b w:val="1"/>
          <w:sz w:val="24"/>
          <w:szCs w:val="24"/>
          <w:highlight w:val="white"/>
        </w:rPr>
      </w:pPr>
      <w:r w:rsidDel="00000000" w:rsidR="00000000" w:rsidRPr="00000000">
        <w:rPr/>
        <w:drawing>
          <wp:inline distB="0" distT="0" distL="0" distR="0">
            <wp:extent cx="4572000" cy="2743200"/>
            <wp:docPr id="16"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0A5">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Fig 4: VLE creates a positive learning experience for students</w:t>
      </w:r>
    </w:p>
    <w:p w:rsidR="00000000" w:rsidDel="00000000" w:rsidP="00000000" w:rsidRDefault="00000000" w:rsidRPr="00000000" w14:paraId="000000A6">
      <w:pP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(Source: Created by the learner)</w:t>
      </w:r>
    </w:p>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 Do you think, Virtual learning will develop more students’ focus than classroom learning? </w:t>
      </w:r>
    </w:p>
    <w:tbl>
      <w:tblPr>
        <w:tblStyle w:val="Table5"/>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6"/>
        <w:gridCol w:w="2255"/>
        <w:gridCol w:w="2256"/>
        <w:gridCol w:w="2249"/>
        <w:tblGridChange w:id="0">
          <w:tblGrid>
            <w:gridCol w:w="2256"/>
            <w:gridCol w:w="2255"/>
            <w:gridCol w:w="2256"/>
            <w:gridCol w:w="2249"/>
          </w:tblGrid>
        </w:tblGridChange>
      </w:tblGrid>
      <w:tr>
        <w:tc>
          <w:tcPr/>
          <w:p w:rsidR="00000000" w:rsidDel="00000000" w:rsidP="00000000" w:rsidRDefault="00000000" w:rsidRPr="00000000" w14:paraId="000000A8">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Deliverables </w:t>
            </w:r>
          </w:p>
        </w:tc>
        <w:tc>
          <w:tcPr/>
          <w:p w:rsidR="00000000" w:rsidDel="00000000" w:rsidP="00000000" w:rsidRDefault="00000000" w:rsidRPr="00000000" w14:paraId="000000A9">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Total respondents </w:t>
            </w:r>
          </w:p>
        </w:tc>
        <w:tc>
          <w:tcPr/>
          <w:p w:rsidR="00000000" w:rsidDel="00000000" w:rsidP="00000000" w:rsidRDefault="00000000" w:rsidRPr="00000000" w14:paraId="000000AA">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Number of respondents </w:t>
            </w:r>
          </w:p>
        </w:tc>
        <w:tc>
          <w:tcPr/>
          <w:p w:rsidR="00000000" w:rsidDel="00000000" w:rsidP="00000000" w:rsidRDefault="00000000" w:rsidRPr="00000000" w14:paraId="000000AB">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Percentage </w:t>
            </w:r>
          </w:p>
        </w:tc>
      </w:tr>
      <w:tr>
        <w:tc>
          <w:tcPr/>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Agree </w:t>
            </w:r>
          </w:p>
        </w:tc>
        <w:tc>
          <w:tcPr>
            <w:vMerge w:val="restart"/>
          </w:tcPr>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25</w:t>
            </w:r>
          </w:p>
        </w:tc>
        <w:tc>
          <w:tcPr/>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8</w:t>
            </w:r>
          </w:p>
        </w:tc>
        <w:tc>
          <w:tcPr/>
          <w:p w:rsidR="00000000" w:rsidDel="00000000" w:rsidP="00000000" w:rsidRDefault="00000000" w:rsidRPr="00000000" w14:paraId="000000A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32%</w:t>
            </w:r>
          </w:p>
        </w:tc>
      </w:tr>
      <w:tr>
        <w:tc>
          <w:tcPr/>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Agree </w:t>
            </w:r>
          </w:p>
        </w:tc>
        <w:tc>
          <w:tcPr>
            <w:vMerge w:val="continue"/>
          </w:tcPr>
          <w:p w:rsidR="00000000" w:rsidDel="00000000" w:rsidP="00000000" w:rsidRDefault="00000000" w:rsidRPr="00000000" w14:paraId="000000B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8</w:t>
            </w:r>
          </w:p>
        </w:tc>
        <w:tc>
          <w:tcPr/>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32%</w:t>
            </w:r>
          </w:p>
        </w:tc>
      </w:tr>
      <w:tr>
        <w:tc>
          <w:tcPr/>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Neutral </w:t>
            </w:r>
          </w:p>
        </w:tc>
        <w:tc>
          <w:tcPr>
            <w:vMerge w:val="continue"/>
          </w:tcPr>
          <w:p w:rsidR="00000000" w:rsidDel="00000000" w:rsidP="00000000" w:rsidRDefault="00000000" w:rsidRPr="00000000" w14:paraId="000000B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7</w:t>
            </w:r>
          </w:p>
        </w:tc>
        <w:tc>
          <w:tcPr/>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28%</w:t>
            </w:r>
          </w:p>
        </w:tc>
      </w:tr>
      <w:tr>
        <w:tc>
          <w:tcPr/>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Disagree </w:t>
            </w:r>
          </w:p>
        </w:tc>
        <w:tc>
          <w:tcPr>
            <w:vMerge w:val="continue"/>
          </w:tcPr>
          <w:p w:rsidR="00000000" w:rsidDel="00000000" w:rsidP="00000000" w:rsidRDefault="00000000" w:rsidRPr="00000000" w14:paraId="000000B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w:t>
            </w:r>
          </w:p>
        </w:tc>
        <w:tc>
          <w:tcPr/>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w:t>
            </w:r>
          </w:p>
        </w:tc>
      </w:tr>
      <w:tr>
        <w:tc>
          <w:tcPr/>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Strongly disagree </w:t>
            </w:r>
          </w:p>
        </w:tc>
        <w:tc>
          <w:tcPr>
            <w:vMerge w:val="continue"/>
          </w:tcPr>
          <w:p w:rsidR="00000000" w:rsidDel="00000000" w:rsidP="00000000" w:rsidRDefault="00000000" w:rsidRPr="00000000" w14:paraId="000000B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highlight w:val="white"/>
              </w:rPr>
            </w:pPr>
            <w:r w:rsidDel="00000000" w:rsidR="00000000" w:rsidRPr="00000000">
              <w:rPr>
                <w:rtl w:val="0"/>
              </w:rPr>
            </w:r>
          </w:p>
        </w:tc>
        <w:tc>
          <w:tcPr/>
          <w:p w:rsidR="00000000" w:rsidDel="00000000" w:rsidP="00000000" w:rsidRDefault="00000000" w:rsidRPr="00000000" w14:paraId="000000B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w:t>
            </w:r>
          </w:p>
        </w:tc>
        <w:tc>
          <w:tcPr/>
          <w:p w:rsidR="00000000" w:rsidDel="00000000" w:rsidP="00000000" w:rsidRDefault="00000000" w:rsidRPr="00000000" w14:paraId="000000B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w:t>
            </w:r>
          </w:p>
        </w:tc>
      </w:tr>
    </w:tbl>
    <w:p w:rsidR="00000000" w:rsidDel="00000000" w:rsidP="00000000" w:rsidRDefault="00000000" w:rsidRPr="00000000" w14:paraId="000000C0">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1">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rtl w:val="0"/>
        </w:rPr>
        <w:t xml:space="preserve">Table 5: </w:t>
      </w:r>
      <w:r w:rsidDel="00000000" w:rsidR="00000000" w:rsidRPr="00000000">
        <w:rPr>
          <w:rFonts w:ascii="Times New Roman" w:cs="Times New Roman" w:eastAsia="Times New Roman" w:hAnsi="Times New Roman"/>
          <w:b w:val="1"/>
          <w:sz w:val="24"/>
          <w:szCs w:val="24"/>
          <w:highlight w:val="white"/>
          <w:rtl w:val="0"/>
        </w:rPr>
        <w:t xml:space="preserve">Virtual learning will develop more students’ focus than classroom learning</w:t>
      </w:r>
    </w:p>
    <w:p w:rsidR="00000000" w:rsidDel="00000000" w:rsidP="00000000" w:rsidRDefault="00000000" w:rsidRPr="00000000" w14:paraId="000000C2">
      <w:pPr>
        <w:spacing w:line="360" w:lineRule="auto"/>
        <w:jc w:val="center"/>
        <w:rPr>
          <w:rFonts w:ascii="Times New Roman" w:cs="Times New Roman" w:eastAsia="Times New Roman" w:hAnsi="Times New Roman"/>
          <w:b w:val="1"/>
          <w:sz w:val="24"/>
          <w:szCs w:val="24"/>
        </w:rPr>
      </w:pPr>
      <w:r w:rsidDel="00000000" w:rsidR="00000000" w:rsidRPr="00000000">
        <w:rPr/>
        <w:drawing>
          <wp:inline distB="0" distT="0" distL="0" distR="0">
            <wp:extent cx="4572000" cy="2743200"/>
            <wp:docPr id="15"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0C3">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rtl w:val="0"/>
        </w:rPr>
        <w:t xml:space="preserve">Fig 5: </w:t>
      </w:r>
      <w:r w:rsidDel="00000000" w:rsidR="00000000" w:rsidRPr="00000000">
        <w:rPr>
          <w:rFonts w:ascii="Times New Roman" w:cs="Times New Roman" w:eastAsia="Times New Roman" w:hAnsi="Times New Roman"/>
          <w:b w:val="1"/>
          <w:sz w:val="24"/>
          <w:szCs w:val="24"/>
          <w:highlight w:val="white"/>
          <w:rtl w:val="0"/>
        </w:rPr>
        <w:t xml:space="preserve">Virtual learning will develop more students’ focus than classroom learning</w:t>
      </w:r>
    </w:p>
    <w:p w:rsidR="00000000" w:rsidDel="00000000" w:rsidP="00000000" w:rsidRDefault="00000000" w:rsidRPr="00000000" w14:paraId="000000C4">
      <w:pP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(Source: Created by the learner)</w:t>
      </w:r>
    </w:p>
    <w:p w:rsidR="00000000" w:rsidDel="00000000" w:rsidP="00000000" w:rsidRDefault="00000000" w:rsidRPr="00000000" w14:paraId="000000C5">
      <w:pPr>
        <w:rPr>
          <w:highlight w:val="white"/>
        </w:rPr>
      </w:pPr>
      <w:r w:rsidDel="00000000" w:rsidR="00000000" w:rsidRPr="00000000">
        <w:rPr>
          <w:highlight w:val="white"/>
          <w:rtl w:val="0"/>
        </w:rPr>
        <w:t xml:space="preserve">Thematic analysis </w:t>
      </w:r>
    </w:p>
    <w:p w:rsidR="00000000" w:rsidDel="00000000" w:rsidP="00000000" w:rsidRDefault="00000000" w:rsidRPr="00000000" w14:paraId="000000C6">
      <w:pP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Analysis 1- “How VLE Moodle does enhance the experience of student learning?”</w:t>
      </w:r>
    </w:p>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From the ‘files.eric’ website it is analysed that VLE basically enhances the assessment for learning through offering the instant feedback along with the feed-forward to university students who can take their own learning responsibility as well as stayed encourage correcting work. The virtual learning basically exhausts the students in different way as the technology is new and different from traditional learning. Due to COVID-19 lockdown every university have to grant this technology or system for student learning. However it makes students exacerbates the differences of social class along with mirrors gender inequalities which exist in the in-person classes. Sometime, these challenges are enhanced and hugely prevalent in the in-person classrooms as well as harm the learning results.    </w:t>
      </w:r>
    </w:p>
    <w:p w:rsidR="00000000" w:rsidDel="00000000" w:rsidP="00000000" w:rsidRDefault="00000000" w:rsidRPr="00000000" w14:paraId="000000C8">
      <w:pP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Analysis 2: “How VLE Moodle creates negative impact on experience of student’s learning?” </w:t>
      </w:r>
    </w:p>
    <w:p w:rsidR="00000000" w:rsidDel="00000000" w:rsidP="00000000" w:rsidRDefault="00000000" w:rsidRPr="00000000" w14:paraId="000000C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From the website ‘meruintemationalschool.com’ it is determined that VLE Moodle creates various issues for students on their learning experiences. The common challenges that university may face which negatively impact on the student’s learning experience are infrastructural issues, the extra training, the physical activity is being compared and many more. Even other major issues are lack of emotional and social skills along with the effects of the excess time of screen on the students and eliminated the personal communication among students and teachers.  </w:t>
      </w:r>
      <w:r w:rsidDel="00000000" w:rsidR="00000000" w:rsidRPr="00000000">
        <w:rPr>
          <w:rtl w:val="0"/>
        </w:rPr>
      </w:r>
    </w:p>
    <w:p w:rsidR="00000000" w:rsidDel="00000000" w:rsidP="00000000" w:rsidRDefault="00000000" w:rsidRPr="00000000" w14:paraId="000000CA">
      <w:pPr>
        <w:pStyle w:val="Heading2"/>
        <w:rPr/>
      </w:pPr>
      <w:bookmarkStart w:colFirst="0" w:colLast="0" w:name="_heading=h.tyjcwt" w:id="5"/>
      <w:bookmarkEnd w:id="5"/>
      <w:r w:rsidDel="00000000" w:rsidR="00000000" w:rsidRPr="00000000">
        <w:rPr>
          <w:rtl w:val="0"/>
        </w:rPr>
        <w:t xml:space="preserve">Data interpretation  </w:t>
      </w:r>
    </w:p>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first table and graph it is determined that majority are agreed about the fact. Out of 25 respondents 10 are strongly agreed with fact which is 40% of total percentage. So it is concluded that VLE offers high engagement as well as satisfaction compare to traditional learning. </w:t>
      </w:r>
    </w:p>
    <w:p w:rsidR="00000000" w:rsidDel="00000000" w:rsidP="00000000" w:rsidRDefault="00000000" w:rsidRPr="00000000" w14:paraId="000000CC">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sz w:val="24"/>
          <w:szCs w:val="24"/>
          <w:rtl w:val="0"/>
        </w:rPr>
        <w:t xml:space="preserve">From the second table it is determined that majority are agreed about the fact. Out of 25 respondents 9 are strongly agreed about the fact which is 36% of the total percentage. Out of 25 respondents 6 are agreed, 5 are neutral, 2 are disagreed and 3 are strongly disagreed about the facts which are 24%, 20%, 8% and 12% respectively. So, it is concluded VLE supports the students for progressing from the passive toward the active learners. </w:t>
      </w:r>
      <w:r w:rsidDel="00000000" w:rsidR="00000000" w:rsidRPr="00000000">
        <w:rPr>
          <w:rFonts w:ascii="Times New Roman" w:cs="Times New Roman" w:eastAsia="Times New Roman" w:hAnsi="Times New Roman"/>
          <w:b w:val="1"/>
          <w:i w:val="1"/>
          <w:sz w:val="24"/>
          <w:szCs w:val="24"/>
          <w:rtl w:val="0"/>
        </w:rPr>
        <w:t xml:space="preserve">[Referred to appendix] </w:t>
      </w:r>
    </w:p>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third table it is determined that out of 25 respondents 9 are strongly agreed which is 36% of total percentage. Out of 25 respondents 2 are neutral, 2 are disagreed and 3 are strongly disagreed about the facts that are 8% and 12% of the total percentage. So, it is concluded that during Post-COVID-19 time university students are also going to prefer the VLE Moodle over classroom learning. </w:t>
      </w:r>
    </w:p>
    <w:p w:rsidR="00000000" w:rsidDel="00000000" w:rsidP="00000000" w:rsidRDefault="00000000" w:rsidRPr="00000000" w14:paraId="000000CE">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sz w:val="24"/>
          <w:szCs w:val="24"/>
          <w:rtl w:val="0"/>
        </w:rPr>
        <w:t xml:space="preserve">From the fourth table, this is determined that out of 25 respondents 8 are agreed about the fact which is 32% of total percentage. It is also determined that 7 are strongly agreed and 4 are stayed neutral about the fact which are 28% and 16% respectively. So, this is concluded that VLE develops the experience of positive learning for the students. </w:t>
      </w:r>
      <w:r w:rsidDel="00000000" w:rsidR="00000000" w:rsidRPr="00000000">
        <w:rPr>
          <w:rFonts w:ascii="Times New Roman" w:cs="Times New Roman" w:eastAsia="Times New Roman" w:hAnsi="Times New Roman"/>
          <w:b w:val="1"/>
          <w:i w:val="1"/>
          <w:sz w:val="24"/>
          <w:szCs w:val="24"/>
          <w:rtl w:val="0"/>
        </w:rPr>
        <w:t xml:space="preserve">[Referred to appendix] </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fifth table, it is determined that out of 25 respondents 8 are strongly agreed about fact which is 32% of total percentage. This is determined that 7 are neutral and 1 is strongly disagreed about the facts which are 28% and 4% respectively. So, it is concluded virtual learning should create more number of students concentration compare to the classroom training. </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thematic analysis, it is determined that VLE Moodle in major cases negatively enhances student’s learning experiences. Because of COVID-19 University forced to change their traditional learning procedure and move to online. Various negative impacts are determined that actually happens for the first time user in various countries. Students in major cases exacerbates social class differences and with the mirrors the inequalities of gender. </w:t>
      </w:r>
    </w:p>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another thematic analysis, this is determined that several lacking forms of infrastructure creates hurdle to support the live virtual classes. Several teachers determine this challenging for preparing soft copies of notes. Even it will be difficult for students to take the longer breaks while applying phone screens because online learning is a continuous matter.           </w:t>
      </w:r>
    </w:p>
    <w:p w:rsidR="00000000" w:rsidDel="00000000" w:rsidP="00000000" w:rsidRDefault="00000000" w:rsidRPr="00000000" w14:paraId="000000D2">
      <w:pPr>
        <w:pStyle w:val="Heading1"/>
        <w:rPr/>
      </w:pPr>
      <w:bookmarkStart w:colFirst="0" w:colLast="0" w:name="_heading=h.3dy6vkm" w:id="6"/>
      <w:bookmarkEnd w:id="6"/>
      <w:r w:rsidDel="00000000" w:rsidR="00000000" w:rsidRPr="00000000">
        <w:rPr>
          <w:rtl w:val="0"/>
        </w:rPr>
        <w:t xml:space="preserve">Conclusion </w:t>
      </w:r>
    </w:p>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report concludes about various impact of VLE Moodle on the learning experience of students. The report also concludes that VLE directly impacts on university student’s satisfaction, retention and learning. The report also determines both secondary and primary quantitative data collection methods are used to collect the data. For secondary analysis various websites, journals and articles are used whereas for primary analysis 25 is the sample size and online survey technique is used. From the findings it is determined that VLE offers high satisfaction and engagement compare to the traditional learning. It is also determined VLE supports the students for progressing to the active learners from passive; Post-COVID-19 situations student will also continue to use VLE Moodle for their learning purpose. Various negative outcomes are also concluded such as VLE exhausts students in various ways, the gender inequalities exacerbates and many more.     </w:t>
      </w:r>
    </w:p>
    <w:p w:rsidR="00000000" w:rsidDel="00000000" w:rsidP="00000000" w:rsidRDefault="00000000" w:rsidRPr="00000000" w14:paraId="000000D4">
      <w:pPr>
        <w:pStyle w:val="Heading1"/>
        <w:rPr/>
      </w:pPr>
      <w:bookmarkStart w:colFirst="0" w:colLast="0" w:name="_heading=h.1t3h5sf" w:id="7"/>
      <w:bookmarkEnd w:id="7"/>
      <w:r w:rsidDel="00000000" w:rsidR="00000000" w:rsidRPr="00000000">
        <w:rPr>
          <w:rtl w:val="0"/>
        </w:rPr>
        <w:t xml:space="preserve">Recommendation </w:t>
      </w:r>
    </w:p>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above discussion it is recommended to the teachers to create the online class interesting which will encourage students to stay focus during the class. The teachers should break the learning activities into the short as well as video-based modules. Students will enjoy more training videos series rather than the lengthy modules of courses (</w:t>
      </w:r>
      <w:r w:rsidDel="00000000" w:rsidR="00000000" w:rsidRPr="00000000">
        <w:rPr>
          <w:rFonts w:ascii="Times New Roman" w:cs="Times New Roman" w:eastAsia="Times New Roman" w:hAnsi="Times New Roman"/>
          <w:sz w:val="24"/>
          <w:szCs w:val="24"/>
          <w:highlight w:val="white"/>
          <w:rtl w:val="0"/>
        </w:rPr>
        <w:t xml:space="preserve">Knowledge Anywhere,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also to recommend to the university lecturers to encourage the student feedback. They should create an opportunity for students to give feedback based on training or online classes. It will help teachers to determine their cooperation and ways of learning and the areas to improve properly. It will make them to maintain better relation with students and will improve their current performance also (</w:t>
      </w:r>
      <w:r w:rsidDel="00000000" w:rsidR="00000000" w:rsidRPr="00000000">
        <w:rPr>
          <w:rFonts w:ascii="Times New Roman" w:cs="Times New Roman" w:eastAsia="Times New Roman" w:hAnsi="Times New Roman"/>
          <w:sz w:val="24"/>
          <w:szCs w:val="24"/>
          <w:highlight w:val="white"/>
          <w:rtl w:val="0"/>
        </w:rPr>
        <w:t xml:space="preserve">Knowledge Anywhere,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7">
      <w:pPr>
        <w:spacing w:line="36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D8">
      <w:pPr>
        <w:pStyle w:val="Heading1"/>
        <w:rPr/>
      </w:pPr>
      <w:bookmarkStart w:colFirst="0" w:colLast="0" w:name="_heading=h.4d34og8" w:id="8"/>
      <w:bookmarkEnd w:id="8"/>
      <w:r w:rsidDel="00000000" w:rsidR="00000000" w:rsidRPr="00000000">
        <w:rPr>
          <w:rtl w:val="0"/>
        </w:rPr>
        <w:t xml:space="preserve">Reference </w:t>
      </w:r>
    </w:p>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Batool, F., Saeed, B., Rehman, A.U. and Waseem, H., 2021. Impact Of Online Classes During COVID-19 Pandemic Situation on Undergraduate University Students Pakistan. </w:t>
      </w:r>
      <w:r w:rsidDel="00000000" w:rsidR="00000000" w:rsidRPr="00000000">
        <w:rPr>
          <w:rFonts w:ascii="Times New Roman" w:cs="Times New Roman" w:eastAsia="Times New Roman" w:hAnsi="Times New Roman"/>
          <w:i w:val="1"/>
          <w:sz w:val="24"/>
          <w:szCs w:val="24"/>
          <w:highlight w:val="white"/>
          <w:rtl w:val="0"/>
        </w:rPr>
        <w:t xml:space="preserve">Asian Journal of Allied Health Sciences (AJAHS)</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Darusman, A.H. and Omar, Y., 2021. Enhancing Student Engagement in VLE Platform: Student Perceptions Towards Programming Course Learning Resources. </w:t>
      </w:r>
      <w:r w:rsidDel="00000000" w:rsidR="00000000" w:rsidRPr="00000000">
        <w:rPr>
          <w:rFonts w:ascii="Times New Roman" w:cs="Times New Roman" w:eastAsia="Times New Roman" w:hAnsi="Times New Roman"/>
          <w:i w:val="1"/>
          <w:sz w:val="24"/>
          <w:szCs w:val="24"/>
          <w:highlight w:val="white"/>
          <w:rtl w:val="0"/>
        </w:rPr>
        <w:t xml:space="preserve">Psychology and Education Journal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58</w:t>
      </w:r>
      <w:r w:rsidDel="00000000" w:rsidR="00000000" w:rsidRPr="00000000">
        <w:rPr>
          <w:rFonts w:ascii="Times New Roman" w:cs="Times New Roman" w:eastAsia="Times New Roman" w:hAnsi="Times New Roman"/>
          <w:sz w:val="24"/>
          <w:szCs w:val="24"/>
          <w:highlight w:val="white"/>
          <w:rtl w:val="0"/>
        </w:rPr>
        <w:t xml:space="preserve">(1), pp.5607-5612</w:t>
      </w:r>
      <w:r w:rsidDel="00000000" w:rsidR="00000000" w:rsidRPr="00000000">
        <w:rPr>
          <w:rFonts w:ascii="Arial" w:cs="Arial" w:eastAsia="Arial" w:hAnsi="Arial"/>
          <w:color w:val="222222"/>
          <w:sz w:val="20"/>
          <w:szCs w:val="20"/>
          <w:highlight w:val="white"/>
          <w:rtl w:val="0"/>
        </w:rPr>
        <w:t xml:space="preserve">.</w:t>
      </w:r>
      <w:r w:rsidDel="00000000" w:rsidR="00000000" w:rsidRPr="00000000">
        <w:rPr>
          <w:rtl w:val="0"/>
        </w:rPr>
      </w:r>
    </w:p>
    <w:p w:rsidR="00000000" w:rsidDel="00000000" w:rsidP="00000000" w:rsidRDefault="00000000" w:rsidRPr="00000000" w14:paraId="000000D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highlight w:val="white"/>
          <w:rtl w:val="0"/>
        </w:rPr>
        <w:t xml:space="preserve">Gautam, K.P., Sharma, D., Wangpo, K. and Dema, S., 2021. The Acceptance and Use of the Virtual Learning Environment (VLE) in Higher Education: A Contextual Study of Royal University of Bhutan. </w:t>
      </w:r>
      <w:r w:rsidDel="00000000" w:rsidR="00000000" w:rsidRPr="00000000">
        <w:rPr>
          <w:rFonts w:ascii="Times New Roman" w:cs="Times New Roman" w:eastAsia="Times New Roman" w:hAnsi="Times New Roman"/>
          <w:i w:val="1"/>
          <w:sz w:val="24"/>
          <w:szCs w:val="24"/>
          <w:highlight w:val="white"/>
          <w:rtl w:val="0"/>
        </w:rPr>
        <w:t xml:space="preserve">Asian Research Journal of Arts &amp; Social Sciences</w:t>
      </w:r>
      <w:r w:rsidDel="00000000" w:rsidR="00000000" w:rsidRPr="00000000">
        <w:rPr>
          <w:rFonts w:ascii="Times New Roman" w:cs="Times New Roman" w:eastAsia="Times New Roman" w:hAnsi="Times New Roman"/>
          <w:sz w:val="24"/>
          <w:szCs w:val="24"/>
          <w:highlight w:val="white"/>
          <w:rtl w:val="0"/>
        </w:rPr>
        <w:t xml:space="preserve">, pp.20-36.</w:t>
      </w:r>
      <w:r w:rsidDel="00000000" w:rsidR="00000000" w:rsidRPr="00000000">
        <w:rPr>
          <w:rtl w:val="0"/>
        </w:rPr>
      </w:r>
    </w:p>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Hamutoglu, N.B., Gemikonakli, O., Duman, I., Kirksekiz, A. and Kiyici, M., 2020. Evaluating students experiences using a virtual learning environment: satisfaction and preferences. </w:t>
      </w:r>
      <w:r w:rsidDel="00000000" w:rsidR="00000000" w:rsidRPr="00000000">
        <w:rPr>
          <w:rFonts w:ascii="Times New Roman" w:cs="Times New Roman" w:eastAsia="Times New Roman" w:hAnsi="Times New Roman"/>
          <w:i w:val="1"/>
          <w:sz w:val="24"/>
          <w:szCs w:val="24"/>
          <w:highlight w:val="white"/>
          <w:rtl w:val="0"/>
        </w:rPr>
        <w:t xml:space="preserve">Educational Technology Research and Development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68</w:t>
      </w:r>
      <w:r w:rsidDel="00000000" w:rsidR="00000000" w:rsidRPr="00000000">
        <w:rPr>
          <w:rFonts w:ascii="Times New Roman" w:cs="Times New Roman" w:eastAsia="Times New Roman" w:hAnsi="Times New Roman"/>
          <w:sz w:val="24"/>
          <w:szCs w:val="24"/>
          <w:highlight w:val="white"/>
          <w:rtl w:val="0"/>
        </w:rPr>
        <w:t xml:space="preserve">(1), pp.437-462.</w:t>
      </w:r>
    </w:p>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Knowledge Anywhere. 2021. </w:t>
      </w:r>
      <w:r w:rsidDel="00000000" w:rsidR="00000000" w:rsidRPr="00000000">
        <w:rPr>
          <w:rFonts w:ascii="Times New Roman" w:cs="Times New Roman" w:eastAsia="Times New Roman" w:hAnsi="Times New Roman"/>
          <w:i w:val="1"/>
          <w:sz w:val="24"/>
          <w:szCs w:val="24"/>
          <w:highlight w:val="white"/>
          <w:rtl w:val="0"/>
        </w:rPr>
        <w:t xml:space="preserve">Knowledge Anywhere :: How to Create an Impactful Virtual Learning Environment</w:t>
      </w:r>
      <w:r w:rsidDel="00000000" w:rsidR="00000000" w:rsidRPr="00000000">
        <w:rPr>
          <w:rFonts w:ascii="Times New Roman" w:cs="Times New Roman" w:eastAsia="Times New Roman" w:hAnsi="Times New Roman"/>
          <w:sz w:val="24"/>
          <w:szCs w:val="24"/>
          <w:highlight w:val="white"/>
          <w:rtl w:val="0"/>
        </w:rPr>
        <w:t xml:space="preserve">. [online] Available at: &lt;https://www.knowledgeanywhere.com/resources/article-detail/how-to-create-an-impactful-virtual-learning-environment&gt; [Accessed 10 April 2021].</w:t>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Peytcheva-Forsyth, R. and Aleksieva, L., 2021, March. Forced introduction of e-assessment during COVID-19 pandemic: How did the students feel about that?(Sofia University case). In </w:t>
      </w:r>
      <w:r w:rsidDel="00000000" w:rsidR="00000000" w:rsidRPr="00000000">
        <w:rPr>
          <w:rFonts w:ascii="Times New Roman" w:cs="Times New Roman" w:eastAsia="Times New Roman" w:hAnsi="Times New Roman"/>
          <w:i w:val="1"/>
          <w:sz w:val="24"/>
          <w:szCs w:val="24"/>
          <w:highlight w:val="white"/>
          <w:rtl w:val="0"/>
        </w:rPr>
        <w:t xml:space="preserve">AIP Conference Proceedings</w:t>
      </w:r>
      <w:r w:rsidDel="00000000" w:rsidR="00000000" w:rsidRPr="00000000">
        <w:rPr>
          <w:rFonts w:ascii="Times New Roman" w:cs="Times New Roman" w:eastAsia="Times New Roman" w:hAnsi="Times New Roman"/>
          <w:sz w:val="24"/>
          <w:szCs w:val="24"/>
          <w:highlight w:val="white"/>
          <w:rtl w:val="0"/>
        </w:rPr>
        <w:t xml:space="preserve"> (Vol. 2333, No. 1, p. 050013). AIP Publishing LLC.</w:t>
      </w:r>
    </w:p>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Polhun, K., Kramarenko, T., Maloivan, M. and Tomilina, A., 2021, March. Shift from blended learning to distance one during the lockdown period using Moodle: test control of students’ academic achievement and analysis of its results. In </w:t>
      </w:r>
      <w:r w:rsidDel="00000000" w:rsidR="00000000" w:rsidRPr="00000000">
        <w:rPr>
          <w:rFonts w:ascii="Times New Roman" w:cs="Times New Roman" w:eastAsia="Times New Roman" w:hAnsi="Times New Roman"/>
          <w:i w:val="1"/>
          <w:sz w:val="24"/>
          <w:szCs w:val="24"/>
          <w:highlight w:val="white"/>
          <w:rtl w:val="0"/>
        </w:rPr>
        <w:t xml:space="preserve">Journal of Physics: Conference Series</w:t>
      </w:r>
      <w:r w:rsidDel="00000000" w:rsidR="00000000" w:rsidRPr="00000000">
        <w:rPr>
          <w:rFonts w:ascii="Times New Roman" w:cs="Times New Roman" w:eastAsia="Times New Roman" w:hAnsi="Times New Roman"/>
          <w:sz w:val="24"/>
          <w:szCs w:val="24"/>
          <w:highlight w:val="white"/>
          <w:rtl w:val="0"/>
        </w:rPr>
        <w:t xml:space="preserve"> (Vol. 1840, No. 1, p. 012053). IOP Publishing.</w:t>
      </w:r>
    </w:p>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Schettini, C., Amendola, D., Borsini, I. and Galassi, R., 2020. A blended learning approach for general chemistry modules using a Moodle platform for first year academic students. </w:t>
      </w:r>
      <w:r w:rsidDel="00000000" w:rsidR="00000000" w:rsidRPr="00000000">
        <w:rPr>
          <w:rFonts w:ascii="Times New Roman" w:cs="Times New Roman" w:eastAsia="Times New Roman" w:hAnsi="Times New Roman"/>
          <w:i w:val="1"/>
          <w:sz w:val="24"/>
          <w:szCs w:val="24"/>
          <w:highlight w:val="white"/>
          <w:rtl w:val="0"/>
        </w:rPr>
        <w:t xml:space="preserve">Journal of E-Learning and Knowledge Society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16</w:t>
      </w:r>
      <w:r w:rsidDel="00000000" w:rsidR="00000000" w:rsidRPr="00000000">
        <w:rPr>
          <w:rFonts w:ascii="Times New Roman" w:cs="Times New Roman" w:eastAsia="Times New Roman" w:hAnsi="Times New Roman"/>
          <w:sz w:val="24"/>
          <w:szCs w:val="24"/>
          <w:highlight w:val="white"/>
          <w:rtl w:val="0"/>
        </w:rPr>
        <w:t xml:space="preserve">(2), pp.61-72.</w:t>
      </w:r>
    </w:p>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Tsay, C.H.H., Kofinas, A.K., Trivedi, S.K. and Yang, Y., 2020. Overcoming the novelty effect in online gamified learning systems: An empirical evaluation of student engagement and performance. </w:t>
      </w:r>
      <w:r w:rsidDel="00000000" w:rsidR="00000000" w:rsidRPr="00000000">
        <w:rPr>
          <w:rFonts w:ascii="Times New Roman" w:cs="Times New Roman" w:eastAsia="Times New Roman" w:hAnsi="Times New Roman"/>
          <w:i w:val="1"/>
          <w:sz w:val="24"/>
          <w:szCs w:val="24"/>
          <w:highlight w:val="white"/>
          <w:rtl w:val="0"/>
        </w:rPr>
        <w:t xml:space="preserve">Journal of Computer Assisted Learning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36</w:t>
      </w:r>
      <w:r w:rsidDel="00000000" w:rsidR="00000000" w:rsidRPr="00000000">
        <w:rPr>
          <w:rFonts w:ascii="Times New Roman" w:cs="Times New Roman" w:eastAsia="Times New Roman" w:hAnsi="Times New Roman"/>
          <w:sz w:val="24"/>
          <w:szCs w:val="24"/>
          <w:highlight w:val="white"/>
          <w:rtl w:val="0"/>
        </w:rPr>
        <w:t xml:space="preserve">(2), pp.128-146.</w:t>
      </w:r>
    </w:p>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Waheed, H., Hassan, S.U., Aljohani, N.R., Hardman, J., Alelyani, S. and Nawaz, R., 2020. Predicting academic performance of students from VLE big data using deep learning models. </w:t>
      </w:r>
      <w:r w:rsidDel="00000000" w:rsidR="00000000" w:rsidRPr="00000000">
        <w:rPr>
          <w:rFonts w:ascii="Times New Roman" w:cs="Times New Roman" w:eastAsia="Times New Roman" w:hAnsi="Times New Roman"/>
          <w:i w:val="1"/>
          <w:sz w:val="24"/>
          <w:szCs w:val="24"/>
          <w:highlight w:val="white"/>
          <w:rtl w:val="0"/>
        </w:rPr>
        <w:t xml:space="preserve">Computers in Human Behavior</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104</w:t>
      </w:r>
      <w:r w:rsidDel="00000000" w:rsidR="00000000" w:rsidRPr="00000000">
        <w:rPr>
          <w:rFonts w:ascii="Times New Roman" w:cs="Times New Roman" w:eastAsia="Times New Roman" w:hAnsi="Times New Roman"/>
          <w:sz w:val="24"/>
          <w:szCs w:val="24"/>
          <w:highlight w:val="white"/>
          <w:rtl w:val="0"/>
        </w:rPr>
        <w:t xml:space="preserve">, p.106189.</w:t>
      </w:r>
    </w:p>
    <w:p w:rsidR="00000000" w:rsidDel="00000000" w:rsidP="00000000" w:rsidRDefault="00000000" w:rsidRPr="00000000" w14:paraId="000000E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5">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E6">
      <w:pPr>
        <w:pStyle w:val="Heading1"/>
        <w:rPr/>
      </w:pPr>
      <w:bookmarkStart w:colFirst="0" w:colLast="0" w:name="_heading=h.2s8eyo1" w:id="9"/>
      <w:bookmarkEnd w:id="9"/>
      <w:r w:rsidDel="00000000" w:rsidR="00000000" w:rsidRPr="00000000">
        <w:rPr>
          <w:rtl w:val="0"/>
        </w:rPr>
        <w:t xml:space="preserve">Appendix</w:t>
      </w:r>
    </w:p>
    <w:p w:rsidR="00000000" w:rsidDel="00000000" w:rsidP="00000000" w:rsidRDefault="00000000" w:rsidRPr="00000000" w14:paraId="000000E7">
      <w:pPr>
        <w:spacing w:line="360" w:lineRule="auto"/>
        <w:jc w:val="both"/>
        <w:rPr>
          <w:rFonts w:ascii="Times New Roman" w:cs="Times New Roman" w:eastAsia="Times New Roman" w:hAnsi="Times New Roman"/>
          <w:b w:val="1"/>
          <w:sz w:val="24"/>
          <w:szCs w:val="24"/>
        </w:rPr>
      </w:pPr>
      <w:r w:rsidDel="00000000" w:rsidR="00000000" w:rsidRPr="00000000">
        <w:rPr/>
        <w:drawing>
          <wp:inline distB="0" distT="0" distL="0" distR="0">
            <wp:extent cx="5731510" cy="2430993"/>
            <wp:effectExtent b="0" l="0" r="0" t="0"/>
            <wp:docPr id="18"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5731510" cy="2430993"/>
                    </a:xfrm>
                    <a:prstGeom prst="rect"/>
                    <a:ln/>
                  </pic:spPr>
                </pic:pic>
              </a:graphicData>
            </a:graphic>
          </wp:inline>
        </w:drawing>
      </w:r>
      <w:r w:rsidDel="00000000" w:rsidR="00000000" w:rsidRPr="00000000">
        <w:rPr>
          <w:rtl w:val="0"/>
        </w:rPr>
      </w:r>
    </w:p>
    <w:p w:rsidR="00000000" w:rsidDel="00000000" w:rsidP="00000000" w:rsidRDefault="00000000" w:rsidRPr="00000000" w14:paraId="000000E8">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9">
      <w:pPr>
        <w:spacing w:line="360" w:lineRule="auto"/>
        <w:jc w:val="both"/>
        <w:rPr>
          <w:rFonts w:ascii="Times New Roman" w:cs="Times New Roman" w:eastAsia="Times New Roman" w:hAnsi="Times New Roman"/>
          <w:b w:val="1"/>
          <w:sz w:val="24"/>
          <w:szCs w:val="24"/>
        </w:rPr>
      </w:pPr>
      <w:r w:rsidDel="00000000" w:rsidR="00000000" w:rsidRPr="00000000">
        <w:rPr/>
        <w:drawing>
          <wp:inline distB="0" distT="0" distL="0" distR="0">
            <wp:extent cx="5731510" cy="2181770"/>
            <wp:effectExtent b="0" l="0" r="0" t="0"/>
            <wp:docPr id="17"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5731510" cy="2181770"/>
                    </a:xfrm>
                    <a:prstGeom prst="rect"/>
                    <a:ln/>
                  </pic:spPr>
                </pic:pic>
              </a:graphicData>
            </a:graphic>
          </wp:inline>
        </w:drawing>
      </w:r>
      <w:r w:rsidDel="00000000" w:rsidR="00000000" w:rsidRPr="00000000">
        <w:rPr>
          <w:rtl w:val="0"/>
        </w:rPr>
      </w:r>
    </w:p>
    <w:p w:rsidR="00000000" w:rsidDel="00000000" w:rsidP="00000000" w:rsidRDefault="00000000" w:rsidRPr="00000000" w14:paraId="000000E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B">
      <w:pPr>
        <w:spacing w:line="360" w:lineRule="auto"/>
        <w:jc w:val="both"/>
        <w:rPr>
          <w:rFonts w:ascii="Times New Roman" w:cs="Times New Roman" w:eastAsia="Times New Roman" w:hAnsi="Times New Roman"/>
          <w:b w:val="1"/>
          <w:sz w:val="24"/>
          <w:szCs w:val="24"/>
        </w:rPr>
      </w:pPr>
      <w:r w:rsidDel="00000000" w:rsidR="00000000" w:rsidRPr="00000000">
        <w:rPr/>
        <w:drawing>
          <wp:inline distB="0" distT="0" distL="0" distR="0">
            <wp:extent cx="5731510" cy="2323221"/>
            <wp:effectExtent b="0" l="0" r="0" t="0"/>
            <wp:docPr id="20"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731510" cy="2323221"/>
                    </a:xfrm>
                    <a:prstGeom prst="rect"/>
                    <a:ln/>
                  </pic:spPr>
                </pic:pic>
              </a:graphicData>
            </a:graphic>
          </wp:inline>
        </w:drawing>
      </w:r>
      <w:r w:rsidDel="00000000" w:rsidR="00000000" w:rsidRPr="00000000">
        <w:rPr>
          <w:rtl w:val="0"/>
        </w:rPr>
      </w:r>
    </w:p>
    <w:p w:rsidR="00000000" w:rsidDel="00000000" w:rsidP="00000000" w:rsidRDefault="00000000" w:rsidRPr="00000000" w14:paraId="000000EC">
      <w:pPr>
        <w:spacing w:line="360" w:lineRule="auto"/>
        <w:jc w:val="both"/>
        <w:rPr>
          <w:rFonts w:ascii="Times New Roman" w:cs="Times New Roman" w:eastAsia="Times New Roman" w:hAnsi="Times New Roman"/>
          <w:b w:val="1"/>
          <w:sz w:val="24"/>
          <w:szCs w:val="24"/>
        </w:rPr>
      </w:pPr>
      <w:r w:rsidDel="00000000" w:rsidR="00000000" w:rsidRPr="00000000">
        <w:rPr/>
        <w:drawing>
          <wp:inline distB="0" distT="0" distL="0" distR="0">
            <wp:extent cx="5731510" cy="2231982"/>
            <wp:effectExtent b="0" l="0" r="0" t="0"/>
            <wp:docPr id="19"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731510" cy="2231982"/>
                    </a:xfrm>
                    <a:prstGeom prst="rect"/>
                    <a:ln/>
                  </pic:spPr>
                </pic:pic>
              </a:graphicData>
            </a:graphic>
          </wp:inline>
        </w:drawing>
      </w:r>
      <w:r w:rsidDel="00000000" w:rsidR="00000000" w:rsidRPr="00000000">
        <w:rPr>
          <w:rtl w:val="0"/>
        </w:rPr>
      </w:r>
    </w:p>
    <w:p w:rsidR="00000000" w:rsidDel="00000000" w:rsidP="00000000" w:rsidRDefault="00000000" w:rsidRPr="00000000" w14:paraId="000000E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E">
      <w:pPr>
        <w:spacing w:line="360" w:lineRule="auto"/>
        <w:jc w:val="both"/>
        <w:rPr>
          <w:rFonts w:ascii="Times New Roman" w:cs="Times New Roman" w:eastAsia="Times New Roman" w:hAnsi="Times New Roman"/>
          <w:b w:val="1"/>
          <w:sz w:val="24"/>
          <w:szCs w:val="24"/>
        </w:rPr>
      </w:pPr>
      <w:r w:rsidDel="00000000" w:rsidR="00000000" w:rsidRPr="00000000">
        <w:rPr/>
        <w:drawing>
          <wp:inline distB="0" distT="0" distL="0" distR="0">
            <wp:extent cx="5731510" cy="1965002"/>
            <wp:effectExtent b="0" l="0" r="0" t="0"/>
            <wp:docPr id="21"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5731510" cy="1965002"/>
                    </a:xfrm>
                    <a:prstGeom prst="rect"/>
                    <a:ln/>
                  </pic:spPr>
                </pic:pic>
              </a:graphicData>
            </a:graphic>
          </wp:inline>
        </w:drawing>
      </w:r>
      <w:r w:rsidDel="00000000" w:rsidR="00000000" w:rsidRPr="00000000">
        <w:rPr>
          <w:rtl w:val="0"/>
        </w:rPr>
      </w:r>
    </w:p>
    <w:sectPr>
      <w:footerReference r:id="rId17"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0" w:before="20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DB1415"/>
    <w:pPr>
      <w:keepNext w:val="1"/>
      <w:keepLines w:val="1"/>
      <w:spacing w:after="0" w:before="480" w:line="360" w:lineRule="auto"/>
      <w:jc w:val="both"/>
      <w:outlineLvl w:val="0"/>
    </w:pPr>
    <w:rPr>
      <w:rFonts w:ascii="Times New Roman" w:hAnsi="Times New Roman" w:cstheme="majorBidi" w:eastAsiaTheme="majorEastAsia"/>
      <w:b w:val="1"/>
      <w:bCs w:val="1"/>
      <w:sz w:val="24"/>
      <w:szCs w:val="28"/>
    </w:rPr>
  </w:style>
  <w:style w:type="paragraph" w:styleId="Heading2">
    <w:name w:val="heading 2"/>
    <w:basedOn w:val="Normal"/>
    <w:next w:val="Normal"/>
    <w:link w:val="Heading2Char"/>
    <w:uiPriority w:val="9"/>
    <w:unhideWhenUsed w:val="1"/>
    <w:qFormat w:val="1"/>
    <w:rsid w:val="00DB1415"/>
    <w:pPr>
      <w:keepNext w:val="1"/>
      <w:keepLines w:val="1"/>
      <w:spacing w:after="0" w:before="200" w:line="360" w:lineRule="auto"/>
      <w:jc w:val="both"/>
      <w:outlineLvl w:val="1"/>
    </w:pPr>
    <w:rPr>
      <w:rFonts w:ascii="Times New Roman" w:hAnsi="Times New Roman" w:cstheme="majorBidi" w:eastAsiaTheme="majorEastAsia"/>
      <w:b w:val="1"/>
      <w:bCs w:val="1"/>
      <w:sz w:val="24"/>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C03306"/>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306"/>
  </w:style>
  <w:style w:type="paragraph" w:styleId="Footer">
    <w:name w:val="footer"/>
    <w:basedOn w:val="Normal"/>
    <w:link w:val="FooterChar"/>
    <w:uiPriority w:val="99"/>
    <w:unhideWhenUsed w:val="1"/>
    <w:rsid w:val="00C03306"/>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306"/>
  </w:style>
  <w:style w:type="paragraph" w:styleId="ListParagraph">
    <w:name w:val="List Paragraph"/>
    <w:basedOn w:val="Normal"/>
    <w:uiPriority w:val="34"/>
    <w:qFormat w:val="1"/>
    <w:rsid w:val="00006D1C"/>
    <w:pPr>
      <w:ind w:left="720"/>
      <w:contextualSpacing w:val="1"/>
    </w:pPr>
  </w:style>
  <w:style w:type="paragraph" w:styleId="BalloonText">
    <w:name w:val="Balloon Text"/>
    <w:basedOn w:val="Normal"/>
    <w:link w:val="BalloonTextChar"/>
    <w:uiPriority w:val="99"/>
    <w:semiHidden w:val="1"/>
    <w:unhideWhenUsed w:val="1"/>
    <w:rsid w:val="00FD73F1"/>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D73F1"/>
    <w:rPr>
      <w:rFonts w:ascii="Tahoma" w:cs="Tahoma" w:hAnsi="Tahoma"/>
      <w:sz w:val="16"/>
      <w:szCs w:val="16"/>
    </w:rPr>
  </w:style>
  <w:style w:type="table" w:styleId="TableGrid">
    <w:name w:val="Table Grid"/>
    <w:basedOn w:val="TableNormal"/>
    <w:uiPriority w:val="39"/>
    <w:rsid w:val="00FC50A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1Char" w:customStyle="1">
    <w:name w:val="Heading 1 Char"/>
    <w:basedOn w:val="DefaultParagraphFont"/>
    <w:link w:val="Heading1"/>
    <w:uiPriority w:val="9"/>
    <w:rsid w:val="00DB1415"/>
    <w:rPr>
      <w:rFonts w:ascii="Times New Roman" w:hAnsi="Times New Roman" w:cstheme="majorBidi" w:eastAsiaTheme="majorEastAsia"/>
      <w:b w:val="1"/>
      <w:bCs w:val="1"/>
      <w:sz w:val="24"/>
      <w:szCs w:val="28"/>
    </w:rPr>
  </w:style>
  <w:style w:type="character" w:styleId="Heading2Char" w:customStyle="1">
    <w:name w:val="Heading 2 Char"/>
    <w:basedOn w:val="DefaultParagraphFont"/>
    <w:link w:val="Heading2"/>
    <w:uiPriority w:val="9"/>
    <w:rsid w:val="00DB1415"/>
    <w:rPr>
      <w:rFonts w:ascii="Times New Roman" w:hAnsi="Times New Roman" w:cstheme="majorBidi" w:eastAsiaTheme="majorEastAsia"/>
      <w:b w:val="1"/>
      <w:bCs w:val="1"/>
      <w:sz w:val="24"/>
      <w:szCs w:val="26"/>
    </w:rPr>
  </w:style>
  <w:style w:type="paragraph" w:styleId="TOCHeading">
    <w:name w:val="TOC Heading"/>
    <w:basedOn w:val="Heading1"/>
    <w:next w:val="Normal"/>
    <w:uiPriority w:val="39"/>
    <w:semiHidden w:val="1"/>
    <w:unhideWhenUsed w:val="1"/>
    <w:qFormat w:val="1"/>
    <w:rsid w:val="00DB1415"/>
    <w:pPr>
      <w:spacing w:line="276" w:lineRule="auto"/>
      <w:jc w:val="left"/>
      <w:outlineLvl w:val="9"/>
    </w:pPr>
    <w:rPr>
      <w:rFonts w:asciiTheme="majorHAnsi" w:hAnsiTheme="majorHAnsi"/>
      <w:color w:val="2e74b5" w:themeColor="accent1" w:themeShade="0000BF"/>
      <w:sz w:val="28"/>
      <w:lang w:eastAsia="ja-JP" w:val="en-US"/>
    </w:rPr>
  </w:style>
  <w:style w:type="paragraph" w:styleId="TOC1">
    <w:name w:val="toc 1"/>
    <w:basedOn w:val="Normal"/>
    <w:next w:val="Normal"/>
    <w:autoRedefine w:val="1"/>
    <w:uiPriority w:val="39"/>
    <w:unhideWhenUsed w:val="1"/>
    <w:rsid w:val="00DB1415"/>
    <w:pPr>
      <w:spacing w:after="100"/>
    </w:pPr>
  </w:style>
  <w:style w:type="paragraph" w:styleId="TOC2">
    <w:name w:val="toc 2"/>
    <w:basedOn w:val="Normal"/>
    <w:next w:val="Normal"/>
    <w:autoRedefine w:val="1"/>
    <w:uiPriority w:val="39"/>
    <w:unhideWhenUsed w:val="1"/>
    <w:rsid w:val="00DB1415"/>
    <w:pPr>
      <w:spacing w:after="100"/>
      <w:ind w:left="220"/>
    </w:pPr>
  </w:style>
  <w:style w:type="character" w:styleId="Hyperlink">
    <w:name w:val="Hyperlink"/>
    <w:basedOn w:val="DefaultParagraphFont"/>
    <w:uiPriority w:val="99"/>
    <w:unhideWhenUsed w:val="1"/>
    <w:rsid w:val="00DB1415"/>
    <w:rPr>
      <w:color w:val="0563c1"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chart" Target="charts/chart4.xml"/><Relationship Id="rId10" Type="http://schemas.openxmlformats.org/officeDocument/2006/relationships/chart" Target="charts/chart5.xml"/><Relationship Id="rId13" Type="http://schemas.openxmlformats.org/officeDocument/2006/relationships/image" Target="media/image4.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2.xml"/><Relationship Id="rId15" Type="http://schemas.openxmlformats.org/officeDocument/2006/relationships/image" Target="media/image3.png"/><Relationship Id="rId14" Type="http://schemas.openxmlformats.org/officeDocument/2006/relationships/image" Target="media/image2.png"/><Relationship Id="rId17" Type="http://schemas.openxmlformats.org/officeDocument/2006/relationships/footer" Target="footer1.xml"/><Relationship Id="rId16"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chart" Target="charts/chart1.xml"/><Relationship Id="rId8"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Sheet2!$C$2</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Sheet2!$B$3:$B$7</c:f>
              <c:strCache>
                <c:ptCount val="5"/>
                <c:pt idx="0">
                  <c:v>Strongly Agree </c:v>
                </c:pt>
                <c:pt idx="1">
                  <c:v>Agree </c:v>
                </c:pt>
                <c:pt idx="2">
                  <c:v>Neutral </c:v>
                </c:pt>
                <c:pt idx="3">
                  <c:v>Disagree </c:v>
                </c:pt>
                <c:pt idx="4">
                  <c:v>Strongly disagree </c:v>
                </c:pt>
              </c:strCache>
            </c:strRef>
          </c:cat>
          <c:val>
            <c:numRef>
              <c:f>Sheet2!$C$3:$C$7</c:f>
              <c:numCache>
                <c:formatCode>0%</c:formatCode>
                <c:ptCount val="5"/>
                <c:pt idx="0">
                  <c:v>0.4</c:v>
                </c:pt>
                <c:pt idx="1">
                  <c:v>0.24</c:v>
                </c:pt>
                <c:pt idx="2">
                  <c:v>0.16</c:v>
                </c:pt>
                <c:pt idx="3">
                  <c:v>0.12</c:v>
                </c:pt>
                <c:pt idx="4">
                  <c:v>0.08</c:v>
                </c:pt>
              </c:numCache>
            </c:numRef>
          </c:val>
          <c:extLst>
            <c:ext xmlns:c16="http://schemas.microsoft.com/office/drawing/2014/chart" uri="{C3380CC4-5D6E-409C-BE32-E72D297353CC}">
              <c16:uniqueId val="{00000000-ED5B-6E46-A629-686EF723FD9C}"/>
            </c:ext>
          </c:extLst>
        </c:ser>
        <c:dLbls>
          <c:showLegendKey val="0"/>
          <c:showVal val="1"/>
          <c:showCatName val="0"/>
          <c:showSerName val="0"/>
          <c:showPercent val="0"/>
          <c:showBubbleSize val="0"/>
        </c:dLbls>
        <c:gapWidth val="75"/>
        <c:shape val="box"/>
        <c:axId val="849747968"/>
        <c:axId val="132162688"/>
        <c:axId val="0"/>
      </c:bar3DChart>
      <c:catAx>
        <c:axId val="849747968"/>
        <c:scaling>
          <c:orientation val="minMax"/>
        </c:scaling>
        <c:delete val="0"/>
        <c:axPos val="l"/>
        <c:numFmt formatCode="General" sourceLinked="0"/>
        <c:majorTickMark val="none"/>
        <c:minorTickMark val="none"/>
        <c:tickLblPos val="nextTo"/>
        <c:crossAx val="132162688"/>
        <c:crosses val="autoZero"/>
        <c:auto val="1"/>
        <c:lblAlgn val="ctr"/>
        <c:lblOffset val="100"/>
        <c:noMultiLvlLbl val="0"/>
      </c:catAx>
      <c:valAx>
        <c:axId val="132162688"/>
        <c:scaling>
          <c:orientation val="minMax"/>
        </c:scaling>
        <c:delete val="0"/>
        <c:axPos val="b"/>
        <c:numFmt formatCode="0%" sourceLinked="1"/>
        <c:majorTickMark val="none"/>
        <c:minorTickMark val="none"/>
        <c:tickLblPos val="nextTo"/>
        <c:crossAx val="849747968"/>
        <c:crosses val="autoZero"/>
        <c:crossBetween val="between"/>
      </c:valAx>
    </c:plotArea>
    <c:legend>
      <c:legendPos val="b"/>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6"/>
    </mc:Choice>
    <mc:Fallback>
      <c:style val="46"/>
    </mc:Fallback>
  </mc:AlternateContent>
  <c:chart>
    <c:autoTitleDeleted val="1"/>
    <c:plotArea>
      <c:layout/>
      <c:barChart>
        <c:barDir val="bar"/>
        <c:grouping val="clustered"/>
        <c:varyColors val="0"/>
        <c:ser>
          <c:idx val="0"/>
          <c:order val="0"/>
          <c:tx>
            <c:strRef>
              <c:f>Sheet2!$C$30</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Sheet2!$B$31:$B$35</c:f>
              <c:strCache>
                <c:ptCount val="5"/>
                <c:pt idx="0">
                  <c:v>Strongly Agree </c:v>
                </c:pt>
                <c:pt idx="1">
                  <c:v>Agree </c:v>
                </c:pt>
                <c:pt idx="2">
                  <c:v>Neutral </c:v>
                </c:pt>
                <c:pt idx="3">
                  <c:v>Disagree </c:v>
                </c:pt>
                <c:pt idx="4">
                  <c:v>Strongly disagree </c:v>
                </c:pt>
              </c:strCache>
            </c:strRef>
          </c:cat>
          <c:val>
            <c:numRef>
              <c:f>Sheet2!$C$31:$C$35</c:f>
              <c:numCache>
                <c:formatCode>0%</c:formatCode>
                <c:ptCount val="5"/>
                <c:pt idx="0">
                  <c:v>0.36</c:v>
                </c:pt>
                <c:pt idx="1">
                  <c:v>0.36</c:v>
                </c:pt>
                <c:pt idx="2">
                  <c:v>0.08</c:v>
                </c:pt>
                <c:pt idx="3">
                  <c:v>0.08</c:v>
                </c:pt>
                <c:pt idx="4">
                  <c:v>0.12</c:v>
                </c:pt>
              </c:numCache>
            </c:numRef>
          </c:val>
          <c:extLst>
            <c:ext xmlns:c16="http://schemas.microsoft.com/office/drawing/2014/chart" uri="{C3380CC4-5D6E-409C-BE32-E72D297353CC}">
              <c16:uniqueId val="{00000000-D72D-6D4A-AB36-2E72C6E0DE8E}"/>
            </c:ext>
          </c:extLst>
        </c:ser>
        <c:dLbls>
          <c:showLegendKey val="0"/>
          <c:showVal val="1"/>
          <c:showCatName val="0"/>
          <c:showSerName val="0"/>
          <c:showPercent val="0"/>
          <c:showBubbleSize val="0"/>
        </c:dLbls>
        <c:gapWidth val="75"/>
        <c:axId val="879199744"/>
        <c:axId val="818641664"/>
      </c:barChart>
      <c:catAx>
        <c:axId val="879199744"/>
        <c:scaling>
          <c:orientation val="minMax"/>
        </c:scaling>
        <c:delete val="0"/>
        <c:axPos val="l"/>
        <c:numFmt formatCode="General" sourceLinked="0"/>
        <c:majorTickMark val="none"/>
        <c:minorTickMark val="none"/>
        <c:tickLblPos val="nextTo"/>
        <c:crossAx val="818641664"/>
        <c:crosses val="autoZero"/>
        <c:auto val="1"/>
        <c:lblAlgn val="ctr"/>
        <c:lblOffset val="100"/>
        <c:noMultiLvlLbl val="0"/>
      </c:catAx>
      <c:valAx>
        <c:axId val="818641664"/>
        <c:scaling>
          <c:orientation val="minMax"/>
        </c:scaling>
        <c:delete val="0"/>
        <c:axPos val="b"/>
        <c:numFmt formatCode="0%" sourceLinked="1"/>
        <c:majorTickMark val="none"/>
        <c:minorTickMark val="none"/>
        <c:tickLblPos val="nextTo"/>
        <c:crossAx val="879199744"/>
        <c:crosses val="autoZero"/>
        <c:crossBetween val="between"/>
      </c:valAx>
    </c:plotArea>
    <c:legend>
      <c:legendPos val="b"/>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3"/>
    </mc:Choice>
    <mc:Fallback>
      <c:style val="43"/>
    </mc:Fallback>
  </mc:AlternateContent>
  <c:chart>
    <c:title>
      <c:overlay val="0"/>
    </c:title>
    <c:autoTitleDeleted val="0"/>
    <c:plotArea>
      <c:layout/>
      <c:pieChart>
        <c:varyColors val="1"/>
        <c:ser>
          <c:idx val="0"/>
          <c:order val="0"/>
          <c:tx>
            <c:strRef>
              <c:f>Sheet2!$C$16</c:f>
              <c:strCache>
                <c:ptCount val="1"/>
                <c:pt idx="0">
                  <c:v>Percentage </c:v>
                </c:pt>
              </c:strCache>
            </c:strRef>
          </c:tx>
          <c:explosion val="25"/>
          <c:cat>
            <c:strRef>
              <c:f>Sheet2!$B$17:$B$21</c:f>
              <c:strCache>
                <c:ptCount val="5"/>
                <c:pt idx="0">
                  <c:v>Strongly Agree </c:v>
                </c:pt>
                <c:pt idx="1">
                  <c:v>Agree </c:v>
                </c:pt>
                <c:pt idx="2">
                  <c:v>Neutral </c:v>
                </c:pt>
                <c:pt idx="3">
                  <c:v>Disagree </c:v>
                </c:pt>
                <c:pt idx="4">
                  <c:v>Strongly disagree </c:v>
                </c:pt>
              </c:strCache>
            </c:strRef>
          </c:cat>
          <c:val>
            <c:numRef>
              <c:f>Sheet2!$C$17:$C$21</c:f>
              <c:numCache>
                <c:formatCode>0%</c:formatCode>
                <c:ptCount val="5"/>
                <c:pt idx="0">
                  <c:v>0.36</c:v>
                </c:pt>
                <c:pt idx="1">
                  <c:v>0.24</c:v>
                </c:pt>
                <c:pt idx="2">
                  <c:v>0.2</c:v>
                </c:pt>
                <c:pt idx="3">
                  <c:v>0.08</c:v>
                </c:pt>
                <c:pt idx="4">
                  <c:v>0.12</c:v>
                </c:pt>
              </c:numCache>
            </c:numRef>
          </c:val>
          <c:extLst>
            <c:ext xmlns:c16="http://schemas.microsoft.com/office/drawing/2014/chart" uri="{C3380CC4-5D6E-409C-BE32-E72D297353CC}">
              <c16:uniqueId val="{00000000-9196-8F40-AC9A-D2FD893C57C5}"/>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Sheet2!$C$54</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Sheet2!$B$55:$B$59</c:f>
              <c:strCache>
                <c:ptCount val="5"/>
                <c:pt idx="0">
                  <c:v>Strongly Agree </c:v>
                </c:pt>
                <c:pt idx="1">
                  <c:v>Agree </c:v>
                </c:pt>
                <c:pt idx="2">
                  <c:v>Neutral </c:v>
                </c:pt>
                <c:pt idx="3">
                  <c:v>Disagree </c:v>
                </c:pt>
                <c:pt idx="4">
                  <c:v>Strongly disagree </c:v>
                </c:pt>
              </c:strCache>
            </c:strRef>
          </c:cat>
          <c:val>
            <c:numRef>
              <c:f>Sheet2!$C$55:$C$59</c:f>
              <c:numCache>
                <c:formatCode>0%</c:formatCode>
                <c:ptCount val="5"/>
                <c:pt idx="0">
                  <c:v>0.32</c:v>
                </c:pt>
                <c:pt idx="1">
                  <c:v>0.32</c:v>
                </c:pt>
                <c:pt idx="2">
                  <c:v>0.28000000000000003</c:v>
                </c:pt>
                <c:pt idx="3">
                  <c:v>0.04</c:v>
                </c:pt>
                <c:pt idx="4">
                  <c:v>0.04</c:v>
                </c:pt>
              </c:numCache>
            </c:numRef>
          </c:val>
          <c:extLst>
            <c:ext xmlns:c16="http://schemas.microsoft.com/office/drawing/2014/chart" uri="{C3380CC4-5D6E-409C-BE32-E72D297353CC}">
              <c16:uniqueId val="{00000000-C657-0D40-BC53-CAB591CADD4F}"/>
            </c:ext>
          </c:extLst>
        </c:ser>
        <c:dLbls>
          <c:showLegendKey val="0"/>
          <c:showVal val="1"/>
          <c:showCatName val="0"/>
          <c:showSerName val="0"/>
          <c:showPercent val="0"/>
          <c:showBubbleSize val="0"/>
        </c:dLbls>
        <c:gapWidth val="75"/>
        <c:shape val="cone"/>
        <c:axId val="849748480"/>
        <c:axId val="818669824"/>
        <c:axId val="0"/>
      </c:bar3DChart>
      <c:catAx>
        <c:axId val="849748480"/>
        <c:scaling>
          <c:orientation val="minMax"/>
        </c:scaling>
        <c:delete val="0"/>
        <c:axPos val="l"/>
        <c:numFmt formatCode="General" sourceLinked="0"/>
        <c:majorTickMark val="none"/>
        <c:minorTickMark val="none"/>
        <c:tickLblPos val="nextTo"/>
        <c:crossAx val="818669824"/>
        <c:crosses val="autoZero"/>
        <c:auto val="1"/>
        <c:lblAlgn val="ctr"/>
        <c:lblOffset val="100"/>
        <c:noMultiLvlLbl val="0"/>
      </c:catAx>
      <c:valAx>
        <c:axId val="818669824"/>
        <c:scaling>
          <c:orientation val="minMax"/>
        </c:scaling>
        <c:delete val="0"/>
        <c:axPos val="b"/>
        <c:numFmt formatCode="0%" sourceLinked="1"/>
        <c:majorTickMark val="none"/>
        <c:minorTickMark val="none"/>
        <c:tickLblPos val="nextTo"/>
        <c:crossAx val="849748480"/>
        <c:crosses val="autoZero"/>
        <c:crossBetween val="between"/>
      </c:valAx>
    </c:plotArea>
    <c:legend>
      <c:legendPos val="b"/>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5"/>
    </mc:Choice>
    <mc:Fallback>
      <c:style val="45"/>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Sheet2!$C$42</c:f>
              <c:strCache>
                <c:ptCount val="1"/>
                <c:pt idx="0">
                  <c:v>Percentage </c:v>
                </c:pt>
              </c:strCache>
            </c:strRef>
          </c:tx>
          <c:dLbls>
            <c:spPr>
              <a:noFill/>
              <a:ln>
                <a:noFill/>
              </a:ln>
              <a:effectLst/>
            </c:spPr>
            <c:showLegendKey val="0"/>
            <c:showVal val="1"/>
            <c:showCatName val="1"/>
            <c:showSerName val="0"/>
            <c:showPercent val="0"/>
            <c:showBubbleSize val="0"/>
            <c:showLeaderLines val="1"/>
            <c:extLst>
              <c:ext xmlns:c15="http://schemas.microsoft.com/office/drawing/2012/chart" uri="{CE6537A1-D6FC-4f65-9D91-7224C49458BB}"/>
            </c:extLst>
          </c:dLbls>
          <c:cat>
            <c:strRef>
              <c:f>Sheet2!$B$43:$B$47</c:f>
              <c:strCache>
                <c:ptCount val="5"/>
                <c:pt idx="0">
                  <c:v>Strongly Agree </c:v>
                </c:pt>
                <c:pt idx="1">
                  <c:v>Agree </c:v>
                </c:pt>
                <c:pt idx="2">
                  <c:v>Neutral </c:v>
                </c:pt>
                <c:pt idx="3">
                  <c:v>Disagree </c:v>
                </c:pt>
                <c:pt idx="4">
                  <c:v>Strongly disagree </c:v>
                </c:pt>
              </c:strCache>
            </c:strRef>
          </c:cat>
          <c:val>
            <c:numRef>
              <c:f>Sheet2!$C$43:$C$47</c:f>
              <c:numCache>
                <c:formatCode>0%</c:formatCode>
                <c:ptCount val="5"/>
                <c:pt idx="0">
                  <c:v>0.28000000000000003</c:v>
                </c:pt>
                <c:pt idx="1">
                  <c:v>0.32</c:v>
                </c:pt>
                <c:pt idx="2">
                  <c:v>0.16</c:v>
                </c:pt>
                <c:pt idx="3">
                  <c:v>0.12</c:v>
                </c:pt>
                <c:pt idx="4">
                  <c:v>0.12</c:v>
                </c:pt>
              </c:numCache>
            </c:numRef>
          </c:val>
          <c:extLst>
            <c:ext xmlns:c16="http://schemas.microsoft.com/office/drawing/2014/chart" uri="{C3380CC4-5D6E-409C-BE32-E72D297353CC}">
              <c16:uniqueId val="{00000000-5A93-934E-9EC6-20FB06C995F1}"/>
            </c:ext>
          </c:extLst>
        </c:ser>
        <c:dLbls>
          <c:showLegendKey val="0"/>
          <c:showVal val="1"/>
          <c:showCatName val="1"/>
          <c:showSerName val="0"/>
          <c:showPercent val="0"/>
          <c:showBubbleSize val="0"/>
          <c:showLeaderLines val="1"/>
        </c:dLbls>
      </c:pie3D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ICIH0oS8qK4cSS8sUbl27U0uzCw==">AMUW2mWdvVnTMEdeC4NMDMkYBlptnuz61WkOFLjpdlV+zypm7Z6J5y3R6bWlkZY9q+af1G1AKgBaPHbAdhUgU2MYGKlczHXIlbipsvAT3YRtf5/rnAV36ZYtA4UWUYeWBhWxhmKKmJi7eKTbMbMdU2xEr7lKcELhR+v50zWopzYYsJ2gIhAKDq04LjKpsfseP/aKwsGuvwdJieTr+kRCWklsj5zP/0Vvy0BpaOYAhjiO559gTmrFrL3vWIzEecxWsxhbi6mVvNXF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2021-04-10T15:30:00Z</dcterms:created>
  <dc:creator>Windows User</dc:creator>
</cp:coreProperties>
</file>