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519E5" w14:textId="4866FAE7" w:rsidR="005C5CBA" w:rsidRPr="00584770" w:rsidRDefault="005C5CBA" w:rsidP="00ED33D6">
      <w:pPr>
        <w:spacing w:before="240"/>
        <w:jc w:val="center"/>
      </w:pPr>
      <w:r>
        <w:rPr>
          <w:noProof/>
        </w:rPr>
        <w:drawing>
          <wp:inline distT="0" distB="0" distL="0" distR="0" wp14:anchorId="1E90B7F0" wp14:editId="2D8F9246">
            <wp:extent cx="2255518" cy="1584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255518" cy="1584960"/>
                    </a:xfrm>
                    <a:prstGeom prst="rect">
                      <a:avLst/>
                    </a:prstGeom>
                  </pic:spPr>
                </pic:pic>
              </a:graphicData>
            </a:graphic>
          </wp:inline>
        </w:drawing>
      </w:r>
    </w:p>
    <w:p w14:paraId="206EAAE9" w14:textId="109F5D2E" w:rsidR="5B7CE4FE" w:rsidRDefault="5B7CE4FE" w:rsidP="5B7CE4FE">
      <w:pPr>
        <w:pStyle w:val="Heading2"/>
        <w:jc w:val="left"/>
        <w:rPr>
          <w:sz w:val="32"/>
          <w:szCs w:val="32"/>
        </w:rPr>
      </w:pPr>
    </w:p>
    <w:p w14:paraId="5BB77426" w14:textId="32B32F6A" w:rsidR="5B7CE4FE" w:rsidRDefault="5B7CE4FE" w:rsidP="5B7CE4FE">
      <w:pPr>
        <w:pStyle w:val="Heading2"/>
        <w:jc w:val="left"/>
        <w:rPr>
          <w:sz w:val="32"/>
          <w:szCs w:val="32"/>
        </w:rPr>
      </w:pPr>
    </w:p>
    <w:p w14:paraId="3B517743" w14:textId="110679AB" w:rsidR="2A6ED298" w:rsidRDefault="2A6ED298" w:rsidP="5B7CE4FE">
      <w:pPr>
        <w:pStyle w:val="Heading2"/>
        <w:jc w:val="left"/>
        <w:rPr>
          <w:rFonts w:eastAsia="Arial" w:cs="Arial"/>
          <w:sz w:val="40"/>
          <w:szCs w:val="40"/>
        </w:rPr>
      </w:pPr>
      <w:r w:rsidRPr="5B7CE4FE">
        <w:rPr>
          <w:rFonts w:eastAsia="Arial" w:cs="Arial"/>
          <w:sz w:val="40"/>
          <w:szCs w:val="40"/>
        </w:rPr>
        <w:t>Farzana Begum</w:t>
      </w:r>
    </w:p>
    <w:p w14:paraId="0B0A2526" w14:textId="17823403" w:rsidR="2A6ED298" w:rsidRDefault="2A6ED298" w:rsidP="5B7CE4FE">
      <w:pPr>
        <w:jc w:val="left"/>
        <w:rPr>
          <w:rFonts w:eastAsia="Arial" w:cs="Arial"/>
          <w:b/>
          <w:bCs/>
          <w:sz w:val="40"/>
          <w:szCs w:val="40"/>
        </w:rPr>
      </w:pPr>
      <w:r w:rsidRPr="5B7CE4FE">
        <w:rPr>
          <w:rFonts w:eastAsia="Arial" w:cs="Arial"/>
          <w:b/>
          <w:bCs/>
          <w:sz w:val="40"/>
          <w:szCs w:val="40"/>
        </w:rPr>
        <w:t>221570</w:t>
      </w:r>
      <w:r w:rsidR="00A47930" w:rsidRPr="5B7CE4FE">
        <w:rPr>
          <w:rFonts w:eastAsia="Arial" w:cs="Arial"/>
          <w:b/>
          <w:bCs/>
          <w:sz w:val="40"/>
          <w:szCs w:val="40"/>
        </w:rPr>
        <w:t>4</w:t>
      </w:r>
    </w:p>
    <w:p w14:paraId="6D0B2586" w14:textId="1DECC278" w:rsidR="04D1DBBB" w:rsidRDefault="04D1DBBB" w:rsidP="5B7CE4FE">
      <w:pPr>
        <w:jc w:val="left"/>
        <w:rPr>
          <w:rFonts w:eastAsia="Arial" w:cs="Arial"/>
          <w:b/>
          <w:bCs/>
          <w:sz w:val="40"/>
          <w:szCs w:val="40"/>
        </w:rPr>
      </w:pPr>
      <w:r w:rsidRPr="5B7CE4FE">
        <w:rPr>
          <w:rFonts w:eastAsia="Arial" w:cs="Arial"/>
          <w:b/>
          <w:bCs/>
          <w:sz w:val="40"/>
          <w:szCs w:val="40"/>
        </w:rPr>
        <w:t>Hamdi Hussain</w:t>
      </w:r>
    </w:p>
    <w:p w14:paraId="6EF9D15B" w14:textId="6A8BC2EF" w:rsidR="00142DF0" w:rsidRPr="00584770" w:rsidRDefault="006C2BDE" w:rsidP="5B7CE4FE">
      <w:pPr>
        <w:spacing w:before="240"/>
        <w:jc w:val="left"/>
        <w:rPr>
          <w:rFonts w:eastAsia="Arial" w:cs="Arial"/>
          <w:b/>
          <w:bCs/>
          <w:sz w:val="40"/>
          <w:szCs w:val="40"/>
          <w:lang w:val="en-GB"/>
        </w:rPr>
      </w:pPr>
      <w:r w:rsidRPr="5B7CE4FE">
        <w:rPr>
          <w:rFonts w:eastAsia="Arial" w:cs="Arial"/>
          <w:b/>
          <w:bCs/>
          <w:sz w:val="40"/>
          <w:szCs w:val="40"/>
          <w:lang w:val="en-GB"/>
        </w:rPr>
        <w:t xml:space="preserve">LCHS4004 </w:t>
      </w:r>
      <w:r w:rsidR="006F74DA" w:rsidRPr="5B7CE4FE">
        <w:rPr>
          <w:rFonts w:eastAsia="Arial" w:cs="Arial"/>
          <w:b/>
          <w:bCs/>
          <w:sz w:val="40"/>
          <w:szCs w:val="40"/>
          <w:lang w:val="en-GB"/>
        </w:rPr>
        <w:t>Introduction to Public Health</w:t>
      </w:r>
    </w:p>
    <w:p w14:paraId="4BD82B6D" w14:textId="131A904A" w:rsidR="006F74DA" w:rsidRPr="00584770" w:rsidRDefault="45AFF4C5" w:rsidP="5B7CE4FE">
      <w:pPr>
        <w:spacing w:before="240"/>
        <w:jc w:val="left"/>
        <w:rPr>
          <w:rFonts w:eastAsia="Arial" w:cs="Arial"/>
          <w:b/>
          <w:bCs/>
          <w:sz w:val="40"/>
          <w:szCs w:val="40"/>
          <w:lang w:val="en-GB"/>
        </w:rPr>
      </w:pPr>
      <w:r w:rsidRPr="5B7CE4FE">
        <w:rPr>
          <w:rFonts w:eastAsia="Arial" w:cs="Arial"/>
          <w:b/>
          <w:bCs/>
          <w:sz w:val="40"/>
          <w:szCs w:val="40"/>
          <w:lang w:val="en-GB"/>
        </w:rPr>
        <w:t>T</w:t>
      </w:r>
      <w:r w:rsidR="00142DF0" w:rsidRPr="5B7CE4FE">
        <w:rPr>
          <w:rFonts w:eastAsia="Arial" w:cs="Arial"/>
          <w:b/>
          <w:bCs/>
          <w:sz w:val="40"/>
          <w:szCs w:val="40"/>
          <w:lang w:val="en-GB"/>
        </w:rPr>
        <w:t>ask 2 Supporting paper</w:t>
      </w:r>
      <w:r w:rsidR="2B68FDC2" w:rsidRPr="5B7CE4FE">
        <w:rPr>
          <w:rFonts w:eastAsia="Arial" w:cs="Arial"/>
          <w:b/>
          <w:bCs/>
          <w:sz w:val="40"/>
          <w:szCs w:val="40"/>
          <w:lang w:val="en-GB"/>
        </w:rPr>
        <w:t xml:space="preserve"> </w:t>
      </w:r>
      <w:r w:rsidR="006F74DA" w:rsidRPr="5B7CE4FE">
        <w:rPr>
          <w:rFonts w:eastAsia="Arial" w:cs="Arial"/>
          <w:b/>
          <w:bCs/>
          <w:sz w:val="40"/>
          <w:szCs w:val="40"/>
          <w:lang w:val="en-GB"/>
        </w:rPr>
        <w:t xml:space="preserve">Incidence of </w:t>
      </w:r>
      <w:r w:rsidR="003012D6" w:rsidRPr="5B7CE4FE">
        <w:rPr>
          <w:rFonts w:eastAsia="Arial" w:cs="Arial"/>
          <w:b/>
          <w:bCs/>
          <w:sz w:val="40"/>
          <w:szCs w:val="40"/>
          <w:lang w:val="en-GB"/>
        </w:rPr>
        <w:t>D</w:t>
      </w:r>
      <w:r w:rsidR="006F74DA" w:rsidRPr="5B7CE4FE">
        <w:rPr>
          <w:rFonts w:eastAsia="Arial" w:cs="Arial"/>
          <w:b/>
          <w:bCs/>
          <w:sz w:val="40"/>
          <w:szCs w:val="40"/>
          <w:lang w:val="en-GB"/>
        </w:rPr>
        <w:t>isease</w:t>
      </w:r>
      <w:r w:rsidR="006C2BDE" w:rsidRPr="5B7CE4FE">
        <w:rPr>
          <w:rFonts w:eastAsia="Arial" w:cs="Arial"/>
          <w:b/>
          <w:bCs/>
          <w:sz w:val="40"/>
          <w:szCs w:val="40"/>
          <w:lang w:val="en-GB"/>
        </w:rPr>
        <w:t xml:space="preserve"> R</w:t>
      </w:r>
      <w:r w:rsidR="5B8BB474" w:rsidRPr="5B7CE4FE">
        <w:rPr>
          <w:rFonts w:eastAsia="Arial" w:cs="Arial"/>
          <w:b/>
          <w:bCs/>
          <w:sz w:val="40"/>
          <w:szCs w:val="40"/>
          <w:lang w:val="en-GB"/>
        </w:rPr>
        <w:t>otavirus</w:t>
      </w:r>
      <w:r w:rsidR="006F74DA" w:rsidRPr="5B7CE4FE">
        <w:rPr>
          <w:rFonts w:eastAsia="Arial" w:cs="Arial"/>
          <w:b/>
          <w:bCs/>
          <w:sz w:val="40"/>
          <w:szCs w:val="40"/>
          <w:lang w:val="en-GB"/>
        </w:rPr>
        <w:t xml:space="preserve"> in </w:t>
      </w:r>
      <w:r w:rsidR="003012D6" w:rsidRPr="5B7CE4FE">
        <w:rPr>
          <w:rFonts w:eastAsia="Arial" w:cs="Arial"/>
          <w:b/>
          <w:bCs/>
          <w:sz w:val="40"/>
          <w:szCs w:val="40"/>
          <w:lang w:val="en-GB"/>
        </w:rPr>
        <w:t>C</w:t>
      </w:r>
      <w:r w:rsidR="006F74DA" w:rsidRPr="5B7CE4FE">
        <w:rPr>
          <w:rFonts w:eastAsia="Arial" w:cs="Arial"/>
          <w:b/>
          <w:bCs/>
          <w:sz w:val="40"/>
          <w:szCs w:val="40"/>
          <w:lang w:val="en-GB"/>
        </w:rPr>
        <w:t>ommunities</w:t>
      </w:r>
    </w:p>
    <w:p w14:paraId="50FCB0F1" w14:textId="77777777" w:rsidR="00142DF0" w:rsidRPr="00584770" w:rsidRDefault="00142DF0" w:rsidP="00ED33D6">
      <w:pPr>
        <w:spacing w:before="240"/>
        <w:jc w:val="center"/>
        <w:rPr>
          <w:rFonts w:cs="Arial"/>
          <w:b/>
          <w:bCs/>
          <w:sz w:val="32"/>
          <w:szCs w:val="32"/>
          <w:lang w:val="en-GB"/>
        </w:rPr>
      </w:pPr>
    </w:p>
    <w:p w14:paraId="2E966A5C" w14:textId="5B7B1872" w:rsidR="006F74DA" w:rsidRPr="00584770" w:rsidRDefault="006F74DA" w:rsidP="00ED33D6">
      <w:pPr>
        <w:spacing w:before="240"/>
        <w:jc w:val="center"/>
        <w:rPr>
          <w:rFonts w:cs="Arial"/>
          <w:b/>
          <w:bCs/>
          <w:sz w:val="32"/>
          <w:szCs w:val="32"/>
          <w:lang w:val="en-GB"/>
        </w:rPr>
      </w:pPr>
    </w:p>
    <w:p w14:paraId="1C65C321" w14:textId="06FB8A2E" w:rsidR="006F74DA" w:rsidRPr="00584770" w:rsidRDefault="006F74DA" w:rsidP="00ED33D6">
      <w:pPr>
        <w:spacing w:before="240"/>
        <w:jc w:val="center"/>
        <w:rPr>
          <w:rFonts w:cs="Arial"/>
          <w:b/>
          <w:bCs/>
          <w:sz w:val="32"/>
          <w:szCs w:val="32"/>
          <w:lang w:val="en-GB"/>
        </w:rPr>
      </w:pPr>
    </w:p>
    <w:p w14:paraId="7AF0BB3B" w14:textId="004BD34E" w:rsidR="006F74DA" w:rsidRPr="00584770" w:rsidRDefault="006F74DA" w:rsidP="00ED33D6">
      <w:pPr>
        <w:spacing w:before="240"/>
        <w:jc w:val="center"/>
        <w:rPr>
          <w:rFonts w:cs="Arial"/>
          <w:b/>
          <w:bCs/>
          <w:sz w:val="32"/>
          <w:szCs w:val="32"/>
          <w:lang w:val="en-GB"/>
        </w:rPr>
      </w:pPr>
    </w:p>
    <w:p w14:paraId="77F5F707" w14:textId="3212C161" w:rsidR="006F74DA" w:rsidRPr="00584770" w:rsidRDefault="006F74DA" w:rsidP="00ED33D6">
      <w:pPr>
        <w:spacing w:before="240"/>
        <w:jc w:val="center"/>
        <w:rPr>
          <w:rFonts w:cs="Arial"/>
          <w:b/>
          <w:bCs/>
          <w:sz w:val="32"/>
          <w:szCs w:val="32"/>
          <w:lang w:val="en-GB"/>
        </w:rPr>
      </w:pPr>
    </w:p>
    <w:p w14:paraId="14917571" w14:textId="2B53234E" w:rsidR="006F74DA" w:rsidRPr="00584770" w:rsidRDefault="006F74DA" w:rsidP="00ED33D6">
      <w:pPr>
        <w:spacing w:before="240"/>
        <w:jc w:val="center"/>
        <w:rPr>
          <w:rFonts w:cs="Arial"/>
          <w:b/>
          <w:bCs/>
          <w:sz w:val="32"/>
          <w:szCs w:val="32"/>
          <w:lang w:val="en-GB"/>
        </w:rPr>
      </w:pPr>
    </w:p>
    <w:p w14:paraId="2F7E241B" w14:textId="153BDF33" w:rsidR="006F74DA" w:rsidRPr="00584770" w:rsidRDefault="006F74DA" w:rsidP="00ED33D6">
      <w:pPr>
        <w:spacing w:before="240"/>
        <w:jc w:val="center"/>
        <w:rPr>
          <w:rFonts w:cs="Arial"/>
          <w:b/>
          <w:bCs/>
          <w:sz w:val="32"/>
          <w:szCs w:val="32"/>
          <w:lang w:val="en-GB"/>
        </w:rPr>
      </w:pPr>
    </w:p>
    <w:p w14:paraId="34EE74A1" w14:textId="3AFD1ACE" w:rsidR="006F74DA" w:rsidRPr="00584770" w:rsidRDefault="006F74DA" w:rsidP="00ED33D6">
      <w:pPr>
        <w:spacing w:before="240"/>
        <w:jc w:val="center"/>
        <w:rPr>
          <w:rFonts w:cs="Arial"/>
          <w:b/>
          <w:bCs/>
          <w:sz w:val="32"/>
          <w:szCs w:val="32"/>
          <w:lang w:val="en-GB"/>
        </w:rPr>
      </w:pPr>
    </w:p>
    <w:p w14:paraId="1AFA3445" w14:textId="0BB3EFF8" w:rsidR="006F74DA" w:rsidRPr="00584770" w:rsidRDefault="006F74DA" w:rsidP="00ED33D6">
      <w:pPr>
        <w:spacing w:before="240"/>
        <w:jc w:val="left"/>
        <w:rPr>
          <w:rFonts w:cs="Arial"/>
          <w:b/>
          <w:bCs/>
          <w:sz w:val="32"/>
          <w:szCs w:val="32"/>
          <w:lang w:val="en-GB"/>
        </w:rPr>
      </w:pPr>
    </w:p>
    <w:p w14:paraId="15E84D55" w14:textId="5ED355FB" w:rsidR="00B777A7" w:rsidRPr="00584770" w:rsidRDefault="00B777A7" w:rsidP="00ED33D6">
      <w:pPr>
        <w:spacing w:before="240"/>
        <w:jc w:val="left"/>
        <w:rPr>
          <w:rFonts w:cs="Arial"/>
          <w:b/>
          <w:bCs/>
          <w:sz w:val="32"/>
          <w:szCs w:val="32"/>
          <w:lang w:val="en-GB"/>
        </w:rPr>
      </w:pPr>
    </w:p>
    <w:p w14:paraId="11AB2D00" w14:textId="77777777" w:rsidR="006F74DA" w:rsidRPr="00584770" w:rsidRDefault="006F74DA" w:rsidP="00ED33D6">
      <w:pPr>
        <w:spacing w:before="240"/>
        <w:jc w:val="left"/>
        <w:rPr>
          <w:rFonts w:cs="Arial"/>
          <w:b/>
          <w:bCs/>
          <w:sz w:val="32"/>
          <w:szCs w:val="32"/>
          <w:lang w:val="en-GB"/>
        </w:rPr>
      </w:pPr>
    </w:p>
    <w:sdt>
      <w:sdtPr>
        <w:rPr>
          <w:rFonts w:ascii="Arial" w:eastAsiaTheme="minorHAnsi" w:hAnsi="Arial" w:cstheme="minorBidi"/>
          <w:color w:val="000000" w:themeColor="text1"/>
          <w:sz w:val="22"/>
          <w:szCs w:val="22"/>
          <w:lang w:val="en-GB"/>
        </w:rPr>
        <w:id w:val="-2002421193"/>
        <w:docPartObj>
          <w:docPartGallery w:val="Table of Contents"/>
          <w:docPartUnique/>
        </w:docPartObj>
      </w:sdtPr>
      <w:sdtEndPr>
        <w:rPr>
          <w:b/>
          <w:bCs/>
          <w:noProof/>
        </w:rPr>
      </w:sdtEndPr>
      <w:sdtContent>
        <w:p w14:paraId="338E8D03" w14:textId="1589B437" w:rsidR="00EA3E5C" w:rsidRPr="00584770" w:rsidRDefault="00EA3E5C" w:rsidP="00ED33D6">
          <w:pPr>
            <w:pStyle w:val="TOCHeading"/>
            <w:spacing w:line="360" w:lineRule="auto"/>
            <w:rPr>
              <w:lang w:val="en-GB"/>
            </w:rPr>
          </w:pPr>
          <w:r w:rsidRPr="00584770">
            <w:rPr>
              <w:lang w:val="en-GB"/>
            </w:rPr>
            <w:t>Table of Contents</w:t>
          </w:r>
        </w:p>
        <w:p w14:paraId="31F96637" w14:textId="728CC5FC" w:rsidR="00EA3E5C" w:rsidRPr="00584770" w:rsidRDefault="00EA3E5C" w:rsidP="00ED33D6">
          <w:pPr>
            <w:pStyle w:val="TOC1"/>
            <w:tabs>
              <w:tab w:val="right" w:leader="dot" w:pos="9016"/>
            </w:tabs>
            <w:spacing w:before="240"/>
            <w:rPr>
              <w:rFonts w:asciiTheme="minorHAnsi" w:eastAsiaTheme="minorEastAsia" w:hAnsiTheme="minorHAnsi"/>
              <w:noProof/>
              <w:color w:val="auto"/>
              <w:szCs w:val="28"/>
              <w:lang w:val="en-GB" w:bidi="bn-BD"/>
            </w:rPr>
          </w:pPr>
          <w:r w:rsidRPr="00584770">
            <w:rPr>
              <w:lang w:val="en-GB"/>
            </w:rPr>
            <w:fldChar w:fldCharType="begin"/>
          </w:r>
          <w:r w:rsidRPr="00584770">
            <w:rPr>
              <w:lang w:val="en-GB"/>
            </w:rPr>
            <w:instrText xml:space="preserve"> TOC \o "1-3" \h \z \u </w:instrText>
          </w:r>
          <w:r w:rsidRPr="00584770">
            <w:rPr>
              <w:lang w:val="en-GB"/>
            </w:rPr>
            <w:fldChar w:fldCharType="separate"/>
          </w:r>
          <w:hyperlink w:anchor="_Toc128679558" w:history="1">
            <w:r w:rsidRPr="00584770">
              <w:rPr>
                <w:rStyle w:val="Hyperlink"/>
                <w:noProof/>
                <w:lang w:val="en-GB"/>
              </w:rPr>
              <w:t>Introduction</w:t>
            </w:r>
            <w:r w:rsidRPr="00584770">
              <w:rPr>
                <w:noProof/>
                <w:webHidden/>
                <w:lang w:val="en-GB"/>
              </w:rPr>
              <w:tab/>
            </w:r>
            <w:r w:rsidRPr="00584770">
              <w:rPr>
                <w:noProof/>
                <w:webHidden/>
                <w:lang w:val="en-GB"/>
              </w:rPr>
              <w:fldChar w:fldCharType="begin"/>
            </w:r>
            <w:r w:rsidRPr="00584770">
              <w:rPr>
                <w:noProof/>
                <w:webHidden/>
                <w:lang w:val="en-GB"/>
              </w:rPr>
              <w:instrText xml:space="preserve"> PAGEREF _Toc128679558 \h </w:instrText>
            </w:r>
            <w:r w:rsidRPr="00584770">
              <w:rPr>
                <w:noProof/>
                <w:webHidden/>
                <w:lang w:val="en-GB"/>
              </w:rPr>
            </w:r>
            <w:r w:rsidRPr="00584770">
              <w:rPr>
                <w:noProof/>
                <w:webHidden/>
                <w:lang w:val="en-GB"/>
              </w:rPr>
              <w:fldChar w:fldCharType="separate"/>
            </w:r>
            <w:r w:rsidRPr="00584770">
              <w:rPr>
                <w:noProof/>
                <w:webHidden/>
                <w:lang w:val="en-GB"/>
              </w:rPr>
              <w:t>3</w:t>
            </w:r>
            <w:r w:rsidRPr="00584770">
              <w:rPr>
                <w:noProof/>
                <w:webHidden/>
                <w:lang w:val="en-GB"/>
              </w:rPr>
              <w:fldChar w:fldCharType="end"/>
            </w:r>
          </w:hyperlink>
        </w:p>
        <w:p w14:paraId="47D3109D" w14:textId="744425AF" w:rsidR="00EA3E5C" w:rsidRPr="00584770" w:rsidRDefault="00000000" w:rsidP="00ED33D6">
          <w:pPr>
            <w:pStyle w:val="TOC1"/>
            <w:tabs>
              <w:tab w:val="right" w:leader="dot" w:pos="9016"/>
            </w:tabs>
            <w:spacing w:before="240"/>
            <w:rPr>
              <w:rFonts w:asciiTheme="minorHAnsi" w:eastAsiaTheme="minorEastAsia" w:hAnsiTheme="minorHAnsi"/>
              <w:noProof/>
              <w:color w:val="auto"/>
              <w:szCs w:val="28"/>
              <w:lang w:val="en-GB" w:bidi="bn-BD"/>
            </w:rPr>
          </w:pPr>
          <w:hyperlink w:anchor="_Toc128679559" w:history="1">
            <w:r w:rsidR="00EA3E5C" w:rsidRPr="00584770">
              <w:rPr>
                <w:rStyle w:val="Hyperlink"/>
                <w:noProof/>
                <w:lang w:val="en-GB"/>
              </w:rPr>
              <w:t>Strategies used in the UK to measure rotavirus with critical evaluation</w:t>
            </w:r>
            <w:r w:rsidR="00EA3E5C" w:rsidRPr="00584770">
              <w:rPr>
                <w:noProof/>
                <w:webHidden/>
                <w:lang w:val="en-GB"/>
              </w:rPr>
              <w:tab/>
            </w:r>
            <w:r w:rsidR="00EA3E5C" w:rsidRPr="00584770">
              <w:rPr>
                <w:noProof/>
                <w:webHidden/>
                <w:lang w:val="en-GB"/>
              </w:rPr>
              <w:fldChar w:fldCharType="begin"/>
            </w:r>
            <w:r w:rsidR="00EA3E5C" w:rsidRPr="00584770">
              <w:rPr>
                <w:noProof/>
                <w:webHidden/>
                <w:lang w:val="en-GB"/>
              </w:rPr>
              <w:instrText xml:space="preserve"> PAGEREF _Toc128679559 \h </w:instrText>
            </w:r>
            <w:r w:rsidR="00EA3E5C" w:rsidRPr="00584770">
              <w:rPr>
                <w:noProof/>
                <w:webHidden/>
                <w:lang w:val="en-GB"/>
              </w:rPr>
            </w:r>
            <w:r w:rsidR="00EA3E5C" w:rsidRPr="00584770">
              <w:rPr>
                <w:noProof/>
                <w:webHidden/>
                <w:lang w:val="en-GB"/>
              </w:rPr>
              <w:fldChar w:fldCharType="separate"/>
            </w:r>
            <w:r w:rsidR="00EA3E5C" w:rsidRPr="00584770">
              <w:rPr>
                <w:noProof/>
                <w:webHidden/>
                <w:lang w:val="en-GB"/>
              </w:rPr>
              <w:t>3</w:t>
            </w:r>
            <w:r w:rsidR="00EA3E5C" w:rsidRPr="00584770">
              <w:rPr>
                <w:noProof/>
                <w:webHidden/>
                <w:lang w:val="en-GB"/>
              </w:rPr>
              <w:fldChar w:fldCharType="end"/>
            </w:r>
          </w:hyperlink>
        </w:p>
        <w:p w14:paraId="07313F90" w14:textId="0F72F768" w:rsidR="00EA3E5C" w:rsidRPr="00584770" w:rsidRDefault="00000000" w:rsidP="00ED33D6">
          <w:pPr>
            <w:pStyle w:val="TOC1"/>
            <w:tabs>
              <w:tab w:val="right" w:leader="dot" w:pos="9016"/>
            </w:tabs>
            <w:spacing w:before="240"/>
            <w:rPr>
              <w:rFonts w:asciiTheme="minorHAnsi" w:eastAsiaTheme="minorEastAsia" w:hAnsiTheme="minorHAnsi"/>
              <w:noProof/>
              <w:color w:val="auto"/>
              <w:szCs w:val="28"/>
              <w:lang w:val="en-GB" w:bidi="bn-BD"/>
            </w:rPr>
          </w:pPr>
          <w:hyperlink w:anchor="_Toc128679560" w:history="1">
            <w:r w:rsidR="00EA3E5C" w:rsidRPr="00584770">
              <w:rPr>
                <w:rStyle w:val="Hyperlink"/>
                <w:noProof/>
                <w:lang w:val="en-GB"/>
              </w:rPr>
              <w:t>Strategies used in the UK to monitor rotavirus with critical evaluation</w:t>
            </w:r>
            <w:r w:rsidR="00EA3E5C" w:rsidRPr="00584770">
              <w:rPr>
                <w:noProof/>
                <w:webHidden/>
                <w:lang w:val="en-GB"/>
              </w:rPr>
              <w:tab/>
            </w:r>
            <w:r w:rsidR="00EA3E5C" w:rsidRPr="00584770">
              <w:rPr>
                <w:noProof/>
                <w:webHidden/>
                <w:lang w:val="en-GB"/>
              </w:rPr>
              <w:fldChar w:fldCharType="begin"/>
            </w:r>
            <w:r w:rsidR="00EA3E5C" w:rsidRPr="00584770">
              <w:rPr>
                <w:noProof/>
                <w:webHidden/>
                <w:lang w:val="en-GB"/>
              </w:rPr>
              <w:instrText xml:space="preserve"> PAGEREF _Toc128679560 \h </w:instrText>
            </w:r>
            <w:r w:rsidR="00EA3E5C" w:rsidRPr="00584770">
              <w:rPr>
                <w:noProof/>
                <w:webHidden/>
                <w:lang w:val="en-GB"/>
              </w:rPr>
            </w:r>
            <w:r w:rsidR="00EA3E5C" w:rsidRPr="00584770">
              <w:rPr>
                <w:noProof/>
                <w:webHidden/>
                <w:lang w:val="en-GB"/>
              </w:rPr>
              <w:fldChar w:fldCharType="separate"/>
            </w:r>
            <w:r w:rsidR="00EA3E5C" w:rsidRPr="00584770">
              <w:rPr>
                <w:noProof/>
                <w:webHidden/>
                <w:lang w:val="en-GB"/>
              </w:rPr>
              <w:t>4</w:t>
            </w:r>
            <w:r w:rsidR="00EA3E5C" w:rsidRPr="00584770">
              <w:rPr>
                <w:noProof/>
                <w:webHidden/>
                <w:lang w:val="en-GB"/>
              </w:rPr>
              <w:fldChar w:fldCharType="end"/>
            </w:r>
          </w:hyperlink>
        </w:p>
        <w:p w14:paraId="076039B4" w14:textId="048BE21E" w:rsidR="00EA3E5C" w:rsidRPr="00584770" w:rsidRDefault="00000000" w:rsidP="00ED33D6">
          <w:pPr>
            <w:pStyle w:val="TOC1"/>
            <w:tabs>
              <w:tab w:val="right" w:leader="dot" w:pos="9016"/>
            </w:tabs>
            <w:spacing w:before="240"/>
            <w:rPr>
              <w:rFonts w:asciiTheme="minorHAnsi" w:eastAsiaTheme="minorEastAsia" w:hAnsiTheme="minorHAnsi"/>
              <w:noProof/>
              <w:color w:val="auto"/>
              <w:szCs w:val="28"/>
              <w:lang w:val="en-GB" w:bidi="bn-BD"/>
            </w:rPr>
          </w:pPr>
          <w:hyperlink w:anchor="_Toc128679561" w:history="1">
            <w:r w:rsidR="00EA3E5C" w:rsidRPr="00584770">
              <w:rPr>
                <w:rStyle w:val="Hyperlink"/>
                <w:noProof/>
                <w:lang w:val="en-GB"/>
              </w:rPr>
              <w:t>Strategies used in the UK to control rotavirus with critical evaluation</w:t>
            </w:r>
            <w:r w:rsidR="00EA3E5C" w:rsidRPr="00584770">
              <w:rPr>
                <w:noProof/>
                <w:webHidden/>
                <w:lang w:val="en-GB"/>
              </w:rPr>
              <w:tab/>
            </w:r>
            <w:r w:rsidR="00EA3E5C" w:rsidRPr="00584770">
              <w:rPr>
                <w:noProof/>
                <w:webHidden/>
                <w:lang w:val="en-GB"/>
              </w:rPr>
              <w:fldChar w:fldCharType="begin"/>
            </w:r>
            <w:r w:rsidR="00EA3E5C" w:rsidRPr="00584770">
              <w:rPr>
                <w:noProof/>
                <w:webHidden/>
                <w:lang w:val="en-GB"/>
              </w:rPr>
              <w:instrText xml:space="preserve"> PAGEREF _Toc128679561 \h </w:instrText>
            </w:r>
            <w:r w:rsidR="00EA3E5C" w:rsidRPr="00584770">
              <w:rPr>
                <w:noProof/>
                <w:webHidden/>
                <w:lang w:val="en-GB"/>
              </w:rPr>
            </w:r>
            <w:r w:rsidR="00EA3E5C" w:rsidRPr="00584770">
              <w:rPr>
                <w:noProof/>
                <w:webHidden/>
                <w:lang w:val="en-GB"/>
              </w:rPr>
              <w:fldChar w:fldCharType="separate"/>
            </w:r>
            <w:r w:rsidR="00EA3E5C" w:rsidRPr="00584770">
              <w:rPr>
                <w:noProof/>
                <w:webHidden/>
                <w:lang w:val="en-GB"/>
              </w:rPr>
              <w:t>4</w:t>
            </w:r>
            <w:r w:rsidR="00EA3E5C" w:rsidRPr="00584770">
              <w:rPr>
                <w:noProof/>
                <w:webHidden/>
                <w:lang w:val="en-GB"/>
              </w:rPr>
              <w:fldChar w:fldCharType="end"/>
            </w:r>
          </w:hyperlink>
        </w:p>
        <w:p w14:paraId="11925F52" w14:textId="3C6EAA1E" w:rsidR="00EA3E5C" w:rsidRPr="00584770" w:rsidRDefault="00000000" w:rsidP="00ED33D6">
          <w:pPr>
            <w:pStyle w:val="TOC1"/>
            <w:tabs>
              <w:tab w:val="right" w:leader="dot" w:pos="9016"/>
            </w:tabs>
            <w:spacing w:before="240"/>
            <w:rPr>
              <w:rFonts w:asciiTheme="minorHAnsi" w:eastAsiaTheme="minorEastAsia" w:hAnsiTheme="minorHAnsi"/>
              <w:noProof/>
              <w:color w:val="auto"/>
              <w:szCs w:val="28"/>
              <w:lang w:val="en-GB" w:bidi="bn-BD"/>
            </w:rPr>
          </w:pPr>
          <w:hyperlink w:anchor="_Toc128679562" w:history="1">
            <w:r w:rsidR="00EA3E5C" w:rsidRPr="00584770">
              <w:rPr>
                <w:rStyle w:val="Hyperlink"/>
                <w:noProof/>
                <w:lang w:val="en-GB"/>
              </w:rPr>
              <w:t>Conclusion</w:t>
            </w:r>
            <w:r w:rsidR="00EA3E5C" w:rsidRPr="00584770">
              <w:rPr>
                <w:noProof/>
                <w:webHidden/>
                <w:lang w:val="en-GB"/>
              </w:rPr>
              <w:tab/>
            </w:r>
            <w:r w:rsidR="00EA3E5C" w:rsidRPr="00584770">
              <w:rPr>
                <w:noProof/>
                <w:webHidden/>
                <w:lang w:val="en-GB"/>
              </w:rPr>
              <w:fldChar w:fldCharType="begin"/>
            </w:r>
            <w:r w:rsidR="00EA3E5C" w:rsidRPr="00584770">
              <w:rPr>
                <w:noProof/>
                <w:webHidden/>
                <w:lang w:val="en-GB"/>
              </w:rPr>
              <w:instrText xml:space="preserve"> PAGEREF _Toc128679562 \h </w:instrText>
            </w:r>
            <w:r w:rsidR="00EA3E5C" w:rsidRPr="00584770">
              <w:rPr>
                <w:noProof/>
                <w:webHidden/>
                <w:lang w:val="en-GB"/>
              </w:rPr>
            </w:r>
            <w:r w:rsidR="00EA3E5C" w:rsidRPr="00584770">
              <w:rPr>
                <w:noProof/>
                <w:webHidden/>
                <w:lang w:val="en-GB"/>
              </w:rPr>
              <w:fldChar w:fldCharType="separate"/>
            </w:r>
            <w:r w:rsidR="00EA3E5C" w:rsidRPr="00584770">
              <w:rPr>
                <w:noProof/>
                <w:webHidden/>
                <w:lang w:val="en-GB"/>
              </w:rPr>
              <w:t>5</w:t>
            </w:r>
            <w:r w:rsidR="00EA3E5C" w:rsidRPr="00584770">
              <w:rPr>
                <w:noProof/>
                <w:webHidden/>
                <w:lang w:val="en-GB"/>
              </w:rPr>
              <w:fldChar w:fldCharType="end"/>
            </w:r>
          </w:hyperlink>
        </w:p>
        <w:p w14:paraId="375F97B8" w14:textId="0C314E7C" w:rsidR="00EA3E5C" w:rsidRPr="00584770" w:rsidRDefault="00000000" w:rsidP="00ED33D6">
          <w:pPr>
            <w:pStyle w:val="TOC1"/>
            <w:tabs>
              <w:tab w:val="right" w:leader="dot" w:pos="9016"/>
            </w:tabs>
            <w:spacing w:before="240"/>
            <w:rPr>
              <w:rFonts w:asciiTheme="minorHAnsi" w:eastAsiaTheme="minorEastAsia" w:hAnsiTheme="minorHAnsi"/>
              <w:noProof/>
              <w:color w:val="auto"/>
              <w:szCs w:val="28"/>
              <w:lang w:val="en-GB" w:bidi="bn-BD"/>
            </w:rPr>
          </w:pPr>
          <w:hyperlink w:anchor="_Toc128679563" w:history="1">
            <w:r w:rsidR="00EA3E5C" w:rsidRPr="00584770">
              <w:rPr>
                <w:rStyle w:val="Hyperlink"/>
                <w:noProof/>
                <w:lang w:val="en-GB"/>
              </w:rPr>
              <w:t>References</w:t>
            </w:r>
            <w:r w:rsidR="00EA3E5C" w:rsidRPr="00584770">
              <w:rPr>
                <w:noProof/>
                <w:webHidden/>
                <w:lang w:val="en-GB"/>
              </w:rPr>
              <w:tab/>
            </w:r>
            <w:r w:rsidR="00EA3E5C" w:rsidRPr="00584770">
              <w:rPr>
                <w:noProof/>
                <w:webHidden/>
                <w:lang w:val="en-GB"/>
              </w:rPr>
              <w:fldChar w:fldCharType="begin"/>
            </w:r>
            <w:r w:rsidR="00EA3E5C" w:rsidRPr="00584770">
              <w:rPr>
                <w:noProof/>
                <w:webHidden/>
                <w:lang w:val="en-GB"/>
              </w:rPr>
              <w:instrText xml:space="preserve"> PAGEREF _Toc128679563 \h </w:instrText>
            </w:r>
            <w:r w:rsidR="00EA3E5C" w:rsidRPr="00584770">
              <w:rPr>
                <w:noProof/>
                <w:webHidden/>
                <w:lang w:val="en-GB"/>
              </w:rPr>
            </w:r>
            <w:r w:rsidR="00EA3E5C" w:rsidRPr="00584770">
              <w:rPr>
                <w:noProof/>
                <w:webHidden/>
                <w:lang w:val="en-GB"/>
              </w:rPr>
              <w:fldChar w:fldCharType="separate"/>
            </w:r>
            <w:r w:rsidR="00EA3E5C" w:rsidRPr="00584770">
              <w:rPr>
                <w:noProof/>
                <w:webHidden/>
                <w:lang w:val="en-GB"/>
              </w:rPr>
              <w:t>6</w:t>
            </w:r>
            <w:r w:rsidR="00EA3E5C" w:rsidRPr="00584770">
              <w:rPr>
                <w:noProof/>
                <w:webHidden/>
                <w:lang w:val="en-GB"/>
              </w:rPr>
              <w:fldChar w:fldCharType="end"/>
            </w:r>
          </w:hyperlink>
        </w:p>
        <w:p w14:paraId="7EC48540" w14:textId="5A9CAF01" w:rsidR="00EA3E5C" w:rsidRPr="00584770" w:rsidRDefault="00EA3E5C" w:rsidP="00ED33D6">
          <w:pPr>
            <w:spacing w:before="240"/>
            <w:rPr>
              <w:lang w:val="en-GB"/>
            </w:rPr>
          </w:pPr>
          <w:r w:rsidRPr="00584770">
            <w:rPr>
              <w:b/>
              <w:bCs/>
              <w:noProof/>
              <w:lang w:val="en-GB"/>
            </w:rPr>
            <w:fldChar w:fldCharType="end"/>
          </w:r>
        </w:p>
      </w:sdtContent>
    </w:sdt>
    <w:p w14:paraId="77253366" w14:textId="77777777" w:rsidR="00EA3E5C" w:rsidRPr="00584770" w:rsidRDefault="00EA3E5C" w:rsidP="00ED33D6">
      <w:pPr>
        <w:pStyle w:val="Heading1"/>
        <w:rPr>
          <w:lang w:val="en-GB"/>
        </w:rPr>
      </w:pPr>
    </w:p>
    <w:p w14:paraId="3637AF59" w14:textId="77777777" w:rsidR="00EA3E5C" w:rsidRPr="00584770" w:rsidRDefault="00EA3E5C" w:rsidP="00ED33D6">
      <w:pPr>
        <w:pStyle w:val="Heading1"/>
        <w:rPr>
          <w:lang w:val="en-GB"/>
        </w:rPr>
      </w:pPr>
    </w:p>
    <w:p w14:paraId="15A57EC7" w14:textId="070A48EC" w:rsidR="5B7CE4FE" w:rsidRDefault="5B7CE4FE" w:rsidP="5B7CE4FE">
      <w:pPr>
        <w:rPr>
          <w:lang w:val="en-GB"/>
        </w:rPr>
      </w:pPr>
    </w:p>
    <w:p w14:paraId="5DF6B43B" w14:textId="79E15729" w:rsidR="5B7CE4FE" w:rsidRDefault="5B7CE4FE" w:rsidP="5B7CE4FE">
      <w:pPr>
        <w:rPr>
          <w:lang w:val="en-GB"/>
        </w:rPr>
      </w:pPr>
    </w:p>
    <w:p w14:paraId="15E45DAF" w14:textId="77777777" w:rsidR="00EA3E5C" w:rsidRPr="00584770" w:rsidRDefault="00EA3E5C" w:rsidP="00ED33D6">
      <w:pPr>
        <w:pStyle w:val="Heading1"/>
        <w:rPr>
          <w:lang w:val="en-GB"/>
        </w:rPr>
      </w:pPr>
    </w:p>
    <w:p w14:paraId="6E50A01F" w14:textId="77777777" w:rsidR="00EA3E5C" w:rsidRPr="00584770" w:rsidRDefault="00EA3E5C" w:rsidP="00ED33D6">
      <w:pPr>
        <w:pStyle w:val="Heading1"/>
        <w:rPr>
          <w:lang w:val="en-GB"/>
        </w:rPr>
      </w:pPr>
    </w:p>
    <w:p w14:paraId="0FB5D789" w14:textId="77777777" w:rsidR="00EA3E5C" w:rsidRPr="00584770" w:rsidRDefault="00EA3E5C" w:rsidP="00ED33D6">
      <w:pPr>
        <w:pStyle w:val="Heading1"/>
        <w:rPr>
          <w:lang w:val="en-GB"/>
        </w:rPr>
      </w:pPr>
    </w:p>
    <w:p w14:paraId="659C0757" w14:textId="77777777" w:rsidR="00EA3E5C" w:rsidRPr="00584770" w:rsidRDefault="00EA3E5C" w:rsidP="00ED33D6">
      <w:pPr>
        <w:pStyle w:val="Heading1"/>
        <w:rPr>
          <w:lang w:val="en-GB"/>
        </w:rPr>
      </w:pPr>
    </w:p>
    <w:p w14:paraId="7D203A5E" w14:textId="77777777" w:rsidR="00EA3E5C" w:rsidRPr="00584770" w:rsidRDefault="00EA3E5C" w:rsidP="00ED33D6">
      <w:pPr>
        <w:pStyle w:val="Heading1"/>
        <w:rPr>
          <w:lang w:val="en-GB"/>
        </w:rPr>
      </w:pPr>
    </w:p>
    <w:p w14:paraId="2ED1ECA0" w14:textId="18826124" w:rsidR="00EA3E5C" w:rsidRPr="00584770" w:rsidRDefault="00EA3E5C" w:rsidP="5B7CE4FE">
      <w:pPr>
        <w:pStyle w:val="Heading1"/>
        <w:rPr>
          <w:rFonts w:cs="Arial"/>
          <w:lang w:val="en-GB"/>
        </w:rPr>
      </w:pPr>
    </w:p>
    <w:p w14:paraId="1F6668F9" w14:textId="09E2AD05" w:rsidR="00EA3E5C" w:rsidRPr="00584770" w:rsidRDefault="00EA3E5C" w:rsidP="00ED33D6">
      <w:pPr>
        <w:pStyle w:val="Heading1"/>
        <w:rPr>
          <w:lang w:val="en-GB"/>
        </w:rPr>
      </w:pPr>
      <w:bookmarkStart w:id="0" w:name="_Toc128679558"/>
      <w:r w:rsidRPr="5B7CE4FE">
        <w:rPr>
          <w:lang w:val="en-GB"/>
        </w:rPr>
        <w:t>Introduction</w:t>
      </w:r>
      <w:bookmarkEnd w:id="0"/>
    </w:p>
    <w:p w14:paraId="61BF45C8" w14:textId="1A9741EB" w:rsidR="0019120F" w:rsidRPr="00584770" w:rsidRDefault="004744D2" w:rsidP="00ED33D6">
      <w:pPr>
        <w:spacing w:before="240"/>
        <w:rPr>
          <w:rFonts w:cs="Arial"/>
          <w:lang w:val="en-GB"/>
        </w:rPr>
      </w:pPr>
      <w:r w:rsidRPr="14616E0C">
        <w:rPr>
          <w:rFonts w:cs="Arial"/>
          <w:lang w:val="en-GB"/>
        </w:rPr>
        <w:t xml:space="preserve">Rotavirus is a leading cause of gastroenteritis in the UK, especially in children under the age of five. The virus is highly contagious and can cause symptoms such as vomiting, </w:t>
      </w:r>
      <w:r w:rsidR="51852A8C" w:rsidRPr="14616E0C">
        <w:rPr>
          <w:rFonts w:cs="Arial"/>
          <w:lang w:val="en-GB"/>
        </w:rPr>
        <w:t>diarrhoea</w:t>
      </w:r>
      <w:r w:rsidRPr="14616E0C">
        <w:rPr>
          <w:rFonts w:cs="Arial"/>
          <w:lang w:val="en-GB"/>
        </w:rPr>
        <w:t>, and fever. In severe cases, dehydration can occur, which can lead to hospitali</w:t>
      </w:r>
      <w:r w:rsidR="00274B7E" w:rsidRPr="14616E0C">
        <w:rPr>
          <w:rFonts w:cs="Arial"/>
          <w:lang w:val="en-GB"/>
        </w:rPr>
        <w:t>s</w:t>
      </w:r>
      <w:r w:rsidRPr="14616E0C">
        <w:rPr>
          <w:rFonts w:cs="Arial"/>
          <w:lang w:val="en-GB"/>
        </w:rPr>
        <w:t>ation and even death. However, the introduction of the rotavirus vaccine in 2013 has been successful in reducing the number of cases and hospitali</w:t>
      </w:r>
      <w:r w:rsidR="00274B7E" w:rsidRPr="14616E0C">
        <w:rPr>
          <w:rFonts w:cs="Arial"/>
          <w:lang w:val="en-GB"/>
        </w:rPr>
        <w:t>s</w:t>
      </w:r>
      <w:r w:rsidRPr="14616E0C">
        <w:rPr>
          <w:rFonts w:cs="Arial"/>
          <w:lang w:val="en-GB"/>
        </w:rPr>
        <w:t xml:space="preserve">ations associated with the virus. </w:t>
      </w:r>
      <w:bookmarkStart w:id="1" w:name="_Toc128679559"/>
      <w:r w:rsidR="0019120F" w:rsidRPr="14616E0C">
        <w:rPr>
          <w:rFonts w:cs="Arial"/>
          <w:lang w:val="en-GB"/>
        </w:rPr>
        <w:t xml:space="preserve">Several tactics have been devised to assess, monitor, and restrict the spread of the disease </w:t>
      </w:r>
      <w:r w:rsidR="3305EE30" w:rsidRPr="14616E0C">
        <w:rPr>
          <w:rFonts w:cs="Arial"/>
          <w:lang w:val="en-GB"/>
        </w:rPr>
        <w:t>to</w:t>
      </w:r>
      <w:r w:rsidR="0019120F" w:rsidRPr="14616E0C">
        <w:rPr>
          <w:rFonts w:cs="Arial"/>
          <w:lang w:val="en-GB"/>
        </w:rPr>
        <w:t xml:space="preserve"> effectively battle the occurrence of rotavirus. The primary methods and tactics employed in the UK to gauge, track, and manage rotavirus incidence are covered in this paper (BERGER, 2022).</w:t>
      </w:r>
    </w:p>
    <w:p w14:paraId="13D2DF27" w14:textId="19E7CD69" w:rsidR="00CD69CE" w:rsidRPr="00584770" w:rsidRDefault="0074296F" w:rsidP="00026A5F">
      <w:pPr>
        <w:pStyle w:val="Heading1"/>
        <w:rPr>
          <w:lang w:val="en-GB"/>
        </w:rPr>
      </w:pPr>
      <w:r w:rsidRPr="00584770">
        <w:rPr>
          <w:lang w:val="en-GB"/>
        </w:rPr>
        <w:br w:type="page"/>
      </w:r>
      <w:r w:rsidR="00CD69CE" w:rsidRPr="00584770">
        <w:rPr>
          <w:lang w:val="en-GB"/>
        </w:rPr>
        <w:lastRenderedPageBreak/>
        <w:t xml:space="preserve">Strategies used in the UK to measure </w:t>
      </w:r>
      <w:r w:rsidR="00014EC0" w:rsidRPr="00584770">
        <w:rPr>
          <w:lang w:val="en-GB"/>
        </w:rPr>
        <w:t xml:space="preserve">rotavirus with critical </w:t>
      </w:r>
      <w:proofErr w:type="gramStart"/>
      <w:r w:rsidR="00014EC0" w:rsidRPr="00584770">
        <w:rPr>
          <w:lang w:val="en-GB"/>
        </w:rPr>
        <w:t>evaluation</w:t>
      </w:r>
      <w:bookmarkEnd w:id="1"/>
      <w:proofErr w:type="gramEnd"/>
    </w:p>
    <w:p w14:paraId="1BC7A4E6" w14:textId="06BD5D97" w:rsidR="00CD69CE" w:rsidRPr="00584770" w:rsidRDefault="00CD69CE" w:rsidP="00ED33D6">
      <w:pPr>
        <w:spacing w:before="240"/>
        <w:rPr>
          <w:rFonts w:cs="Arial"/>
          <w:lang w:val="en-GB"/>
        </w:rPr>
      </w:pPr>
      <w:r w:rsidRPr="5B7CE4FE">
        <w:rPr>
          <w:rFonts w:cs="Arial"/>
          <w:lang w:val="en-GB"/>
        </w:rPr>
        <w:t>The UK has implemented several strategies to measure the incidence of rotavirus</w:t>
      </w:r>
      <w:r w:rsidR="00EA3E5C" w:rsidRPr="5B7CE4FE">
        <w:rPr>
          <w:rFonts w:cs="Arial"/>
          <w:lang w:val="en-GB"/>
        </w:rPr>
        <w:t xml:space="preserve"> which is very necessary</w:t>
      </w:r>
      <w:r w:rsidRPr="5B7CE4FE">
        <w:rPr>
          <w:rFonts w:cs="Arial"/>
          <w:lang w:val="en-GB"/>
        </w:rPr>
        <w:t xml:space="preserve">. Laboratory testing methods such as enzyme immunoassays, polymerase chain reaction (PCR), and sequencing are used to identify rotavirus in stool samples. These methods are </w:t>
      </w:r>
      <w:r w:rsidR="377F7761" w:rsidRPr="5B7CE4FE">
        <w:rPr>
          <w:rFonts w:cs="Arial"/>
          <w:lang w:val="en-GB"/>
        </w:rPr>
        <w:t>overly sensitive</w:t>
      </w:r>
      <w:r w:rsidRPr="5B7CE4FE">
        <w:rPr>
          <w:rFonts w:cs="Arial"/>
          <w:lang w:val="en-GB"/>
        </w:rPr>
        <w:t xml:space="preserve"> and specific and allow for the detection of multiple strains of rotavirus. The data obtained through these methods are then analy</w:t>
      </w:r>
      <w:r w:rsidR="00274B7E" w:rsidRPr="5B7CE4FE">
        <w:rPr>
          <w:rFonts w:cs="Arial"/>
          <w:lang w:val="en-GB"/>
        </w:rPr>
        <w:t>s</w:t>
      </w:r>
      <w:r w:rsidRPr="5B7CE4FE">
        <w:rPr>
          <w:rFonts w:cs="Arial"/>
          <w:lang w:val="en-GB"/>
        </w:rPr>
        <w:t>ed to determine the incidence of rotavirus infection in different regions of the UK and to track trends in rotavirus activity over time. In addition to laboratory-based testing, the UK also employs hospitali</w:t>
      </w:r>
      <w:r w:rsidR="00274B7E" w:rsidRPr="5B7CE4FE">
        <w:rPr>
          <w:rFonts w:cs="Arial"/>
          <w:lang w:val="en-GB"/>
        </w:rPr>
        <w:t>s</w:t>
      </w:r>
      <w:r w:rsidRPr="5B7CE4FE">
        <w:rPr>
          <w:rFonts w:cs="Arial"/>
          <w:lang w:val="en-GB"/>
        </w:rPr>
        <w:t>ation and mortality data to estimate the burden of rotavirus disease</w:t>
      </w:r>
      <w:r w:rsidR="00326891" w:rsidRPr="5B7CE4FE">
        <w:rPr>
          <w:rFonts w:cs="Arial"/>
          <w:lang w:val="en-GB"/>
        </w:rPr>
        <w:t xml:space="preserve"> (Marlow, 2018)</w:t>
      </w:r>
      <w:r w:rsidRPr="5B7CE4FE">
        <w:rPr>
          <w:rFonts w:cs="Arial"/>
          <w:lang w:val="en-GB"/>
        </w:rPr>
        <w:t>.</w:t>
      </w:r>
      <w:r w:rsidR="4399B5D2" w:rsidRPr="5B7CE4FE">
        <w:rPr>
          <w:rFonts w:cs="Arial"/>
          <w:lang w:val="en-GB"/>
        </w:rPr>
        <w:t xml:space="preserve"> In England, regional incidence was highest in London and lowest in the West Midlands. By age, the highest incidence (</w:t>
      </w:r>
      <w:r w:rsidR="1748337B" w:rsidRPr="5B7CE4FE">
        <w:rPr>
          <w:rFonts w:cs="Arial"/>
          <w:lang w:val="en-GB"/>
        </w:rPr>
        <w:t>50.3/100,000 live births, 95% CI: 33.4--72.7) occurred in the fifth month of life (for E</w:t>
      </w:r>
      <w:r w:rsidR="6168F73A" w:rsidRPr="5B7CE4FE">
        <w:rPr>
          <w:rFonts w:cs="Arial"/>
          <w:lang w:val="en-GB"/>
        </w:rPr>
        <w:t>ngland). Rates are increased during winter and spring.</w:t>
      </w:r>
    </w:p>
    <w:p w14:paraId="099D648A" w14:textId="1A1C3109" w:rsidR="00CD69CE" w:rsidRPr="00584770" w:rsidRDefault="00CD69CE" w:rsidP="00ED33D6">
      <w:pPr>
        <w:spacing w:before="240"/>
        <w:rPr>
          <w:rFonts w:cs="Arial"/>
          <w:lang w:val="en-GB"/>
        </w:rPr>
      </w:pPr>
      <w:r w:rsidRPr="00584770">
        <w:rPr>
          <w:rFonts w:cs="Arial"/>
          <w:lang w:val="en-GB"/>
        </w:rPr>
        <w:t>While laboratory-based testing and hospitali</w:t>
      </w:r>
      <w:r w:rsidR="00274B7E" w:rsidRPr="00584770">
        <w:rPr>
          <w:rFonts w:cs="Arial"/>
          <w:lang w:val="en-GB"/>
        </w:rPr>
        <w:t>s</w:t>
      </w:r>
      <w:r w:rsidRPr="00584770">
        <w:rPr>
          <w:rFonts w:cs="Arial"/>
          <w:lang w:val="en-GB"/>
        </w:rPr>
        <w:t>ation and mortality data have been useful in measuring the incidence of rotavirus in the UK, they have several limitations. For instance, the laboratory testing methods used to identify rotavirus may not capture all cases of infection, particularly in individuals who do not seek medical care or who have mild or asymptomatic disease. Moreover, the use of hospitali</w:t>
      </w:r>
      <w:r w:rsidR="00274B7E" w:rsidRPr="00584770">
        <w:rPr>
          <w:rFonts w:cs="Arial"/>
          <w:lang w:val="en-GB"/>
        </w:rPr>
        <w:t>s</w:t>
      </w:r>
      <w:r w:rsidRPr="00584770">
        <w:rPr>
          <w:rFonts w:cs="Arial"/>
          <w:lang w:val="en-GB"/>
        </w:rPr>
        <w:t>ation and mortality data may underestimate the true incidence of rotavirus infection since not all cases of rotavirus infection require hospitali</w:t>
      </w:r>
      <w:r w:rsidR="00274B7E" w:rsidRPr="00584770">
        <w:rPr>
          <w:rFonts w:cs="Arial"/>
          <w:lang w:val="en-GB"/>
        </w:rPr>
        <w:t>s</w:t>
      </w:r>
      <w:r w:rsidRPr="00584770">
        <w:rPr>
          <w:rFonts w:cs="Arial"/>
          <w:lang w:val="en-GB"/>
        </w:rPr>
        <w:t>ation, and not all deaths due to rotavirus are captured in mortality data. Another limitation of these strategies is that they may not capture the rotavirus’s full impact on quality of life and healthcare utili</w:t>
      </w:r>
      <w:r w:rsidR="00274B7E" w:rsidRPr="00584770">
        <w:rPr>
          <w:rFonts w:cs="Arial"/>
          <w:lang w:val="en-GB"/>
        </w:rPr>
        <w:t>s</w:t>
      </w:r>
      <w:r w:rsidRPr="00584770">
        <w:rPr>
          <w:rFonts w:cs="Arial"/>
          <w:lang w:val="en-GB"/>
        </w:rPr>
        <w:t>ation</w:t>
      </w:r>
      <w:r w:rsidR="0059320F" w:rsidRPr="00584770">
        <w:rPr>
          <w:rFonts w:cs="Arial"/>
          <w:lang w:val="en-GB"/>
        </w:rPr>
        <w:t xml:space="preserve"> (England, 2019)</w:t>
      </w:r>
      <w:r w:rsidRPr="00584770">
        <w:rPr>
          <w:rFonts w:cs="Arial"/>
          <w:lang w:val="en-GB"/>
        </w:rPr>
        <w:t>.</w:t>
      </w:r>
    </w:p>
    <w:p w14:paraId="2D388DC2" w14:textId="3B22E3F3" w:rsidR="00014EC0" w:rsidRPr="00584770" w:rsidRDefault="00014EC0" w:rsidP="00ED33D6">
      <w:pPr>
        <w:pStyle w:val="Heading1"/>
        <w:rPr>
          <w:lang w:val="en-GB"/>
        </w:rPr>
      </w:pPr>
      <w:bookmarkStart w:id="2" w:name="_Toc128679560"/>
      <w:r w:rsidRPr="00584770">
        <w:rPr>
          <w:lang w:val="en-GB"/>
        </w:rPr>
        <w:t xml:space="preserve">Strategies used in the UK to monitor rotavirus with critical </w:t>
      </w:r>
      <w:proofErr w:type="gramStart"/>
      <w:r w:rsidRPr="00584770">
        <w:rPr>
          <w:lang w:val="en-GB"/>
        </w:rPr>
        <w:t>evaluation</w:t>
      </w:r>
      <w:bookmarkEnd w:id="2"/>
      <w:proofErr w:type="gramEnd"/>
    </w:p>
    <w:p w14:paraId="670D1330" w14:textId="5DC8872C" w:rsidR="0019120F" w:rsidRPr="00584770" w:rsidRDefault="0019120F" w:rsidP="5B7CE4FE">
      <w:pPr>
        <w:spacing w:before="240"/>
        <w:rPr>
          <w:rFonts w:cs="Arial"/>
          <w:lang w:val="en-GB"/>
        </w:rPr>
      </w:pPr>
      <w:r w:rsidRPr="5B7CE4FE">
        <w:rPr>
          <w:rFonts w:cs="Arial"/>
          <w:lang w:val="en-GB"/>
        </w:rPr>
        <w:t>Laboratory surveillance, hospital admissions, and community surveillance are methods used in the UK to track the prevalence of rotavirus.</w:t>
      </w:r>
      <w:r w:rsidR="704AD543" w:rsidRPr="5B7CE4FE">
        <w:rPr>
          <w:rFonts w:cs="Arial"/>
          <w:lang w:val="en-GB"/>
        </w:rPr>
        <w:t xml:space="preserve"> One of the most important strategies is the surveillance of rotavirus activity through laboratory-based testing of stool specimens from patients with acute gastroenteritis.</w:t>
      </w:r>
    </w:p>
    <w:p w14:paraId="56FCFA11" w14:textId="78216A1E" w:rsidR="000066CA" w:rsidRPr="00584770" w:rsidRDefault="00014EC0" w:rsidP="00ED33D6">
      <w:pPr>
        <w:spacing w:before="240"/>
        <w:rPr>
          <w:rFonts w:cs="Arial"/>
          <w:lang w:val="en-GB"/>
        </w:rPr>
      </w:pPr>
      <w:r w:rsidRPr="14616E0C">
        <w:rPr>
          <w:rFonts w:cs="Arial"/>
          <w:lang w:val="en-GB"/>
        </w:rPr>
        <w:t xml:space="preserve">Laboratory surveillance involves testing </w:t>
      </w:r>
      <w:r w:rsidR="1104085D" w:rsidRPr="14616E0C">
        <w:rPr>
          <w:rFonts w:cs="Arial"/>
          <w:lang w:val="en-GB"/>
        </w:rPr>
        <w:t>faecal</w:t>
      </w:r>
      <w:r w:rsidRPr="14616E0C">
        <w:rPr>
          <w:rFonts w:cs="Arial"/>
          <w:lang w:val="en-GB"/>
        </w:rPr>
        <w:t xml:space="preserve"> samples for the presence of rotavirus in clinical microbiology laboratories. The laboratory data is then collated and analy</w:t>
      </w:r>
      <w:r w:rsidR="00274B7E" w:rsidRPr="14616E0C">
        <w:rPr>
          <w:rFonts w:cs="Arial"/>
          <w:lang w:val="en-GB"/>
        </w:rPr>
        <w:t>s</w:t>
      </w:r>
      <w:r w:rsidRPr="14616E0C">
        <w:rPr>
          <w:rFonts w:cs="Arial"/>
          <w:lang w:val="en-GB"/>
        </w:rPr>
        <w:t xml:space="preserve">ed to track trends in the incidence of rotavirus infection. This surveillance system allows health authorities to </w:t>
      </w:r>
      <w:r w:rsidRPr="14616E0C">
        <w:rPr>
          <w:rFonts w:cs="Arial"/>
          <w:lang w:val="en-GB"/>
        </w:rPr>
        <w:lastRenderedPageBreak/>
        <w:t>identify and respond quickly to outbreaks of rotavirus. Hospital admission data is also used to monitor the incidence of rotavirus in the UK</w:t>
      </w:r>
      <w:r w:rsidR="000066CA" w:rsidRPr="14616E0C">
        <w:rPr>
          <w:rFonts w:cs="Arial"/>
          <w:lang w:val="en-GB"/>
        </w:rPr>
        <w:t xml:space="preserve"> (Macfarlane and </w:t>
      </w:r>
      <w:proofErr w:type="spellStart"/>
      <w:r w:rsidR="000066CA" w:rsidRPr="14616E0C">
        <w:rPr>
          <w:rFonts w:cs="Arial"/>
          <w:lang w:val="en-GB"/>
        </w:rPr>
        <w:t>Zahr</w:t>
      </w:r>
      <w:proofErr w:type="spellEnd"/>
      <w:r w:rsidR="000066CA" w:rsidRPr="14616E0C">
        <w:rPr>
          <w:rFonts w:cs="Arial"/>
          <w:lang w:val="en-GB"/>
        </w:rPr>
        <w:t>, 2019)</w:t>
      </w:r>
      <w:r w:rsidRPr="14616E0C">
        <w:rPr>
          <w:rFonts w:cs="Arial"/>
          <w:lang w:val="en-GB"/>
        </w:rPr>
        <w:t>.</w:t>
      </w:r>
    </w:p>
    <w:p w14:paraId="481D062C" w14:textId="42124221" w:rsidR="00014EC0" w:rsidRPr="00584770" w:rsidRDefault="00014EC0" w:rsidP="00ED33D6">
      <w:pPr>
        <w:spacing w:before="240"/>
        <w:rPr>
          <w:rFonts w:cs="Arial"/>
          <w:lang w:val="en-GB"/>
        </w:rPr>
      </w:pPr>
      <w:r w:rsidRPr="00584770">
        <w:rPr>
          <w:rFonts w:cs="Arial"/>
          <w:lang w:val="en-GB"/>
        </w:rPr>
        <w:t xml:space="preserve">Health authorities collect data on the number of hospital admissions for rotavirus infection, which is then used to track trends and identify areas where the virus is more prevalent. This surveillance system helps health authorities </w:t>
      </w:r>
      <w:r w:rsidR="00830A34" w:rsidRPr="00584770">
        <w:rPr>
          <w:rFonts w:cs="Arial"/>
          <w:lang w:val="en-GB"/>
        </w:rPr>
        <w:t>target resources</w:t>
      </w:r>
      <w:r w:rsidRPr="00584770">
        <w:rPr>
          <w:rFonts w:cs="Arial"/>
          <w:lang w:val="en-GB"/>
        </w:rPr>
        <w:t xml:space="preserve"> where they are most needed. Community surveillance involves monitoring outbreaks of rotavirus infection in the community. Health authorities rely on healthcare professionals to report outbreaks of rotavirus infection to public health authorities. This information is then used to identify the source of the outbreak and take measures to prevent further spread</w:t>
      </w:r>
      <w:r w:rsidR="006A70A1" w:rsidRPr="00584770">
        <w:rPr>
          <w:rFonts w:cs="Arial"/>
          <w:lang w:val="en-GB"/>
        </w:rPr>
        <w:t xml:space="preserve"> (Yuan </w:t>
      </w:r>
      <w:r w:rsidR="003D6DB4" w:rsidRPr="00584770">
        <w:rPr>
          <w:rFonts w:cs="Arial"/>
          <w:lang w:val="en-GB"/>
        </w:rPr>
        <w:t xml:space="preserve">and </w:t>
      </w:r>
      <w:r w:rsidR="006A70A1" w:rsidRPr="00584770">
        <w:rPr>
          <w:rFonts w:cs="Arial"/>
          <w:lang w:val="en-GB"/>
        </w:rPr>
        <w:t>Wen, 2017)</w:t>
      </w:r>
      <w:r w:rsidRPr="00584770">
        <w:rPr>
          <w:rFonts w:cs="Arial"/>
          <w:lang w:val="en-GB"/>
        </w:rPr>
        <w:t>.</w:t>
      </w:r>
    </w:p>
    <w:p w14:paraId="12132DED" w14:textId="766B6B25" w:rsidR="00014EC0" w:rsidRPr="00584770" w:rsidRDefault="00014EC0" w:rsidP="00ED33D6">
      <w:pPr>
        <w:spacing w:before="240"/>
        <w:rPr>
          <w:rFonts w:cs="Arial"/>
          <w:lang w:val="en-GB"/>
        </w:rPr>
      </w:pPr>
      <w:r w:rsidRPr="00584770">
        <w:rPr>
          <w:rFonts w:cs="Arial"/>
          <w:lang w:val="en-GB"/>
        </w:rPr>
        <w:t xml:space="preserve">Overall, the UK's strategies for monitoring the incidence of rotavirus are well-established and effective. However, there are some limitations to these systems. Laboratory surveillance relies on the accuracy of testing, and community surveillance relies on healthcare professionals to report outbreaks. Therefore, there may be cases of rotavirus infection that are not identified through these systems. Additionally, hospital admission data only </w:t>
      </w:r>
      <w:r w:rsidR="00830A34" w:rsidRPr="00584770">
        <w:rPr>
          <w:rFonts w:cs="Arial"/>
          <w:lang w:val="en-GB"/>
        </w:rPr>
        <w:t>provide</w:t>
      </w:r>
      <w:r w:rsidRPr="00584770">
        <w:rPr>
          <w:rFonts w:cs="Arial"/>
          <w:lang w:val="en-GB"/>
        </w:rPr>
        <w:t xml:space="preserve"> information on severe cases of rotavirus infection, so milder cases may be missed.</w:t>
      </w:r>
    </w:p>
    <w:p w14:paraId="7C7049FE" w14:textId="6E981876" w:rsidR="00014EC0" w:rsidRPr="00584770" w:rsidRDefault="00014EC0" w:rsidP="00ED33D6">
      <w:pPr>
        <w:pStyle w:val="Heading1"/>
        <w:rPr>
          <w:lang w:val="en-GB"/>
        </w:rPr>
      </w:pPr>
      <w:bookmarkStart w:id="3" w:name="_Toc128679561"/>
      <w:r w:rsidRPr="00584770">
        <w:rPr>
          <w:lang w:val="en-GB"/>
        </w:rPr>
        <w:t xml:space="preserve">Strategies used in the UK to </w:t>
      </w:r>
      <w:r w:rsidR="00830A34" w:rsidRPr="00584770">
        <w:rPr>
          <w:lang w:val="en-GB"/>
        </w:rPr>
        <w:t xml:space="preserve">control </w:t>
      </w:r>
      <w:r w:rsidRPr="00584770">
        <w:rPr>
          <w:lang w:val="en-GB"/>
        </w:rPr>
        <w:t xml:space="preserve">rotavirus with critical </w:t>
      </w:r>
      <w:proofErr w:type="gramStart"/>
      <w:r w:rsidRPr="00584770">
        <w:rPr>
          <w:lang w:val="en-GB"/>
        </w:rPr>
        <w:t>evaluation</w:t>
      </w:r>
      <w:bookmarkEnd w:id="3"/>
      <w:proofErr w:type="gramEnd"/>
    </w:p>
    <w:p w14:paraId="734AAAC2" w14:textId="297A55E3" w:rsidR="00014EC0" w:rsidRPr="00584770" w:rsidRDefault="000066CA" w:rsidP="00ED33D6">
      <w:pPr>
        <w:spacing w:before="240"/>
        <w:rPr>
          <w:rFonts w:cs="Arial"/>
          <w:lang w:val="en-GB"/>
        </w:rPr>
      </w:pPr>
      <w:r w:rsidRPr="00584770">
        <w:rPr>
          <w:rFonts w:cs="Arial"/>
          <w:lang w:val="en-GB"/>
        </w:rPr>
        <w:t>S</w:t>
      </w:r>
      <w:r w:rsidR="00014EC0" w:rsidRPr="00584770">
        <w:rPr>
          <w:rFonts w:cs="Arial"/>
          <w:lang w:val="en-GB"/>
        </w:rPr>
        <w:t>trategies</w:t>
      </w:r>
      <w:r w:rsidRPr="00584770">
        <w:rPr>
          <w:rFonts w:cs="Arial"/>
          <w:lang w:val="en-GB"/>
        </w:rPr>
        <w:t xml:space="preserve"> to control rotavirus</w:t>
      </w:r>
      <w:r w:rsidR="00014EC0" w:rsidRPr="00584770">
        <w:rPr>
          <w:rFonts w:cs="Arial"/>
          <w:lang w:val="en-GB"/>
        </w:rPr>
        <w:t xml:space="preserve"> include vaccination, improved hygiene practices, and prompt treatment of infected individuals.</w:t>
      </w:r>
    </w:p>
    <w:p w14:paraId="6BC3B9F6" w14:textId="7F560253" w:rsidR="000066CA" w:rsidRPr="00584770" w:rsidRDefault="00014EC0" w:rsidP="00ED33D6">
      <w:pPr>
        <w:spacing w:before="240"/>
        <w:rPr>
          <w:rFonts w:cs="Arial"/>
          <w:lang w:val="en-GB"/>
        </w:rPr>
      </w:pPr>
      <w:r w:rsidRPr="00584770">
        <w:rPr>
          <w:rFonts w:cs="Arial"/>
          <w:lang w:val="en-GB"/>
        </w:rPr>
        <w:t>Vaccination is the primary strategy used to prevent rotavirus infection in the UK. Since 2013, the National Health Service (NHS) has offered the rotavirus vaccine to infants as part of their routine immuni</w:t>
      </w:r>
      <w:r w:rsidR="00274B7E" w:rsidRPr="00584770">
        <w:rPr>
          <w:rFonts w:cs="Arial"/>
          <w:lang w:val="en-GB"/>
        </w:rPr>
        <w:t>s</w:t>
      </w:r>
      <w:r w:rsidRPr="00584770">
        <w:rPr>
          <w:rFonts w:cs="Arial"/>
          <w:lang w:val="en-GB"/>
        </w:rPr>
        <w:t>ation schedule</w:t>
      </w:r>
      <w:r w:rsidR="000066CA" w:rsidRPr="00584770">
        <w:rPr>
          <w:rFonts w:cs="Arial"/>
          <w:lang w:val="en-GB"/>
        </w:rPr>
        <w:t xml:space="preserve"> (Gov. UK, 2021)</w:t>
      </w:r>
      <w:r w:rsidRPr="00584770">
        <w:rPr>
          <w:rFonts w:cs="Arial"/>
          <w:lang w:val="en-GB"/>
        </w:rPr>
        <w:t xml:space="preserve">. The vaccine is administered orally and is given to infants at 2 and 3 months of age. The vaccine </w:t>
      </w:r>
      <w:r w:rsidR="00830A34" w:rsidRPr="00584770">
        <w:rPr>
          <w:rFonts w:cs="Arial"/>
          <w:lang w:val="en-GB"/>
        </w:rPr>
        <w:t>is</w:t>
      </w:r>
      <w:r w:rsidRPr="00584770">
        <w:rPr>
          <w:rFonts w:cs="Arial"/>
          <w:lang w:val="en-GB"/>
        </w:rPr>
        <w:t xml:space="preserve"> highly effective in preventing severe rotavirus disease, and it has </w:t>
      </w:r>
      <w:r w:rsidR="00830A34" w:rsidRPr="00584770">
        <w:rPr>
          <w:rFonts w:cs="Arial"/>
          <w:lang w:val="en-GB"/>
        </w:rPr>
        <w:t>significantly reduced</w:t>
      </w:r>
      <w:r w:rsidRPr="00584770">
        <w:rPr>
          <w:rFonts w:cs="Arial"/>
          <w:lang w:val="en-GB"/>
        </w:rPr>
        <w:t xml:space="preserve"> hospitali</w:t>
      </w:r>
      <w:r w:rsidR="00274B7E" w:rsidRPr="00584770">
        <w:rPr>
          <w:rFonts w:cs="Arial"/>
          <w:lang w:val="en-GB"/>
        </w:rPr>
        <w:t>s</w:t>
      </w:r>
      <w:r w:rsidRPr="00584770">
        <w:rPr>
          <w:rFonts w:cs="Arial"/>
          <w:lang w:val="en-GB"/>
        </w:rPr>
        <w:t xml:space="preserve">ations due to rotavirus infection in the UK. According to a study published in The Lancet in 2019, the rotavirus vaccine has led to an 84% reduction in hospital admissions due to rotavirus infection in England since its introduction in 2013 </w:t>
      </w:r>
      <w:r w:rsidR="00D06442" w:rsidRPr="00584770">
        <w:rPr>
          <w:rFonts w:cs="Arial"/>
          <w:lang w:val="en-GB"/>
        </w:rPr>
        <w:t>(</w:t>
      </w:r>
      <w:proofErr w:type="spellStart"/>
      <w:r w:rsidR="00D06442" w:rsidRPr="00584770">
        <w:rPr>
          <w:rFonts w:cs="Arial"/>
          <w:lang w:val="en-GB"/>
        </w:rPr>
        <w:t>Aliabadi</w:t>
      </w:r>
      <w:proofErr w:type="spellEnd"/>
      <w:r w:rsidR="00D06442" w:rsidRPr="00584770">
        <w:rPr>
          <w:rFonts w:cs="Arial"/>
          <w:lang w:val="en-GB"/>
        </w:rPr>
        <w:t xml:space="preserve"> et al., 2019)</w:t>
      </w:r>
      <w:r w:rsidRPr="00584770">
        <w:rPr>
          <w:rFonts w:cs="Arial"/>
          <w:lang w:val="en-GB"/>
        </w:rPr>
        <w:t>.</w:t>
      </w:r>
    </w:p>
    <w:p w14:paraId="77745B19" w14:textId="76F2739F" w:rsidR="00014EC0" w:rsidRPr="00584770" w:rsidRDefault="00014EC0" w:rsidP="00ED33D6">
      <w:pPr>
        <w:spacing w:before="240"/>
        <w:rPr>
          <w:rFonts w:cs="Arial"/>
          <w:lang w:val="en-GB"/>
        </w:rPr>
      </w:pPr>
      <w:r w:rsidRPr="5B7CE4FE">
        <w:rPr>
          <w:rFonts w:cs="Arial"/>
          <w:lang w:val="en-GB"/>
        </w:rPr>
        <w:t xml:space="preserve">In addition to vaccination, the UK has also implemented measures to improve hygiene practices, particularly in healthcare settings. This includes ensuring that staff </w:t>
      </w:r>
      <w:r w:rsidR="00830A34" w:rsidRPr="5B7CE4FE">
        <w:rPr>
          <w:rFonts w:cs="Arial"/>
          <w:lang w:val="en-GB"/>
        </w:rPr>
        <w:t>is</w:t>
      </w:r>
      <w:r w:rsidRPr="5B7CE4FE">
        <w:rPr>
          <w:rFonts w:cs="Arial"/>
          <w:lang w:val="en-GB"/>
        </w:rPr>
        <w:t xml:space="preserve"> </w:t>
      </w:r>
      <w:r w:rsidR="3553B316" w:rsidRPr="5B7CE4FE">
        <w:rPr>
          <w:rFonts w:cs="Arial"/>
          <w:lang w:val="en-GB"/>
        </w:rPr>
        <w:t>professionally trained</w:t>
      </w:r>
      <w:r w:rsidRPr="5B7CE4FE">
        <w:rPr>
          <w:rFonts w:cs="Arial"/>
          <w:lang w:val="en-GB"/>
        </w:rPr>
        <w:t xml:space="preserve"> in infection control procedures, providing hand hygiene facilities, and regularly cleaning and disinfecting surfaces and equipment</w:t>
      </w:r>
      <w:r w:rsidR="00D06442" w:rsidRPr="5B7CE4FE">
        <w:rPr>
          <w:rFonts w:cs="Arial"/>
          <w:lang w:val="en-GB"/>
        </w:rPr>
        <w:t xml:space="preserve"> </w:t>
      </w:r>
      <w:r w:rsidR="003D6DB4" w:rsidRPr="5B7CE4FE">
        <w:rPr>
          <w:rFonts w:cs="Arial"/>
          <w:lang w:val="en-GB"/>
        </w:rPr>
        <w:t>(</w:t>
      </w:r>
      <w:proofErr w:type="spellStart"/>
      <w:r w:rsidR="003D6DB4" w:rsidRPr="5B7CE4FE">
        <w:rPr>
          <w:rFonts w:cs="Arial"/>
          <w:lang w:val="en-GB"/>
        </w:rPr>
        <w:t>Pittet</w:t>
      </w:r>
      <w:proofErr w:type="spellEnd"/>
      <w:r w:rsidR="003D6DB4" w:rsidRPr="5B7CE4FE">
        <w:rPr>
          <w:rFonts w:cs="Arial"/>
          <w:lang w:val="en-GB"/>
        </w:rPr>
        <w:t xml:space="preserve"> et al., 2017)</w:t>
      </w:r>
      <w:r w:rsidRPr="5B7CE4FE">
        <w:rPr>
          <w:rFonts w:cs="Arial"/>
          <w:lang w:val="en-GB"/>
        </w:rPr>
        <w:t xml:space="preserve">. </w:t>
      </w:r>
      <w:r w:rsidR="378479DF" w:rsidRPr="5B7CE4FE">
        <w:rPr>
          <w:rFonts w:cs="Arial"/>
          <w:lang w:val="en-GB"/>
        </w:rPr>
        <w:t xml:space="preserve">Keeping </w:t>
      </w:r>
      <w:r w:rsidR="027259B7" w:rsidRPr="5B7CE4FE">
        <w:rPr>
          <w:rFonts w:cs="Arial"/>
          <w:lang w:val="en-GB"/>
        </w:rPr>
        <w:t>worksurfaces</w:t>
      </w:r>
      <w:r w:rsidR="378479DF" w:rsidRPr="5B7CE4FE">
        <w:rPr>
          <w:rFonts w:cs="Arial"/>
          <w:lang w:val="en-GB"/>
        </w:rPr>
        <w:t xml:space="preserve"> clean </w:t>
      </w:r>
      <w:r w:rsidR="61C4CC4F" w:rsidRPr="5B7CE4FE">
        <w:rPr>
          <w:rFonts w:cs="Arial"/>
          <w:lang w:val="en-GB"/>
        </w:rPr>
        <w:t>and</w:t>
      </w:r>
      <w:r w:rsidR="378479DF" w:rsidRPr="5B7CE4FE">
        <w:rPr>
          <w:rFonts w:cs="Arial"/>
          <w:lang w:val="en-GB"/>
        </w:rPr>
        <w:t xml:space="preserve"> </w:t>
      </w:r>
      <w:r w:rsidR="378479DF" w:rsidRPr="5B7CE4FE">
        <w:rPr>
          <w:rFonts w:cs="Arial"/>
          <w:lang w:val="en-GB"/>
        </w:rPr>
        <w:lastRenderedPageBreak/>
        <w:t xml:space="preserve">keeping the </w:t>
      </w:r>
      <w:r w:rsidR="046D1968" w:rsidRPr="5B7CE4FE">
        <w:rPr>
          <w:rFonts w:cs="Arial"/>
          <w:lang w:val="en-GB"/>
        </w:rPr>
        <w:t>children's</w:t>
      </w:r>
      <w:r w:rsidR="378479DF" w:rsidRPr="5B7CE4FE">
        <w:rPr>
          <w:rFonts w:cs="Arial"/>
          <w:lang w:val="en-GB"/>
        </w:rPr>
        <w:t xml:space="preserve"> toys and areas clean.</w:t>
      </w:r>
      <w:r w:rsidR="2A050C6C" w:rsidRPr="5B7CE4FE">
        <w:rPr>
          <w:rFonts w:cs="Arial"/>
          <w:lang w:val="en-GB"/>
        </w:rPr>
        <w:t xml:space="preserve"> You need to take precautions that are put in place as per guidelines.</w:t>
      </w:r>
    </w:p>
    <w:p w14:paraId="01B8A7CA" w14:textId="66A7C128" w:rsidR="00014EC0" w:rsidRPr="00584770" w:rsidRDefault="00014EC0" w:rsidP="00ED33D6">
      <w:pPr>
        <w:spacing w:before="240"/>
        <w:rPr>
          <w:rFonts w:cs="Arial"/>
          <w:lang w:val="en-GB"/>
        </w:rPr>
      </w:pPr>
      <w:r w:rsidRPr="00584770">
        <w:rPr>
          <w:rFonts w:cs="Arial"/>
          <w:lang w:val="en-GB"/>
        </w:rPr>
        <w:t>Prompt treatment of infected individuals is also crucial in controlling the spread of rotavirus. Infected individuals are advised to stay home and avoid contact with others until they are no longer contagious. According to the UK Rotavirus Surveillance Network, the incidence of rotavirus in England and Wales decreased from an average of 42.6 cases per 100,000 population in the pre-vaccination period (2006-2013) to 7.7 cases per 100,000 population in the post-vaccination period 2013-2018</w:t>
      </w:r>
      <w:r w:rsidR="00EA3E5C" w:rsidRPr="00584770">
        <w:rPr>
          <w:rFonts w:cs="Arial"/>
          <w:lang w:val="en-GB"/>
        </w:rPr>
        <w:t xml:space="preserve"> </w:t>
      </w:r>
      <w:r w:rsidRPr="00584770">
        <w:rPr>
          <w:rFonts w:cs="Arial"/>
          <w:lang w:val="en-GB"/>
        </w:rPr>
        <w:t>(Public Health England, 2020).</w:t>
      </w:r>
    </w:p>
    <w:p w14:paraId="186B68AA" w14:textId="6A3C224E" w:rsidR="00CD69CE" w:rsidRPr="00584770" w:rsidRDefault="00014EC0" w:rsidP="00ED33D6">
      <w:pPr>
        <w:spacing w:before="240"/>
        <w:rPr>
          <w:rFonts w:cs="Arial"/>
          <w:lang w:val="en-GB"/>
        </w:rPr>
      </w:pPr>
      <w:r w:rsidRPr="14616E0C">
        <w:rPr>
          <w:rFonts w:cs="Arial"/>
          <w:lang w:val="en-GB"/>
        </w:rPr>
        <w:t xml:space="preserve">Overall, the strategies implemented in the UK to control rotavirus have been </w:t>
      </w:r>
      <w:r w:rsidR="3CC6376A" w:rsidRPr="14616E0C">
        <w:rPr>
          <w:rFonts w:cs="Arial"/>
          <w:lang w:val="en-GB"/>
        </w:rPr>
        <w:t>successful</w:t>
      </w:r>
      <w:r w:rsidRPr="14616E0C">
        <w:rPr>
          <w:rFonts w:cs="Arial"/>
          <w:lang w:val="en-GB"/>
        </w:rPr>
        <w:t xml:space="preserve">. Despite the success of the vaccination program, there is still a need to ensure that all infants receive the vaccine, particularly those from disadvantaged backgrounds who may have less access to healthcare. There is also a need to continue monitoring the vaccine's effectiveness and adapting vaccination </w:t>
      </w:r>
      <w:r w:rsidR="46141CF9" w:rsidRPr="14616E0C">
        <w:rPr>
          <w:rFonts w:cs="Arial"/>
          <w:lang w:val="en-GB"/>
        </w:rPr>
        <w:t>strategies,</w:t>
      </w:r>
      <w:r w:rsidRPr="14616E0C">
        <w:rPr>
          <w:rFonts w:cs="Arial"/>
          <w:lang w:val="en-GB"/>
        </w:rPr>
        <w:t xml:space="preserve"> as necessary.</w:t>
      </w:r>
    </w:p>
    <w:p w14:paraId="582CB01A" w14:textId="77777777" w:rsidR="0021622F" w:rsidRPr="00584770" w:rsidRDefault="0021622F" w:rsidP="00ED33D6">
      <w:pPr>
        <w:spacing w:before="240"/>
        <w:jc w:val="left"/>
        <w:rPr>
          <w:rFonts w:eastAsiaTheme="majorEastAsia" w:cstheme="majorBidi"/>
          <w:b/>
          <w:color w:val="002060"/>
          <w:sz w:val="32"/>
          <w:szCs w:val="32"/>
          <w:lang w:val="en-GB"/>
        </w:rPr>
      </w:pPr>
      <w:bookmarkStart w:id="4" w:name="_Toc128679562"/>
      <w:r w:rsidRPr="00584770">
        <w:rPr>
          <w:lang w:val="en-GB"/>
        </w:rPr>
        <w:br w:type="page"/>
      </w:r>
    </w:p>
    <w:p w14:paraId="6E25E844" w14:textId="7A0620FE" w:rsidR="006F74DA" w:rsidRPr="00584770" w:rsidRDefault="006F74DA" w:rsidP="00ED33D6">
      <w:pPr>
        <w:pStyle w:val="Heading1"/>
        <w:rPr>
          <w:lang w:val="en-GB"/>
        </w:rPr>
      </w:pPr>
      <w:r w:rsidRPr="00584770">
        <w:rPr>
          <w:lang w:val="en-GB"/>
        </w:rPr>
        <w:lastRenderedPageBreak/>
        <w:t>Conclusion</w:t>
      </w:r>
      <w:bookmarkEnd w:id="4"/>
    </w:p>
    <w:p w14:paraId="3F4C7B01" w14:textId="442278DB" w:rsidR="006F74DA" w:rsidRPr="00584770" w:rsidRDefault="006F74DA" w:rsidP="00ED33D6">
      <w:pPr>
        <w:spacing w:before="240"/>
        <w:rPr>
          <w:lang w:val="en-GB"/>
        </w:rPr>
      </w:pPr>
      <w:r w:rsidRPr="00584770">
        <w:rPr>
          <w:lang w:val="en-GB"/>
        </w:rPr>
        <w:t xml:space="preserve">In conclusion, measuring, monitoring, and controlling the incidence of rotavirus requires a range of approaches and strategies. </w:t>
      </w:r>
      <w:r w:rsidR="0019120F" w:rsidRPr="00584770">
        <w:rPr>
          <w:lang w:val="en-GB"/>
        </w:rPr>
        <w:t xml:space="preserve">Laboratory testing, syndromic surveillance, epidemiological studies, routine surveillance data, outbreak investigations, sentinel surveillance, the introduction of a rotavirus vaccine, public health campaigns, and infection control measures are just a few of the methods the UK has used to measure, monitor, and control the incidence of rotavirus. </w:t>
      </w:r>
      <w:r w:rsidRPr="00584770">
        <w:rPr>
          <w:lang w:val="en-GB"/>
        </w:rPr>
        <w:t>While these strategies have been effective in reducing the incidence of rotavirus, continued surveillance and evaluation are essential to ensure the ongoing effectiveness of these measures in controlling the disease.</w:t>
      </w:r>
      <w:r w:rsidR="004744D2" w:rsidRPr="00584770">
        <w:rPr>
          <w:lang w:val="en-GB"/>
        </w:rPr>
        <w:t xml:space="preserve"> Other strategies and techniques also need to be developed over time</w:t>
      </w:r>
      <w:r w:rsidR="003D6DB4" w:rsidRPr="00584770">
        <w:rPr>
          <w:lang w:val="en-GB"/>
        </w:rPr>
        <w:t xml:space="preserve"> (</w:t>
      </w:r>
      <w:proofErr w:type="spellStart"/>
      <w:r w:rsidR="003D6DB4" w:rsidRPr="00584770">
        <w:rPr>
          <w:lang w:val="en-GB"/>
        </w:rPr>
        <w:t>Vesikari</w:t>
      </w:r>
      <w:proofErr w:type="spellEnd"/>
      <w:r w:rsidR="003D6DB4" w:rsidRPr="00584770">
        <w:rPr>
          <w:lang w:val="en-GB"/>
        </w:rPr>
        <w:t>, 2019).</w:t>
      </w:r>
    </w:p>
    <w:p w14:paraId="7417AA67" w14:textId="77777777" w:rsidR="006F74DA" w:rsidRPr="00584770" w:rsidRDefault="006F74DA" w:rsidP="00ED33D6">
      <w:pPr>
        <w:spacing w:before="240"/>
        <w:jc w:val="left"/>
        <w:rPr>
          <w:rFonts w:cs="Arial"/>
          <w:b/>
          <w:bCs/>
          <w:sz w:val="32"/>
          <w:szCs w:val="32"/>
          <w:lang w:val="en-GB"/>
        </w:rPr>
      </w:pPr>
    </w:p>
    <w:p w14:paraId="4AF137D7" w14:textId="77777777" w:rsidR="006F74DA" w:rsidRPr="00584770" w:rsidRDefault="006F74DA" w:rsidP="00ED33D6">
      <w:pPr>
        <w:spacing w:before="240"/>
        <w:jc w:val="left"/>
        <w:rPr>
          <w:rFonts w:cs="Arial"/>
          <w:b/>
          <w:bCs/>
          <w:sz w:val="32"/>
          <w:szCs w:val="32"/>
          <w:lang w:val="en-GB"/>
        </w:rPr>
      </w:pPr>
    </w:p>
    <w:p w14:paraId="3FE4A21B" w14:textId="77777777" w:rsidR="000066CA" w:rsidRPr="00584770" w:rsidRDefault="000066CA" w:rsidP="00ED33D6">
      <w:pPr>
        <w:pStyle w:val="Heading1"/>
        <w:rPr>
          <w:lang w:val="en-GB"/>
        </w:rPr>
      </w:pPr>
    </w:p>
    <w:p w14:paraId="47B62C92" w14:textId="77777777" w:rsidR="00925844" w:rsidRPr="00584770" w:rsidRDefault="00925844" w:rsidP="00ED33D6">
      <w:pPr>
        <w:spacing w:before="240"/>
        <w:jc w:val="left"/>
        <w:rPr>
          <w:rFonts w:eastAsiaTheme="majorEastAsia" w:cstheme="majorBidi"/>
          <w:b/>
          <w:color w:val="002060"/>
          <w:sz w:val="32"/>
          <w:szCs w:val="32"/>
          <w:lang w:val="en-GB"/>
        </w:rPr>
      </w:pPr>
      <w:bookmarkStart w:id="5" w:name="_Toc128679563"/>
      <w:r w:rsidRPr="00584770">
        <w:rPr>
          <w:lang w:val="en-GB"/>
        </w:rPr>
        <w:br w:type="page"/>
      </w:r>
    </w:p>
    <w:p w14:paraId="2ADE1B0B" w14:textId="4295DC3A" w:rsidR="00ED33D6" w:rsidRPr="00584770" w:rsidRDefault="00014EC0" w:rsidP="00ED33D6">
      <w:pPr>
        <w:pStyle w:val="Heading1"/>
        <w:rPr>
          <w:lang w:val="en-GB"/>
        </w:rPr>
      </w:pPr>
      <w:r w:rsidRPr="00584770">
        <w:rPr>
          <w:lang w:val="en-GB"/>
        </w:rPr>
        <w:lastRenderedPageBreak/>
        <w:t>References</w:t>
      </w:r>
      <w:bookmarkEnd w:id="5"/>
    </w:p>
    <w:p w14:paraId="25C031C4" w14:textId="77777777" w:rsidR="00ED33D6" w:rsidRPr="00584770" w:rsidRDefault="00ED33D6" w:rsidP="00ED33D6">
      <w:pPr>
        <w:spacing w:before="240"/>
        <w:rPr>
          <w:lang w:val="en-GB"/>
        </w:rPr>
      </w:pPr>
      <w:proofErr w:type="spellStart"/>
      <w:r w:rsidRPr="00584770">
        <w:rPr>
          <w:lang w:val="en-GB"/>
        </w:rPr>
        <w:t>Aliabadi</w:t>
      </w:r>
      <w:proofErr w:type="spellEnd"/>
      <w:r w:rsidRPr="00584770">
        <w:rPr>
          <w:lang w:val="en-GB"/>
        </w:rPr>
        <w:t xml:space="preserve">, N. et al. (2019) Global impact of rotavirus vaccine introduction on rotavirus hospitalizations among children under 5 years of age, 2008–16: Findings from the Global Rotavirus Surveillance Network, The Lancet Global Health. Elsevier. Available at: </w:t>
      </w:r>
      <w:hyperlink r:id="rId9" w:history="1">
        <w:r w:rsidRPr="00584770">
          <w:rPr>
            <w:rStyle w:val="Hyperlink"/>
            <w:lang w:val="en-GB"/>
          </w:rPr>
          <w:t>https://www.thelancet.com/journals/langlo/article/PIIS2214-109X(19)30207-4/fulltext</w:t>
        </w:r>
      </w:hyperlink>
    </w:p>
    <w:p w14:paraId="5941EB97" w14:textId="77777777" w:rsidR="00ED33D6" w:rsidRPr="00584770" w:rsidRDefault="00ED33D6" w:rsidP="00ED33D6">
      <w:pPr>
        <w:spacing w:before="240"/>
        <w:rPr>
          <w:lang w:val="en-GB"/>
        </w:rPr>
      </w:pPr>
      <w:r w:rsidRPr="00584770">
        <w:rPr>
          <w:lang w:val="en-GB"/>
        </w:rPr>
        <w:t xml:space="preserve">BERGER., G. I. D. E. O. N. I. N. F. O. R. M. A. T. I. C. S. I. N. C. D. R. S. T. E. P. H. E. N. (2022). </w:t>
      </w:r>
      <w:r w:rsidRPr="00584770">
        <w:rPr>
          <w:i/>
          <w:iCs/>
          <w:lang w:val="en-GB"/>
        </w:rPr>
        <w:t>Rotavirus global status</w:t>
      </w:r>
      <w:r w:rsidRPr="00584770">
        <w:rPr>
          <w:lang w:val="en-GB"/>
        </w:rPr>
        <w:t xml:space="preserve">. GIDEON INFORMATICS, INC. </w:t>
      </w:r>
    </w:p>
    <w:p w14:paraId="50F7F352" w14:textId="77777777" w:rsidR="00ED33D6" w:rsidRPr="00584770" w:rsidRDefault="00ED33D6" w:rsidP="00ED33D6">
      <w:pPr>
        <w:spacing w:before="240"/>
        <w:rPr>
          <w:lang w:val="en-GB"/>
        </w:rPr>
      </w:pPr>
      <w:r w:rsidRPr="00584770">
        <w:rPr>
          <w:lang w:val="en-GB"/>
        </w:rPr>
        <w:t xml:space="preserve">England, P. H. (2019). </w:t>
      </w:r>
      <w:r w:rsidRPr="00584770">
        <w:rPr>
          <w:i/>
          <w:iCs/>
          <w:lang w:val="en-GB"/>
        </w:rPr>
        <w:t>Rotavirus: Guidance, data, and analysis</w:t>
      </w:r>
      <w:r w:rsidRPr="00584770">
        <w:rPr>
          <w:lang w:val="en-GB"/>
        </w:rPr>
        <w:t xml:space="preserve">. GOV.UK. </w:t>
      </w:r>
      <w:hyperlink r:id="rId10" w:history="1">
        <w:r w:rsidRPr="00584770">
          <w:rPr>
            <w:rStyle w:val="Hyperlink"/>
            <w:lang w:val="en-GB"/>
          </w:rPr>
          <w:t>https://www.gov.uk/government/collections/rotavirus-guidance-data-and-analysis</w:t>
        </w:r>
      </w:hyperlink>
      <w:r w:rsidRPr="00584770">
        <w:rPr>
          <w:lang w:val="en-GB"/>
        </w:rPr>
        <w:t xml:space="preserve"> </w:t>
      </w:r>
    </w:p>
    <w:p w14:paraId="533E671B" w14:textId="77777777" w:rsidR="00ED33D6" w:rsidRPr="00584770" w:rsidRDefault="00ED33D6" w:rsidP="00ED33D6">
      <w:pPr>
        <w:spacing w:before="240"/>
        <w:rPr>
          <w:lang w:val="en-GB"/>
        </w:rPr>
      </w:pPr>
      <w:r w:rsidRPr="00584770">
        <w:rPr>
          <w:lang w:val="en-GB"/>
        </w:rPr>
        <w:t xml:space="preserve">Gov.UK. (2021) </w:t>
      </w:r>
      <w:r w:rsidRPr="00584770">
        <w:rPr>
          <w:i/>
          <w:iCs/>
          <w:lang w:val="en-GB"/>
        </w:rPr>
        <w:t>Rotavirus immunisation programme for infants</w:t>
      </w:r>
      <w:r w:rsidRPr="00584770">
        <w:rPr>
          <w:lang w:val="en-GB"/>
        </w:rPr>
        <w:t xml:space="preserve">. Available at: </w:t>
      </w:r>
      <w:hyperlink r:id="rId11" w:history="1">
        <w:r w:rsidRPr="00584770">
          <w:rPr>
            <w:rStyle w:val="Hyperlink"/>
            <w:lang w:val="en-GB"/>
          </w:rPr>
          <w:t>https://www.gov.uk/government/collections/rotavirus-vaccination-progarmme-for-infants</w:t>
        </w:r>
      </w:hyperlink>
      <w:r w:rsidRPr="00584770">
        <w:rPr>
          <w:lang w:val="en-GB"/>
        </w:rPr>
        <w:t xml:space="preserve"> </w:t>
      </w:r>
    </w:p>
    <w:p w14:paraId="1C065A3E" w14:textId="77777777" w:rsidR="00ED33D6" w:rsidRPr="00584770" w:rsidRDefault="00ED33D6" w:rsidP="00ED33D6">
      <w:pPr>
        <w:spacing w:before="240"/>
        <w:rPr>
          <w:lang w:val="en-GB"/>
        </w:rPr>
      </w:pPr>
      <w:r w:rsidRPr="00584770">
        <w:rPr>
          <w:lang w:val="en-GB"/>
        </w:rPr>
        <w:t xml:space="preserve">Macfarlane, S.B. and </w:t>
      </w:r>
      <w:proofErr w:type="spellStart"/>
      <w:r w:rsidRPr="00584770">
        <w:rPr>
          <w:lang w:val="en-GB"/>
        </w:rPr>
        <w:t>Zahr</w:t>
      </w:r>
      <w:proofErr w:type="spellEnd"/>
      <w:r w:rsidRPr="00584770">
        <w:rPr>
          <w:lang w:val="en-GB"/>
        </w:rPr>
        <w:t xml:space="preserve">, A.C. (2019) </w:t>
      </w:r>
      <w:r w:rsidRPr="00584770">
        <w:rPr>
          <w:i/>
          <w:iCs/>
          <w:lang w:val="en-GB"/>
        </w:rPr>
        <w:t>The Palgrave Handbook of Global Health Data Methods for Policy and Practice</w:t>
      </w:r>
      <w:r w:rsidRPr="00584770">
        <w:rPr>
          <w:lang w:val="en-GB"/>
        </w:rPr>
        <w:t xml:space="preserve">. London, United Kingdom: Palgrave Macmillan. </w:t>
      </w:r>
    </w:p>
    <w:p w14:paraId="3AC0B16C" w14:textId="77777777" w:rsidR="00ED33D6" w:rsidRPr="00584770" w:rsidRDefault="00ED33D6" w:rsidP="00ED33D6">
      <w:pPr>
        <w:spacing w:before="240"/>
        <w:rPr>
          <w:lang w:val="en-GB"/>
        </w:rPr>
      </w:pPr>
      <w:r w:rsidRPr="00584770">
        <w:rPr>
          <w:lang w:val="en-GB"/>
        </w:rPr>
        <w:t xml:space="preserve">Marlow, R. (2018). Assessing the ongoing impact of rotavirus vaccination in the UK. </w:t>
      </w:r>
      <w:hyperlink r:id="rId12" w:history="1">
        <w:r w:rsidRPr="00584770">
          <w:rPr>
            <w:rStyle w:val="Hyperlink"/>
            <w:lang w:val="en-GB"/>
          </w:rPr>
          <w:t>https://doi.org/10.26226/morressier.5ad774e1d462b80296ca6e9e</w:t>
        </w:r>
      </w:hyperlink>
      <w:r w:rsidRPr="00584770">
        <w:rPr>
          <w:lang w:val="en-GB"/>
        </w:rPr>
        <w:t xml:space="preserve"> </w:t>
      </w:r>
    </w:p>
    <w:p w14:paraId="0D635F38" w14:textId="77777777" w:rsidR="00ED33D6" w:rsidRPr="00584770" w:rsidRDefault="00ED33D6" w:rsidP="00ED33D6">
      <w:pPr>
        <w:spacing w:before="240"/>
        <w:rPr>
          <w:lang w:val="en-GB"/>
        </w:rPr>
      </w:pPr>
      <w:proofErr w:type="spellStart"/>
      <w:r w:rsidRPr="00584770">
        <w:rPr>
          <w:lang w:val="en-GB"/>
        </w:rPr>
        <w:t>Pittet</w:t>
      </w:r>
      <w:proofErr w:type="spellEnd"/>
      <w:r w:rsidRPr="00584770">
        <w:rPr>
          <w:lang w:val="en-GB"/>
        </w:rPr>
        <w:t xml:space="preserve">, D., Boyce, J.M. and </w:t>
      </w:r>
      <w:proofErr w:type="spellStart"/>
      <w:r w:rsidRPr="00584770">
        <w:rPr>
          <w:lang w:val="en-GB"/>
        </w:rPr>
        <w:t>Allegranzi</w:t>
      </w:r>
      <w:proofErr w:type="spellEnd"/>
      <w:r w:rsidRPr="00584770">
        <w:rPr>
          <w:lang w:val="en-GB"/>
        </w:rPr>
        <w:t xml:space="preserve">, B. (2017) </w:t>
      </w:r>
      <w:r w:rsidRPr="00584770">
        <w:rPr>
          <w:i/>
          <w:iCs/>
          <w:lang w:val="en-GB"/>
        </w:rPr>
        <w:t>Hand hygiene: A handbook for medical professionals</w:t>
      </w:r>
      <w:r w:rsidRPr="00584770">
        <w:rPr>
          <w:lang w:val="en-GB"/>
        </w:rPr>
        <w:t xml:space="preserve">. Chichester, West Sussex, UK: John Wiley &amp; Sons, Ltd. </w:t>
      </w:r>
    </w:p>
    <w:p w14:paraId="384898CC" w14:textId="77777777" w:rsidR="00ED33D6" w:rsidRPr="00584770" w:rsidRDefault="00ED33D6" w:rsidP="00ED33D6">
      <w:pPr>
        <w:spacing w:before="240"/>
        <w:rPr>
          <w:lang w:val="en-GB"/>
        </w:rPr>
      </w:pPr>
      <w:r w:rsidRPr="00584770">
        <w:rPr>
          <w:lang w:val="en-GB"/>
        </w:rPr>
        <w:t xml:space="preserve">Public Health England. (2020). Rotavirus laboratory reports. </w:t>
      </w:r>
      <w:hyperlink r:id="rId13" w:history="1">
        <w:r w:rsidRPr="00584770">
          <w:rPr>
            <w:rStyle w:val="Hyperlink"/>
            <w:lang w:val="en-GB"/>
          </w:rPr>
          <w:t>https://www.gov.uk/government/statistics/rotavirus-laboratory-reports</w:t>
        </w:r>
      </w:hyperlink>
      <w:r w:rsidRPr="00584770">
        <w:rPr>
          <w:lang w:val="en-GB"/>
        </w:rPr>
        <w:t xml:space="preserve"> </w:t>
      </w:r>
    </w:p>
    <w:p w14:paraId="541A9F74" w14:textId="77777777" w:rsidR="00ED33D6" w:rsidRPr="00584770" w:rsidRDefault="00ED33D6" w:rsidP="00ED33D6">
      <w:pPr>
        <w:spacing w:before="240"/>
        <w:rPr>
          <w:lang w:val="en-GB"/>
        </w:rPr>
      </w:pPr>
      <w:proofErr w:type="spellStart"/>
      <w:r w:rsidRPr="00584770">
        <w:rPr>
          <w:lang w:val="en-GB"/>
        </w:rPr>
        <w:t>Vesikari</w:t>
      </w:r>
      <w:proofErr w:type="spellEnd"/>
      <w:r w:rsidRPr="00584770">
        <w:rPr>
          <w:lang w:val="en-GB"/>
        </w:rPr>
        <w:t xml:space="preserve">, T. (2019) “Rotavirus infections and their prevention by vaccination,” </w:t>
      </w:r>
      <w:r w:rsidRPr="00584770">
        <w:rPr>
          <w:i/>
          <w:iCs/>
          <w:lang w:val="en-GB"/>
        </w:rPr>
        <w:t>Antiviral Research</w:t>
      </w:r>
      <w:r w:rsidRPr="00584770">
        <w:rPr>
          <w:lang w:val="en-GB"/>
        </w:rPr>
        <w:t xml:space="preserve">, 5, pp. 293–300. Available at: </w:t>
      </w:r>
      <w:hyperlink r:id="rId14" w:history="1">
        <w:r w:rsidRPr="00584770">
          <w:rPr>
            <w:rStyle w:val="Hyperlink"/>
            <w:lang w:val="en-GB"/>
          </w:rPr>
          <w:t>https://doi.org/10.1016/s0166-3542(85)80041-3</w:t>
        </w:r>
      </w:hyperlink>
      <w:r w:rsidRPr="00584770">
        <w:rPr>
          <w:lang w:val="en-GB"/>
        </w:rPr>
        <w:t xml:space="preserve">. </w:t>
      </w:r>
    </w:p>
    <w:p w14:paraId="1C63FAB6" w14:textId="77777777" w:rsidR="00ED33D6" w:rsidRPr="00584770" w:rsidRDefault="00ED33D6" w:rsidP="00ED33D6">
      <w:pPr>
        <w:spacing w:before="240"/>
        <w:rPr>
          <w:lang w:val="en-GB"/>
        </w:rPr>
      </w:pPr>
      <w:r w:rsidRPr="00584770">
        <w:rPr>
          <w:lang w:val="en-GB"/>
        </w:rPr>
        <w:t xml:space="preserve">Yuan, L., and Wen, K. (2017). Rotavirus. </w:t>
      </w:r>
      <w:r w:rsidRPr="00584770">
        <w:rPr>
          <w:i/>
          <w:iCs/>
          <w:lang w:val="en-GB"/>
        </w:rPr>
        <w:t>Laboratory Models for Foodborne Infections</w:t>
      </w:r>
      <w:r w:rsidRPr="00584770">
        <w:rPr>
          <w:lang w:val="en-GB"/>
        </w:rPr>
        <w:t xml:space="preserve">, 95–116. </w:t>
      </w:r>
      <w:hyperlink r:id="rId15" w:history="1">
        <w:r w:rsidRPr="00584770">
          <w:rPr>
            <w:rStyle w:val="Hyperlink"/>
            <w:lang w:val="en-GB"/>
          </w:rPr>
          <w:t>https://doi.org/10.1201/9781315120089-6</w:t>
        </w:r>
      </w:hyperlink>
      <w:r w:rsidRPr="00584770">
        <w:rPr>
          <w:lang w:val="en-GB"/>
        </w:rPr>
        <w:t xml:space="preserve"> </w:t>
      </w:r>
    </w:p>
    <w:sectPr w:rsidR="00ED33D6" w:rsidRPr="00584770" w:rsidSect="005A6F79">
      <w:footerReference w:type="default" r:id="rId16"/>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F56EF" w14:textId="77777777" w:rsidR="00D0424C" w:rsidRDefault="00D0424C" w:rsidP="00EA3E5C">
      <w:pPr>
        <w:spacing w:after="0" w:line="240" w:lineRule="auto"/>
      </w:pPr>
      <w:r>
        <w:separator/>
      </w:r>
    </w:p>
  </w:endnote>
  <w:endnote w:type="continuationSeparator" w:id="0">
    <w:p w14:paraId="47BABADC" w14:textId="77777777" w:rsidR="00D0424C" w:rsidRDefault="00D0424C" w:rsidP="00EA3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8585613"/>
      <w:docPartObj>
        <w:docPartGallery w:val="Page Numbers (Bottom of Page)"/>
        <w:docPartUnique/>
      </w:docPartObj>
    </w:sdtPr>
    <w:sdtEndPr>
      <w:rPr>
        <w:noProof/>
      </w:rPr>
    </w:sdtEndPr>
    <w:sdtContent>
      <w:p w14:paraId="31527641" w14:textId="4A6F2AEE" w:rsidR="00EA3E5C" w:rsidRDefault="00EA3E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E8DE64" w14:textId="77777777" w:rsidR="00EA3E5C" w:rsidRDefault="00EA3E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97D74" w14:textId="77777777" w:rsidR="00D0424C" w:rsidRDefault="00D0424C" w:rsidP="00EA3E5C">
      <w:pPr>
        <w:spacing w:after="0" w:line="240" w:lineRule="auto"/>
      </w:pPr>
      <w:r>
        <w:separator/>
      </w:r>
    </w:p>
  </w:footnote>
  <w:footnote w:type="continuationSeparator" w:id="0">
    <w:p w14:paraId="3CBEF96E" w14:textId="77777777" w:rsidR="00D0424C" w:rsidRDefault="00D0424C" w:rsidP="00EA3E5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IP86m+IBVFo8r+" int2:id="uMh3oiZu">
      <int2:state int2:value="Rejected" int2:type="AugLoop_Text_Critique"/>
    </int2:textHash>
    <int2:textHash int2:hashCode="qtleRQEtFwV4nC" int2:id="wKQRRN2h">
      <int2:state int2:value="Rejected" int2:type="AugLoop_Text_Critique"/>
    </int2:textHash>
    <int2:entireDocument int2:id="wcNLrUfd">
      <int2:extLst>
        <oel:ext uri="E302BA01-7950-474C-9AD3-286E660C40A8">
          <int2:similaritySummary int2:version="1" int2:runId="1677855845877" int2:tilesCheckedInThisRun="39" int2:totalNumOfTiles="39" int2:similarityAnnotationCount="0" int2:numWords="1336"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54C2CE79-6558E687 21B519E5-77777777 10B49AF6-5077DF0F 6EF9D15B-77777777 4B2DC5D5-77777777 083DF006-77777777 4BD82B6D-400E862B 50FCB0F1-77777777 2E966A5C-5B7B1872 1C65C321-06FB8A2E 7AF0BB3B-004BD34E 77F5F707-3212C161 14917571-2B53234E 2F7E241B-153BDF33 34EE74A1-3AFD1ACE 1AFA3445-0BB3EFF8 15E84D55-5ED355FB 11AB2D00-77777777 338E8D03-1589B437 31F96637-728CC5FC 47D3109D-744425AF 07313F90-0F72F768 076039B4-048BE21E 11925F52-3C6EAA1E 375F97B8-0C314E7C 7EC48540-5A9CAF01 77253366-77777777 3637AF59-77777777 15E45DAF-77777777 6E50A01F-77777777 0FB5D789-77777777 659C0757-77777777 7D203A5E-77777777 63A5F13B-77777777 1F6668F9-77777777 61BF45C8-1A9741EB 13D2DF27-19E7CD69 1BC7A4E6-18899E2A 099D648A-1A1C3109 2D388DC2-3B22E3F3 670D1330-77777777 56FCFA11-78216A1E 481D062C-42124221 12132DED-766B6B25 7C7049FE-6E981876 734AAAC2-297A55E3 6BC3B9F6-7F560253 77745B19-7D1540FD 01B8A7CA-66A7C128 186B68AA-6A3C224E 582CB01A-77777777 6E25E844-7A0620FE 3F4C7B01-442278DB 7417AA67-77777777 4AF137D7-77777777 3FE4A21B-77777777 47B62C92-77777777 2ADE1B0B-4295DC3A 25C031C4-77777777 5941EB97-77777777 50F7F352-77777777 533E671B-77777777 1C065A3E-77777777 3AC0B16C-77777777 0D635F38-77777777 384898CC-77777777 541A9F74-77777777 1C63FAB6-77777777 31527641-4A6F2AEE 59E8DE64-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D6930"/>
    <w:multiLevelType w:val="hybridMultilevel"/>
    <w:tmpl w:val="24D0A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F25BB9"/>
    <w:multiLevelType w:val="hybridMultilevel"/>
    <w:tmpl w:val="1DAA7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4479552">
    <w:abstractNumId w:val="0"/>
  </w:num>
  <w:num w:numId="2" w16cid:durableId="716976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AgJLcyMTY3MLIxNTEyUdpeDU4uLM/DyQAsNaALZexJUsAAAA"/>
  </w:docVars>
  <w:rsids>
    <w:rsidRoot w:val="006F74DA"/>
    <w:rsid w:val="000066CA"/>
    <w:rsid w:val="00014EC0"/>
    <w:rsid w:val="00026A5F"/>
    <w:rsid w:val="00142DF0"/>
    <w:rsid w:val="0019120F"/>
    <w:rsid w:val="001C573D"/>
    <w:rsid w:val="0021622F"/>
    <w:rsid w:val="00274B7E"/>
    <w:rsid w:val="00277C6B"/>
    <w:rsid w:val="002F128D"/>
    <w:rsid w:val="003012D6"/>
    <w:rsid w:val="003241A1"/>
    <w:rsid w:val="00326891"/>
    <w:rsid w:val="003D6DB4"/>
    <w:rsid w:val="0040FC70"/>
    <w:rsid w:val="00425D35"/>
    <w:rsid w:val="004479B8"/>
    <w:rsid w:val="004744D2"/>
    <w:rsid w:val="00584770"/>
    <w:rsid w:val="0059320F"/>
    <w:rsid w:val="005A6F79"/>
    <w:rsid w:val="005C5CBA"/>
    <w:rsid w:val="006A70A1"/>
    <w:rsid w:val="006C2BDE"/>
    <w:rsid w:val="006F74DA"/>
    <w:rsid w:val="0074296F"/>
    <w:rsid w:val="007F1174"/>
    <w:rsid w:val="00830A34"/>
    <w:rsid w:val="008421C0"/>
    <w:rsid w:val="008F3869"/>
    <w:rsid w:val="00925844"/>
    <w:rsid w:val="009D2B80"/>
    <w:rsid w:val="00A47930"/>
    <w:rsid w:val="00B777A7"/>
    <w:rsid w:val="00CD69CE"/>
    <w:rsid w:val="00CF7D14"/>
    <w:rsid w:val="00D0424C"/>
    <w:rsid w:val="00D06442"/>
    <w:rsid w:val="00D74260"/>
    <w:rsid w:val="00EA3E5C"/>
    <w:rsid w:val="00ED33D6"/>
    <w:rsid w:val="0210106A"/>
    <w:rsid w:val="027259B7"/>
    <w:rsid w:val="031FD459"/>
    <w:rsid w:val="046D1968"/>
    <w:rsid w:val="04BBA4BA"/>
    <w:rsid w:val="04D1DBBB"/>
    <w:rsid w:val="05146D93"/>
    <w:rsid w:val="0EBB4FD9"/>
    <w:rsid w:val="1104085D"/>
    <w:rsid w:val="14616E0C"/>
    <w:rsid w:val="1748337B"/>
    <w:rsid w:val="1F534560"/>
    <w:rsid w:val="20EF15C1"/>
    <w:rsid w:val="228AE622"/>
    <w:rsid w:val="24083C34"/>
    <w:rsid w:val="279DF7C1"/>
    <w:rsid w:val="2A050C6C"/>
    <w:rsid w:val="2A6ED298"/>
    <w:rsid w:val="2B68FDC2"/>
    <w:rsid w:val="2C7168E4"/>
    <w:rsid w:val="2FB48737"/>
    <w:rsid w:val="3144DA07"/>
    <w:rsid w:val="31DFD421"/>
    <w:rsid w:val="3305EE30"/>
    <w:rsid w:val="3553B316"/>
    <w:rsid w:val="377F7761"/>
    <w:rsid w:val="378479DF"/>
    <w:rsid w:val="39C607E0"/>
    <w:rsid w:val="3CC6376A"/>
    <w:rsid w:val="3EBE5729"/>
    <w:rsid w:val="401D13BE"/>
    <w:rsid w:val="4399B5D2"/>
    <w:rsid w:val="45AFF4C5"/>
    <w:rsid w:val="46141CF9"/>
    <w:rsid w:val="4683AA22"/>
    <w:rsid w:val="50B7D956"/>
    <w:rsid w:val="51852A8C"/>
    <w:rsid w:val="51A3AEC3"/>
    <w:rsid w:val="521B9781"/>
    <w:rsid w:val="52E05483"/>
    <w:rsid w:val="53B767E2"/>
    <w:rsid w:val="554BA9FD"/>
    <w:rsid w:val="5B7CE4FE"/>
    <w:rsid w:val="5B8BB474"/>
    <w:rsid w:val="5BFA8BFD"/>
    <w:rsid w:val="5D3D9385"/>
    <w:rsid w:val="6168F73A"/>
    <w:rsid w:val="61C4CC4F"/>
    <w:rsid w:val="65714993"/>
    <w:rsid w:val="6A5D662E"/>
    <w:rsid w:val="6CEB4A5D"/>
    <w:rsid w:val="6F7A4E2D"/>
    <w:rsid w:val="704AD543"/>
    <w:rsid w:val="76922CA3"/>
    <w:rsid w:val="7B0CD4ED"/>
    <w:rsid w:val="7D095BAD"/>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A0AFC"/>
  <w15:chartTrackingRefBased/>
  <w15:docId w15:val="{A4976D6B-F0A1-4BB4-895E-92F6FD3D3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A34"/>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014EC0"/>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3241A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3241A1"/>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41A1"/>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uiPriority w:val="9"/>
    <w:rsid w:val="00014EC0"/>
    <w:rPr>
      <w:rFonts w:ascii="Arial" w:eastAsiaTheme="majorEastAsia" w:hAnsi="Arial" w:cstheme="majorBidi"/>
      <w:b/>
      <w:color w:val="002060"/>
      <w:sz w:val="32"/>
      <w:szCs w:val="32"/>
    </w:rPr>
  </w:style>
  <w:style w:type="character" w:customStyle="1" w:styleId="Heading3Char">
    <w:name w:val="Heading 3 Char"/>
    <w:basedOn w:val="DefaultParagraphFont"/>
    <w:link w:val="Heading3"/>
    <w:uiPriority w:val="9"/>
    <w:rsid w:val="003241A1"/>
    <w:rPr>
      <w:rFonts w:ascii="Times New Roman" w:eastAsiaTheme="majorEastAsia" w:hAnsi="Times New Roman" w:cstheme="majorBidi"/>
      <w:b/>
      <w:color w:val="000000" w:themeColor="text1"/>
      <w:sz w:val="26"/>
      <w:szCs w:val="24"/>
    </w:rPr>
  </w:style>
  <w:style w:type="character" w:styleId="Hyperlink">
    <w:name w:val="Hyperlink"/>
    <w:basedOn w:val="DefaultParagraphFont"/>
    <w:uiPriority w:val="99"/>
    <w:unhideWhenUsed/>
    <w:rsid w:val="008421C0"/>
    <w:rPr>
      <w:color w:val="0563C1" w:themeColor="hyperlink"/>
      <w:u w:val="single"/>
    </w:rPr>
  </w:style>
  <w:style w:type="character" w:styleId="UnresolvedMention">
    <w:name w:val="Unresolved Mention"/>
    <w:basedOn w:val="DefaultParagraphFont"/>
    <w:uiPriority w:val="99"/>
    <w:semiHidden/>
    <w:unhideWhenUsed/>
    <w:rsid w:val="008421C0"/>
    <w:rPr>
      <w:color w:val="605E5C"/>
      <w:shd w:val="clear" w:color="auto" w:fill="E1DFDD"/>
    </w:rPr>
  </w:style>
  <w:style w:type="paragraph" w:styleId="ListParagraph">
    <w:name w:val="List Paragraph"/>
    <w:basedOn w:val="Normal"/>
    <w:uiPriority w:val="34"/>
    <w:qFormat/>
    <w:rsid w:val="00EA3E5C"/>
    <w:pPr>
      <w:ind w:left="720"/>
      <w:contextualSpacing/>
    </w:pPr>
  </w:style>
  <w:style w:type="paragraph" w:styleId="TOCHeading">
    <w:name w:val="TOC Heading"/>
    <w:basedOn w:val="Heading1"/>
    <w:next w:val="Normal"/>
    <w:uiPriority w:val="39"/>
    <w:unhideWhenUsed/>
    <w:qFormat/>
    <w:rsid w:val="00EA3E5C"/>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A3E5C"/>
    <w:pPr>
      <w:spacing w:after="100"/>
    </w:pPr>
  </w:style>
  <w:style w:type="paragraph" w:styleId="Header">
    <w:name w:val="header"/>
    <w:basedOn w:val="Normal"/>
    <w:link w:val="HeaderChar"/>
    <w:uiPriority w:val="99"/>
    <w:unhideWhenUsed/>
    <w:rsid w:val="00EA3E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E5C"/>
    <w:rPr>
      <w:rFonts w:ascii="Arial" w:hAnsi="Arial"/>
      <w:color w:val="000000" w:themeColor="text1"/>
    </w:rPr>
  </w:style>
  <w:style w:type="paragraph" w:styleId="Footer">
    <w:name w:val="footer"/>
    <w:basedOn w:val="Normal"/>
    <w:link w:val="FooterChar"/>
    <w:uiPriority w:val="99"/>
    <w:unhideWhenUsed/>
    <w:rsid w:val="00EA3E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E5C"/>
    <w:rPr>
      <w:rFonts w:ascii="Arial"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943478">
      <w:bodyDiv w:val="1"/>
      <w:marLeft w:val="0"/>
      <w:marRight w:val="0"/>
      <w:marTop w:val="0"/>
      <w:marBottom w:val="0"/>
      <w:divBdr>
        <w:top w:val="none" w:sz="0" w:space="0" w:color="auto"/>
        <w:left w:val="none" w:sz="0" w:space="0" w:color="auto"/>
        <w:bottom w:val="none" w:sz="0" w:space="0" w:color="auto"/>
        <w:right w:val="none" w:sz="0" w:space="0" w:color="auto"/>
      </w:divBdr>
    </w:div>
    <w:div w:id="436411158">
      <w:bodyDiv w:val="1"/>
      <w:marLeft w:val="0"/>
      <w:marRight w:val="0"/>
      <w:marTop w:val="0"/>
      <w:marBottom w:val="0"/>
      <w:divBdr>
        <w:top w:val="none" w:sz="0" w:space="0" w:color="auto"/>
        <w:left w:val="none" w:sz="0" w:space="0" w:color="auto"/>
        <w:bottom w:val="none" w:sz="0" w:space="0" w:color="auto"/>
        <w:right w:val="none" w:sz="0" w:space="0" w:color="auto"/>
      </w:divBdr>
    </w:div>
    <w:div w:id="490367829">
      <w:bodyDiv w:val="1"/>
      <w:marLeft w:val="0"/>
      <w:marRight w:val="0"/>
      <w:marTop w:val="0"/>
      <w:marBottom w:val="0"/>
      <w:divBdr>
        <w:top w:val="none" w:sz="0" w:space="0" w:color="auto"/>
        <w:left w:val="none" w:sz="0" w:space="0" w:color="auto"/>
        <w:bottom w:val="none" w:sz="0" w:space="0" w:color="auto"/>
        <w:right w:val="none" w:sz="0" w:space="0" w:color="auto"/>
      </w:divBdr>
    </w:div>
    <w:div w:id="575214852">
      <w:bodyDiv w:val="1"/>
      <w:marLeft w:val="0"/>
      <w:marRight w:val="0"/>
      <w:marTop w:val="0"/>
      <w:marBottom w:val="0"/>
      <w:divBdr>
        <w:top w:val="none" w:sz="0" w:space="0" w:color="auto"/>
        <w:left w:val="none" w:sz="0" w:space="0" w:color="auto"/>
        <w:bottom w:val="none" w:sz="0" w:space="0" w:color="auto"/>
        <w:right w:val="none" w:sz="0" w:space="0" w:color="auto"/>
      </w:divBdr>
    </w:div>
    <w:div w:id="1060981411">
      <w:bodyDiv w:val="1"/>
      <w:marLeft w:val="0"/>
      <w:marRight w:val="0"/>
      <w:marTop w:val="0"/>
      <w:marBottom w:val="0"/>
      <w:divBdr>
        <w:top w:val="none" w:sz="0" w:space="0" w:color="auto"/>
        <w:left w:val="none" w:sz="0" w:space="0" w:color="auto"/>
        <w:bottom w:val="none" w:sz="0" w:space="0" w:color="auto"/>
        <w:right w:val="none" w:sz="0" w:space="0" w:color="auto"/>
      </w:divBdr>
    </w:div>
    <w:div w:id="1236280224">
      <w:bodyDiv w:val="1"/>
      <w:marLeft w:val="0"/>
      <w:marRight w:val="0"/>
      <w:marTop w:val="0"/>
      <w:marBottom w:val="0"/>
      <w:divBdr>
        <w:top w:val="none" w:sz="0" w:space="0" w:color="auto"/>
        <w:left w:val="none" w:sz="0" w:space="0" w:color="auto"/>
        <w:bottom w:val="none" w:sz="0" w:space="0" w:color="auto"/>
        <w:right w:val="none" w:sz="0" w:space="0" w:color="auto"/>
      </w:divBdr>
    </w:div>
    <w:div w:id="1387951031">
      <w:bodyDiv w:val="1"/>
      <w:marLeft w:val="0"/>
      <w:marRight w:val="0"/>
      <w:marTop w:val="0"/>
      <w:marBottom w:val="0"/>
      <w:divBdr>
        <w:top w:val="none" w:sz="0" w:space="0" w:color="auto"/>
        <w:left w:val="none" w:sz="0" w:space="0" w:color="auto"/>
        <w:bottom w:val="none" w:sz="0" w:space="0" w:color="auto"/>
        <w:right w:val="none" w:sz="0" w:space="0" w:color="auto"/>
      </w:divBdr>
    </w:div>
    <w:div w:id="1795052286">
      <w:bodyDiv w:val="1"/>
      <w:marLeft w:val="0"/>
      <w:marRight w:val="0"/>
      <w:marTop w:val="0"/>
      <w:marBottom w:val="0"/>
      <w:divBdr>
        <w:top w:val="none" w:sz="0" w:space="0" w:color="auto"/>
        <w:left w:val="none" w:sz="0" w:space="0" w:color="auto"/>
        <w:bottom w:val="none" w:sz="0" w:space="0" w:color="auto"/>
        <w:right w:val="none" w:sz="0" w:space="0" w:color="auto"/>
      </w:divBdr>
    </w:div>
    <w:div w:id="1987664970">
      <w:bodyDiv w:val="1"/>
      <w:marLeft w:val="0"/>
      <w:marRight w:val="0"/>
      <w:marTop w:val="0"/>
      <w:marBottom w:val="0"/>
      <w:divBdr>
        <w:top w:val="none" w:sz="0" w:space="0" w:color="auto"/>
        <w:left w:val="none" w:sz="0" w:space="0" w:color="auto"/>
        <w:bottom w:val="none" w:sz="0" w:space="0" w:color="auto"/>
        <w:right w:val="none" w:sz="0" w:space="0" w:color="auto"/>
      </w:divBdr>
    </w:div>
    <w:div w:id="199891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statistics/rotavirus-laboratory-report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6226/morressier.5ad774e1d462b80296ca6e9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collections/rotavirus-vaccination-progarmme-for-infants" TargetMode="External"/><Relationship Id="rId5" Type="http://schemas.openxmlformats.org/officeDocument/2006/relationships/webSettings" Target="webSettings.xml"/><Relationship Id="rId15" Type="http://schemas.openxmlformats.org/officeDocument/2006/relationships/hyperlink" Target="https://doi.org/10.1201/9781315120089-6" TargetMode="External"/><Relationship Id="rId10" Type="http://schemas.openxmlformats.org/officeDocument/2006/relationships/hyperlink" Target="https://www.gov.uk/government/collections/rotavirus-guidance-data-and-analysis"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www.thelancet.com/journals/langlo/article/PIIS2214-109X(19)30207-4/fulltext" TargetMode="External"/><Relationship Id="rId14" Type="http://schemas.openxmlformats.org/officeDocument/2006/relationships/hyperlink" Target="https://doi.org/10.1016/s0166-3542(85)8004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EED0B-01A2-4ED3-8BD6-4D80011EA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1624</Words>
  <Characters>9257</Characters>
  <Application>Microsoft Office Word</Application>
  <DocSecurity>0</DocSecurity>
  <Lines>77</Lines>
  <Paragraphs>21</Paragraphs>
  <ScaleCrop>false</ScaleCrop>
  <Company/>
  <LinksUpToDate>false</LinksUpToDate>
  <CharactersWithSpaces>10860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Samira Parveen</dc:creator>
  <cp:keywords/>
  <dc:description/>
  <cp:lastModifiedBy>Samira Parveen</cp:lastModifiedBy>
  <cp:revision>2</cp:revision>
  <dcterms:created xsi:type="dcterms:W3CDTF">2023-03-05T13:37:00Z</dcterms:created>
  <dcterms:modified xsi:type="dcterms:W3CDTF">2023-03-05T13:37:00Z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cd8c8519-72ec-4466-9e3a-97adc1249702</vt:lpwstr>
  </property>
</Properties>
</file>