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2046" w:rsidRPr="007202BC" w:rsidRDefault="000E2046" w:rsidP="000E2046">
      <w:pPr>
        <w:rPr>
          <w:rFonts w:cs="Arial"/>
          <w:color w:val="58595B"/>
          <w:sz w:val="36"/>
          <w:szCs w:val="36"/>
        </w:rPr>
      </w:pPr>
      <w:r w:rsidRPr="007202BC">
        <w:rPr>
          <w:rFonts w:cs="Arial"/>
          <w:color w:val="58595B"/>
          <w:sz w:val="36"/>
          <w:szCs w:val="36"/>
        </w:rPr>
        <w:t>Qualification: CIPD Diploma in Applied Human Resources</w:t>
      </w:r>
    </w:p>
    <w:p w:rsidR="000E2046" w:rsidRPr="007202BC" w:rsidRDefault="000E2046" w:rsidP="000E2046">
      <w:pPr>
        <w:rPr>
          <w:rFonts w:cs="Arial"/>
          <w:color w:val="58595B"/>
          <w:sz w:val="36"/>
          <w:szCs w:val="36"/>
        </w:rPr>
      </w:pPr>
    </w:p>
    <w:p w:rsidR="000E2046" w:rsidRPr="007202BC" w:rsidRDefault="000E2046" w:rsidP="000E2046">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Pr>
          <w:rFonts w:cs="Arial"/>
          <w:color w:val="58595B"/>
          <w:sz w:val="36"/>
          <w:szCs w:val="36"/>
        </w:rPr>
        <w:t>Understanding Employment Law</w:t>
      </w:r>
    </w:p>
    <w:p w:rsidR="000E2046" w:rsidRPr="007202BC" w:rsidRDefault="000E2046" w:rsidP="000E2046">
      <w:pPr>
        <w:rPr>
          <w:rFonts w:cs="Arial"/>
          <w:color w:val="58595B"/>
          <w:sz w:val="36"/>
          <w:szCs w:val="36"/>
        </w:rPr>
      </w:pPr>
    </w:p>
    <w:p w:rsidR="000E2046" w:rsidRDefault="000E2046" w:rsidP="000E2046">
      <w:pPr>
        <w:rPr>
          <w:rFonts w:cs="Arial"/>
          <w:color w:val="58595B"/>
          <w:sz w:val="36"/>
          <w:szCs w:val="36"/>
        </w:rPr>
      </w:pPr>
      <w:r>
        <w:rPr>
          <w:rFonts w:cs="Arial"/>
          <w:color w:val="58595B"/>
          <w:sz w:val="36"/>
          <w:szCs w:val="36"/>
        </w:rPr>
        <w:t>Activity 1-6</w:t>
      </w:r>
    </w:p>
    <w:p w:rsidR="000E2046" w:rsidRDefault="000E2046" w:rsidP="000E2046">
      <w:pPr>
        <w:rPr>
          <w:rFonts w:cs="Arial"/>
          <w:color w:val="58595B"/>
          <w:sz w:val="36"/>
          <w:szCs w:val="36"/>
        </w:rPr>
      </w:pPr>
    </w:p>
    <w:p w:rsidR="000E2046" w:rsidRPr="007202BC" w:rsidRDefault="000E2046" w:rsidP="000E2046">
      <w:pPr>
        <w:rPr>
          <w:rFonts w:cs="Arial"/>
          <w:color w:val="58595B"/>
          <w:sz w:val="36"/>
          <w:szCs w:val="36"/>
        </w:rPr>
      </w:pPr>
      <w:r>
        <w:rPr>
          <w:rFonts w:cs="Arial"/>
          <w:color w:val="58595B"/>
          <w:sz w:val="36"/>
          <w:szCs w:val="36"/>
        </w:rPr>
        <w:t>Word Count: 3038</w:t>
      </w:r>
    </w:p>
    <w:p w:rsidR="000E2046" w:rsidRDefault="000E2046" w:rsidP="000E2046">
      <w:pPr>
        <w:rPr>
          <w:rFonts w:cs="Arial"/>
          <w:color w:val="58595B"/>
          <w:sz w:val="36"/>
          <w:szCs w:val="36"/>
        </w:rPr>
      </w:pPr>
    </w:p>
    <w:p w:rsidR="000E2046" w:rsidRPr="007202BC" w:rsidRDefault="000E2046" w:rsidP="000E2046">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Richard Drummond</w:t>
      </w:r>
    </w:p>
    <w:p w:rsidR="000E2046" w:rsidRPr="007202BC" w:rsidRDefault="000E2046" w:rsidP="000E2046">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1810221</w:t>
      </w:r>
    </w:p>
    <w:p w:rsidR="000E2046" w:rsidRPr="007202BC" w:rsidRDefault="000E2046" w:rsidP="000E2046">
      <w:pPr>
        <w:rPr>
          <w:rFonts w:cs="Arial"/>
          <w:color w:val="58595B"/>
          <w:sz w:val="36"/>
          <w:szCs w:val="36"/>
        </w:rPr>
      </w:pPr>
      <w:r w:rsidRPr="007202BC">
        <w:rPr>
          <w:rFonts w:cs="Arial"/>
          <w:color w:val="58595B"/>
          <w:sz w:val="36"/>
          <w:szCs w:val="36"/>
        </w:rPr>
        <w:t>CIPD Membership Number:</w:t>
      </w:r>
      <w:r>
        <w:rPr>
          <w:rFonts w:cs="Arial"/>
          <w:color w:val="58595B"/>
          <w:sz w:val="36"/>
          <w:szCs w:val="36"/>
        </w:rPr>
        <w:t>47529129</w:t>
      </w:r>
    </w:p>
    <w:p w:rsidR="000E2046" w:rsidRPr="007202BC" w:rsidRDefault="000E2046" w:rsidP="000E2046">
      <w:pPr>
        <w:rPr>
          <w:rFonts w:cs="Arial"/>
          <w:color w:val="58595B"/>
          <w:sz w:val="36"/>
          <w:szCs w:val="36"/>
        </w:rPr>
      </w:pPr>
    </w:p>
    <w:p w:rsidR="000E2046" w:rsidRPr="007202BC" w:rsidRDefault="000E2046" w:rsidP="000E2046">
      <w:pPr>
        <w:rPr>
          <w:rFonts w:cs="Arial"/>
          <w:color w:val="58595B"/>
          <w:sz w:val="36"/>
          <w:szCs w:val="36"/>
        </w:rPr>
      </w:pPr>
    </w:p>
    <w:p w:rsidR="000E2046" w:rsidRPr="007202BC" w:rsidRDefault="000E2046" w:rsidP="000E2046">
      <w:pPr>
        <w:rPr>
          <w:rFonts w:cs="Arial"/>
          <w:color w:val="58595B"/>
          <w:sz w:val="36"/>
          <w:szCs w:val="36"/>
        </w:rPr>
      </w:pPr>
    </w:p>
    <w:p w:rsidR="000E2046" w:rsidRPr="007202BC" w:rsidRDefault="000E2046" w:rsidP="000E2046">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0E2046" w:rsidRPr="007202BC" w:rsidRDefault="000E2046" w:rsidP="000E2046">
      <w:pPr>
        <w:rPr>
          <w:rFonts w:cs="Arial"/>
          <w:color w:val="58595B"/>
          <w:sz w:val="36"/>
          <w:szCs w:val="36"/>
        </w:rPr>
      </w:pPr>
    </w:p>
    <w:p w:rsidR="000E2046" w:rsidRPr="007202BC" w:rsidRDefault="000E2046" w:rsidP="000E2046">
      <w:pPr>
        <w:rPr>
          <w:rFonts w:cs="Arial"/>
          <w:color w:val="58595B"/>
          <w:sz w:val="36"/>
          <w:szCs w:val="36"/>
        </w:rPr>
      </w:pPr>
      <w:r w:rsidRPr="007202BC">
        <w:rPr>
          <w:rFonts w:cs="Arial"/>
          <w:color w:val="58595B"/>
          <w:sz w:val="36"/>
          <w:szCs w:val="36"/>
        </w:rPr>
        <w:t xml:space="preserve">Signed: </w:t>
      </w:r>
      <w:r w:rsidRPr="00496F47">
        <w:rPr>
          <w:rFonts w:ascii="Brush Script MT" w:hAnsi="Brush Script MT" w:cs="Arial"/>
          <w:i/>
          <w:color w:val="58595B"/>
          <w:sz w:val="36"/>
          <w:szCs w:val="36"/>
        </w:rPr>
        <w:t>R J Drummond</w:t>
      </w:r>
      <w:r>
        <w:rPr>
          <w:rFonts w:cs="Arial"/>
          <w:color w:val="58595B"/>
          <w:sz w:val="36"/>
          <w:szCs w:val="36"/>
        </w:rPr>
        <w:tab/>
      </w:r>
    </w:p>
    <w:p w:rsidR="004C2823" w:rsidRPr="000E2046" w:rsidRDefault="000E2046" w:rsidP="005D0458">
      <w:pPr>
        <w:rPr>
          <w:rFonts w:cs="Arial"/>
          <w:color w:val="58595B"/>
          <w:sz w:val="36"/>
          <w:szCs w:val="36"/>
        </w:rPr>
      </w:pPr>
      <w:r w:rsidRPr="007202BC">
        <w:rPr>
          <w:rFonts w:cs="Arial"/>
          <w:color w:val="58595B"/>
          <w:sz w:val="36"/>
          <w:szCs w:val="36"/>
        </w:rPr>
        <w:t xml:space="preserve">Date: </w:t>
      </w:r>
      <w:r>
        <w:rPr>
          <w:rFonts w:cs="Arial"/>
          <w:color w:val="58595B"/>
          <w:sz w:val="36"/>
          <w:szCs w:val="36"/>
        </w:rPr>
        <w:t>11/3</w:t>
      </w:r>
      <w:r>
        <w:rPr>
          <w:rFonts w:cs="Arial"/>
          <w:color w:val="58595B"/>
          <w:sz w:val="36"/>
          <w:szCs w:val="36"/>
        </w:rPr>
        <w:t>/2019</w:t>
      </w:r>
    </w:p>
    <w:p w:rsidR="004C2823" w:rsidRDefault="004C2823" w:rsidP="005D0458">
      <w:pPr>
        <w:rPr>
          <w:rFonts w:ascii="Arial" w:hAnsi="Arial" w:cs="Arial"/>
        </w:rPr>
      </w:pPr>
    </w:p>
    <w:p w:rsidR="004C2823" w:rsidRDefault="004C2823" w:rsidP="005D0458">
      <w:pPr>
        <w:rPr>
          <w:rFonts w:ascii="Arial" w:hAnsi="Arial" w:cs="Arial"/>
        </w:rPr>
      </w:pPr>
    </w:p>
    <w:p w:rsidR="004C2823" w:rsidRDefault="004C2823" w:rsidP="005D0458">
      <w:pPr>
        <w:rPr>
          <w:rFonts w:ascii="Arial" w:hAnsi="Arial" w:cs="Arial"/>
        </w:rPr>
      </w:pPr>
    </w:p>
    <w:p w:rsidR="004C2823" w:rsidRDefault="004C2823" w:rsidP="005D0458">
      <w:pPr>
        <w:rPr>
          <w:rFonts w:ascii="Arial" w:hAnsi="Arial" w:cs="Arial"/>
        </w:rPr>
      </w:pPr>
    </w:p>
    <w:p w:rsidR="005D0458" w:rsidRDefault="00AD42B9" w:rsidP="005D0458">
      <w:pPr>
        <w:rPr>
          <w:rFonts w:ascii="Arial" w:hAnsi="Arial" w:cs="Arial"/>
        </w:rPr>
      </w:pPr>
      <w:r w:rsidRPr="00156176">
        <w:rPr>
          <w:rFonts w:ascii="Arial" w:hAnsi="Arial" w:cs="Arial"/>
        </w:rPr>
        <w:t>Employment Law is a piece of legislation to control and manage the relationship between an employee and employer</w:t>
      </w:r>
      <w:r w:rsidR="00DA35AB" w:rsidRPr="00156176">
        <w:rPr>
          <w:rFonts w:ascii="Arial" w:hAnsi="Arial" w:cs="Arial"/>
        </w:rPr>
        <w:t xml:space="preserve"> (Daniels 2019)</w:t>
      </w:r>
      <w:r w:rsidRPr="00156176">
        <w:rPr>
          <w:rFonts w:ascii="Arial" w:hAnsi="Arial" w:cs="Arial"/>
        </w:rPr>
        <w:t>.</w:t>
      </w:r>
      <w:r w:rsidRPr="00156176">
        <w:rPr>
          <w:rFonts w:ascii="Arial" w:hAnsi="Arial" w:cs="Arial"/>
          <w:bCs/>
          <w:color w:val="222222"/>
          <w:shd w:val="clear" w:color="auto" w:fill="FFFFFF"/>
        </w:rPr>
        <w:t xml:space="preserve"> Employment law</w:t>
      </w:r>
      <w:r w:rsidRPr="00156176">
        <w:rPr>
          <w:rFonts w:ascii="Arial" w:hAnsi="Arial" w:cs="Arial"/>
          <w:color w:val="222222"/>
          <w:shd w:val="clear" w:color="auto" w:fill="FFFFFF"/>
        </w:rPr>
        <w:t xml:space="preserve"> was put in place to protect workers from wrongdoing by their employers. </w:t>
      </w:r>
      <w:r w:rsidRPr="00156176">
        <w:rPr>
          <w:rFonts w:ascii="Arial" w:hAnsi="Arial" w:cs="Arial"/>
        </w:rPr>
        <w:t xml:space="preserve"> </w:t>
      </w:r>
      <w:r w:rsidRPr="00156176">
        <w:rPr>
          <w:rFonts w:ascii="Arial" w:hAnsi="Arial" w:cs="Arial"/>
          <w:color w:val="222222"/>
          <w:shd w:val="clear" w:color="auto" w:fill="FFFFFF"/>
        </w:rPr>
        <w:t>By complying with relevant legislation, both employers and their employees can ensure that their recruitment</w:t>
      </w:r>
      <w:r w:rsidR="00156176" w:rsidRPr="00156176">
        <w:rPr>
          <w:rFonts w:ascii="Arial" w:hAnsi="Arial" w:cs="Arial"/>
          <w:color w:val="222222"/>
          <w:shd w:val="clear" w:color="auto" w:fill="FFFFFF"/>
        </w:rPr>
        <w:t xml:space="preserve"> processes, dismissal </w:t>
      </w:r>
      <w:r w:rsidRPr="00156176">
        <w:rPr>
          <w:rFonts w:ascii="Arial" w:hAnsi="Arial" w:cs="Arial"/>
          <w:color w:val="222222"/>
          <w:shd w:val="clear" w:color="auto" w:fill="FFFFFF"/>
        </w:rPr>
        <w:t>processes, and their workplace as a whole, are fair for every individual.</w:t>
      </w:r>
      <w:r w:rsidR="00156176">
        <w:rPr>
          <w:rFonts w:ascii="Arial" w:hAnsi="Arial" w:cs="Arial"/>
          <w:color w:val="222222"/>
          <w:shd w:val="clear" w:color="auto" w:fill="FFFFFF"/>
        </w:rPr>
        <w:t xml:space="preserve"> </w:t>
      </w:r>
      <w:r w:rsidR="00253B89" w:rsidRPr="00156176">
        <w:rPr>
          <w:rFonts w:ascii="Arial" w:hAnsi="Arial" w:cs="Arial"/>
          <w:color w:val="222222"/>
          <w:shd w:val="clear" w:color="auto" w:fill="FFFFFF"/>
        </w:rPr>
        <w:t>In employment law, most cases are at first heard in an Employment Tribunal.</w:t>
      </w:r>
      <w:r w:rsidR="00156176" w:rsidRPr="00156176">
        <w:rPr>
          <w:rFonts w:ascii="Arial" w:hAnsi="Arial" w:cs="Arial"/>
          <w:color w:val="000000"/>
        </w:rPr>
        <w:t xml:space="preserve"> The Employment Tribunals are an independent judicial body established to resolve disputes between employers and employees over employment rights. The tribunal will hear claims about employment matters such as unfair dismissal, discrimination, wages and redundancy payments</w:t>
      </w:r>
      <w:r w:rsidR="00156176">
        <w:rPr>
          <w:rFonts w:ascii="Arial" w:hAnsi="Arial" w:cs="Arial"/>
          <w:color w:val="000000"/>
        </w:rPr>
        <w:t xml:space="preserve"> (ACAS)</w:t>
      </w:r>
      <w:r w:rsidR="00156176" w:rsidRPr="00156176">
        <w:rPr>
          <w:rFonts w:ascii="Arial" w:hAnsi="Arial" w:cs="Arial"/>
          <w:color w:val="000000"/>
        </w:rPr>
        <w:t>.</w:t>
      </w:r>
      <w:r w:rsidR="00156176">
        <w:rPr>
          <w:rFonts w:ascii="Arial" w:hAnsi="Arial" w:cs="Arial"/>
          <w:color w:val="000000"/>
        </w:rPr>
        <w:t xml:space="preserve"> </w:t>
      </w:r>
      <w:r w:rsidR="00156176" w:rsidRPr="00156176">
        <w:rPr>
          <w:rFonts w:ascii="Arial" w:hAnsi="Arial" w:cs="Arial"/>
          <w:color w:val="000000"/>
        </w:rPr>
        <w:t>Employment Tribunals are less formal than a court, for example no one wears a wig or gown. However, like a court, tribunals cannot give out legal advice, almost all hearings are open to the public, and evidence will be given under oath or affirmation.</w:t>
      </w:r>
      <w:r w:rsidR="00D72A16" w:rsidRPr="00D72A16">
        <w:t xml:space="preserve"> </w:t>
      </w:r>
      <w:r w:rsidR="00D72A16" w:rsidRPr="00D72A16">
        <w:rPr>
          <w:rFonts w:ascii="Arial" w:hAnsi="Arial" w:cs="Arial"/>
        </w:rPr>
        <w:t>A full tribunal comprises three people. It is chaired by an empl</w:t>
      </w:r>
      <w:r w:rsidR="00D72A16">
        <w:rPr>
          <w:rFonts w:ascii="Arial" w:hAnsi="Arial" w:cs="Arial"/>
        </w:rPr>
        <w:t>oyment judge, a legally qualifi</w:t>
      </w:r>
      <w:r w:rsidR="00D72A16" w:rsidRPr="00D72A16">
        <w:rPr>
          <w:rFonts w:ascii="Arial" w:hAnsi="Arial" w:cs="Arial"/>
        </w:rPr>
        <w:t>ed person. He or she may sit alone or may be assisted by two lay people who have experience of employment relations and a</w:t>
      </w:r>
      <w:r w:rsidR="00D72A16">
        <w:rPr>
          <w:rFonts w:ascii="Arial" w:hAnsi="Arial" w:cs="Arial"/>
        </w:rPr>
        <w:t xml:space="preserve">re drawn from an employer list </w:t>
      </w:r>
      <w:r w:rsidR="00D72A16" w:rsidRPr="00D72A16">
        <w:rPr>
          <w:rFonts w:ascii="Arial" w:hAnsi="Arial" w:cs="Arial"/>
        </w:rPr>
        <w:t>includin</w:t>
      </w:r>
      <w:r w:rsidR="00D72A16">
        <w:rPr>
          <w:rFonts w:ascii="Arial" w:hAnsi="Arial" w:cs="Arial"/>
        </w:rPr>
        <w:t>g managers and HR practitioners</w:t>
      </w:r>
      <w:r w:rsidR="00D72A16" w:rsidRPr="00D72A16">
        <w:rPr>
          <w:rFonts w:ascii="Arial" w:hAnsi="Arial" w:cs="Arial"/>
        </w:rPr>
        <w:t>; and from an employee list (including people with trade union experience). The President of the Employment Tribunals has powers to issue practice directions to promote consistency of case management.</w:t>
      </w:r>
      <w:r w:rsidR="00156176" w:rsidRPr="00D72A16">
        <w:rPr>
          <w:rFonts w:ascii="Arial" w:hAnsi="Arial" w:cs="Arial"/>
          <w:color w:val="000000"/>
        </w:rPr>
        <w:t xml:space="preserve"> </w:t>
      </w:r>
      <w:r w:rsidR="00253B89" w:rsidRPr="00D72A16">
        <w:rPr>
          <w:rFonts w:ascii="Arial" w:hAnsi="Arial" w:cs="Arial"/>
          <w:color w:val="222222"/>
          <w:shd w:val="clear" w:color="auto" w:fill="FFFFFF"/>
        </w:rPr>
        <w:t>If there is an appeal, it is then referred to the employment appeal tribunal. Any further appeal is directed to the Court of Appeal</w:t>
      </w:r>
      <w:r w:rsidR="00D72A16" w:rsidRPr="00D72A16">
        <w:rPr>
          <w:rFonts w:ascii="Arial" w:hAnsi="Arial" w:cs="Arial"/>
          <w:color w:val="222222"/>
          <w:shd w:val="clear" w:color="auto" w:fill="FFFFFF"/>
        </w:rPr>
        <w:t>,</w:t>
      </w:r>
      <w:r w:rsidR="00D72A16" w:rsidRPr="00D72A16">
        <w:rPr>
          <w:rFonts w:ascii="Arial" w:hAnsi="Arial" w:cs="Arial"/>
        </w:rPr>
        <w:t xml:space="preserve"> The jurisdiction of the Court of Appeal covers England and Wales. (In Scotland the equivalent appeal court is the Court of Session).</w:t>
      </w:r>
      <w:r w:rsidR="00CD6F74">
        <w:rPr>
          <w:rFonts w:ascii="Arial" w:hAnsi="Arial" w:cs="Arial"/>
        </w:rPr>
        <w:t>The court of appeals</w:t>
      </w:r>
      <w:r w:rsidR="00D72A16" w:rsidRPr="00D72A16">
        <w:rPr>
          <w:rFonts w:ascii="Arial" w:hAnsi="Arial" w:cs="Arial"/>
        </w:rPr>
        <w:t xml:space="preserve"> comprises</w:t>
      </w:r>
      <w:r w:rsidR="00CD6F74">
        <w:rPr>
          <w:rFonts w:ascii="Arial" w:hAnsi="Arial" w:cs="Arial"/>
        </w:rPr>
        <w:t xml:space="preserve"> of</w:t>
      </w:r>
      <w:r w:rsidR="00D72A16" w:rsidRPr="00D72A16">
        <w:rPr>
          <w:rFonts w:ascii="Arial" w:hAnsi="Arial" w:cs="Arial"/>
        </w:rPr>
        <w:t xml:space="preserve"> two divisions: the Civil Division (presided over by the Master of Rolls) and the Criminal Division (presided over by the Lord Chief Justice). Under employment law, appeals against rulings of the EAT are heard in the Civil Division. Further appeals can be made to the Supreme Court – with the ‘leave’ (permission) of either the Court of Appeal or of the Supreme Court itself</w:t>
      </w:r>
      <w:r w:rsidR="00253B89" w:rsidRPr="00D72A16">
        <w:rPr>
          <w:rFonts w:ascii="Arial" w:hAnsi="Arial" w:cs="Arial"/>
          <w:color w:val="222222"/>
          <w:shd w:val="clear" w:color="auto" w:fill="FFFFFF"/>
        </w:rPr>
        <w:t xml:space="preserve"> and then to the Supreme Court. However, not all employment-related issues</w:t>
      </w:r>
      <w:r w:rsidR="00253B89" w:rsidRPr="00156176">
        <w:rPr>
          <w:rFonts w:ascii="Arial" w:hAnsi="Arial" w:cs="Arial"/>
          <w:color w:val="222222"/>
          <w:shd w:val="clear" w:color="auto" w:fill="FFFFFF"/>
        </w:rPr>
        <w:t xml:space="preserve"> must start in an employment tribunal, certain cases of wrongful </w:t>
      </w:r>
      <w:r w:rsidR="00253B89" w:rsidRPr="00D72A16">
        <w:rPr>
          <w:rFonts w:ascii="Arial" w:hAnsi="Arial" w:cs="Arial"/>
          <w:color w:val="222222"/>
          <w:shd w:val="clear" w:color="auto" w:fill="FFFFFF"/>
        </w:rPr>
        <w:t>dismissal</w:t>
      </w:r>
      <w:r w:rsidR="00156176" w:rsidRPr="00D72A16">
        <w:rPr>
          <w:rFonts w:ascii="Arial" w:hAnsi="Arial" w:cs="Arial"/>
          <w:color w:val="222222"/>
          <w:shd w:val="clear" w:color="auto" w:fill="FFFFFF"/>
        </w:rPr>
        <w:t xml:space="preserve"> can be brought in the County Court or High Court</w:t>
      </w:r>
      <w:r w:rsidR="00253B89" w:rsidRPr="00D72A16">
        <w:rPr>
          <w:rFonts w:ascii="Arial" w:hAnsi="Arial" w:cs="Arial"/>
          <w:color w:val="222222"/>
          <w:shd w:val="clear" w:color="auto" w:fill="FFFFFF"/>
        </w:rPr>
        <w:t xml:space="preserve"> (Daniels 2019)</w:t>
      </w:r>
      <w:r w:rsidR="00156176" w:rsidRPr="00D72A16">
        <w:rPr>
          <w:rFonts w:ascii="Arial" w:hAnsi="Arial" w:cs="Arial"/>
          <w:color w:val="222222"/>
          <w:shd w:val="clear" w:color="auto" w:fill="FFFFFF"/>
        </w:rPr>
        <w:t>.</w:t>
      </w:r>
      <w:r w:rsidR="00D72A16" w:rsidRPr="00D72A16">
        <w:rPr>
          <w:rFonts w:ascii="Arial" w:hAnsi="Arial" w:cs="Arial"/>
        </w:rPr>
        <w:t xml:space="preserve"> Normally, complaints about individual employment rights are made to an employment tribunal. It</w:t>
      </w:r>
      <w:r w:rsidR="00D72A16">
        <w:rPr>
          <w:rFonts w:ascii="Arial" w:hAnsi="Arial" w:cs="Arial"/>
        </w:rPr>
        <w:t xml:space="preserve"> is possible for the employee or worker</w:t>
      </w:r>
      <w:r w:rsidR="00D72A16" w:rsidRPr="00D72A16">
        <w:rPr>
          <w:rFonts w:ascii="Arial" w:hAnsi="Arial" w:cs="Arial"/>
        </w:rPr>
        <w:t xml:space="preserve"> or a respondent employer to appeal, on a point of law, to the Employment Appeal Tribunal (EAT); and, then, usually with permission, to the Court of Appeal (or Court of Session in Scotland); a</w:t>
      </w:r>
      <w:r w:rsidR="00D72A16">
        <w:rPr>
          <w:rFonts w:ascii="Arial" w:hAnsi="Arial" w:cs="Arial"/>
        </w:rPr>
        <w:t xml:space="preserve">nd, then, to the Supreme Court </w:t>
      </w:r>
      <w:r w:rsidR="00D72A16" w:rsidRPr="00D72A16">
        <w:rPr>
          <w:rFonts w:ascii="Arial" w:hAnsi="Arial" w:cs="Arial"/>
        </w:rPr>
        <w:t>until October 2009, the House of Lords). If the complaint involves European law (for example, on equality, working ti</w:t>
      </w:r>
      <w:r w:rsidR="00D72A16">
        <w:rPr>
          <w:rFonts w:ascii="Arial" w:hAnsi="Arial" w:cs="Arial"/>
        </w:rPr>
        <w:t>me or transfers of undertakings</w:t>
      </w:r>
      <w:r w:rsidR="00D72A16" w:rsidRPr="00D72A16">
        <w:rPr>
          <w:rFonts w:ascii="Arial" w:hAnsi="Arial" w:cs="Arial"/>
        </w:rPr>
        <w:t>, an ultimate appeal, with the permission of either the Court of Appeal or Supreme Court, would be to the Eu</w:t>
      </w:r>
      <w:r w:rsidR="00CD6F74">
        <w:rPr>
          <w:rFonts w:ascii="Arial" w:hAnsi="Arial" w:cs="Arial"/>
        </w:rPr>
        <w:t>ropean Court of Justice</w:t>
      </w:r>
      <w:r w:rsidR="00D72A16" w:rsidRPr="00D72A16">
        <w:rPr>
          <w:rFonts w:ascii="Arial" w:hAnsi="Arial" w:cs="Arial"/>
        </w:rPr>
        <w:t>. Alternatively, the British courts might refer a particular matter to the ECJ for a ruling on its interpretation</w:t>
      </w:r>
      <w:r w:rsidR="00CD6F74">
        <w:rPr>
          <w:rFonts w:ascii="Arial" w:hAnsi="Arial" w:cs="Arial"/>
        </w:rPr>
        <w:t xml:space="preserve"> (Pearson 2017)</w:t>
      </w:r>
      <w:r w:rsidR="00D72A16" w:rsidRPr="00D72A16">
        <w:rPr>
          <w:rFonts w:ascii="Arial" w:hAnsi="Arial" w:cs="Arial"/>
        </w:rPr>
        <w:t>.</w:t>
      </w:r>
      <w:r w:rsidR="00E00556" w:rsidRPr="00156176">
        <w:rPr>
          <w:rFonts w:ascii="Arial" w:hAnsi="Arial" w:cs="Arial"/>
          <w:color w:val="FF0000"/>
        </w:rPr>
        <w:br/>
      </w:r>
    </w:p>
    <w:p w:rsidR="00683BEE" w:rsidRDefault="00DA5D4D" w:rsidP="005D0458">
      <w:pPr>
        <w:rPr>
          <w:rFonts w:ascii="Arial" w:eastAsia="Times New Roman" w:hAnsi="Arial" w:cs="Arial"/>
        </w:rPr>
      </w:pPr>
      <w:r w:rsidRPr="005D0458">
        <w:rPr>
          <w:rFonts w:ascii="Arial" w:hAnsi="Arial" w:cs="Arial"/>
        </w:rPr>
        <w:t xml:space="preserve">When employers recruit and select staff it is important that they advertise roles without discriminating. </w:t>
      </w:r>
      <w:r w:rsidRPr="005D0458">
        <w:rPr>
          <w:rFonts w:ascii="Arial" w:hAnsi="Arial" w:cs="Arial"/>
          <w:color w:val="000000"/>
          <w:shd w:val="clear" w:color="auto" w:fill="FFFFFF"/>
        </w:rPr>
        <w:t>Organisations should be aware they have a responsibility to ensure that no unlawful discrimination occurs at any stage in the recruitment process on the grounds of age,</w:t>
      </w:r>
      <w:r w:rsidR="00CD798E" w:rsidRPr="005D0458">
        <w:rPr>
          <w:rFonts w:ascii="Arial" w:hAnsi="Arial" w:cs="Arial"/>
          <w:color w:val="000000"/>
          <w:shd w:val="clear" w:color="auto" w:fill="FFFFFF"/>
        </w:rPr>
        <w:t xml:space="preserve"> when someone is unfairly disadvantaged for reasons, which cannot be objectively justified, the CIPD state that its unwise to base employment decisions on age because it’s a poor predictor of </w:t>
      </w:r>
      <w:r w:rsidR="00CD798E" w:rsidRPr="005D0458">
        <w:rPr>
          <w:rFonts w:ascii="Arial" w:hAnsi="Arial" w:cs="Arial"/>
          <w:color w:val="000000"/>
          <w:shd w:val="clear" w:color="auto" w:fill="FFFFFF"/>
        </w:rPr>
        <w:lastRenderedPageBreak/>
        <w:t>performance and it is misleading to equate physical and mental ability with age. D</w:t>
      </w:r>
      <w:r w:rsidRPr="005D0458">
        <w:rPr>
          <w:rFonts w:ascii="Arial" w:hAnsi="Arial" w:cs="Arial"/>
          <w:color w:val="000000"/>
          <w:shd w:val="clear" w:color="auto" w:fill="FFFFFF"/>
        </w:rPr>
        <w:t>isability</w:t>
      </w:r>
      <w:r w:rsidR="001457F7" w:rsidRPr="005D0458">
        <w:rPr>
          <w:rFonts w:ascii="Arial" w:hAnsi="Arial" w:cs="Arial"/>
          <w:color w:val="000000"/>
          <w:shd w:val="clear" w:color="auto" w:fill="FFFFFF"/>
        </w:rPr>
        <w:t>, which is defined as someone who has a physical or mental impairment which has a substantial and long-term adverse effect on the person’s ability to carry out normal day-to-day activities.</w:t>
      </w:r>
      <w:r w:rsidRPr="005D0458">
        <w:rPr>
          <w:rFonts w:ascii="Arial" w:hAnsi="Arial" w:cs="Arial"/>
          <w:color w:val="000000"/>
          <w:shd w:val="clear" w:color="auto" w:fill="FFFFFF"/>
        </w:rPr>
        <w:t xml:space="preserve"> </w:t>
      </w:r>
      <w:r w:rsidR="001457F7" w:rsidRPr="005D0458">
        <w:rPr>
          <w:rFonts w:ascii="Arial" w:hAnsi="Arial" w:cs="Arial"/>
          <w:color w:val="000000"/>
          <w:shd w:val="clear" w:color="auto" w:fill="FFFFFF"/>
        </w:rPr>
        <w:t>G</w:t>
      </w:r>
      <w:r w:rsidRPr="005D0458">
        <w:rPr>
          <w:rFonts w:ascii="Arial" w:hAnsi="Arial" w:cs="Arial"/>
          <w:color w:val="000000"/>
          <w:shd w:val="clear" w:color="auto" w:fill="FFFFFF"/>
        </w:rPr>
        <w:t>ender</w:t>
      </w:r>
      <w:r w:rsidR="001457F7" w:rsidRPr="005D0458">
        <w:rPr>
          <w:rFonts w:ascii="Arial" w:hAnsi="Arial" w:cs="Arial"/>
          <w:color w:val="000000"/>
          <w:shd w:val="clear" w:color="auto" w:fill="FFFFFF"/>
        </w:rPr>
        <w:t xml:space="preserve"> reassignment where the law protects individuals who have undergone, or propose to undergo the personal, social, and </w:t>
      </w:r>
      <w:r w:rsidR="001457F7" w:rsidRPr="005D0458">
        <w:rPr>
          <w:rFonts w:ascii="Arial" w:hAnsi="Arial" w:cs="Arial"/>
          <w:shd w:val="clear" w:color="auto" w:fill="FFFFFF"/>
        </w:rPr>
        <w:t>sometimes medical process of gender</w:t>
      </w:r>
      <w:r w:rsidR="00714ED3" w:rsidRPr="005D0458">
        <w:rPr>
          <w:rFonts w:ascii="Arial" w:hAnsi="Arial" w:cs="Arial"/>
          <w:shd w:val="clear" w:color="auto" w:fill="FFFFFF"/>
        </w:rPr>
        <w:t xml:space="preserve"> reassignment. M</w:t>
      </w:r>
      <w:r w:rsidRPr="005D0458">
        <w:rPr>
          <w:rFonts w:ascii="Arial" w:hAnsi="Arial" w:cs="Arial"/>
          <w:shd w:val="clear" w:color="auto" w:fill="FFFFFF"/>
        </w:rPr>
        <w:t>arriage and civil partnership,</w:t>
      </w:r>
      <w:r w:rsidR="00D377DD" w:rsidRPr="005D0458">
        <w:rPr>
          <w:rFonts w:ascii="Arial" w:hAnsi="Arial" w:cs="Arial"/>
          <w:shd w:val="clear" w:color="auto" w:fill="FFFFFF"/>
        </w:rPr>
        <w:t xml:space="preserve"> The Equality Act says you must not be discriminated against in employment because you are married or in a civil partnership.</w:t>
      </w:r>
      <w:r w:rsidRPr="005D0458">
        <w:rPr>
          <w:rFonts w:ascii="Arial" w:hAnsi="Arial" w:cs="Arial"/>
          <w:shd w:val="clear" w:color="auto" w:fill="FFFFFF"/>
        </w:rPr>
        <w:t xml:space="preserve"> </w:t>
      </w:r>
      <w:r w:rsidR="00D377DD" w:rsidRPr="005D0458">
        <w:rPr>
          <w:rFonts w:ascii="Arial" w:hAnsi="Arial" w:cs="Arial"/>
          <w:shd w:val="clear" w:color="auto" w:fill="FFFFFF"/>
        </w:rPr>
        <w:t>M</w:t>
      </w:r>
      <w:r w:rsidRPr="005D0458">
        <w:rPr>
          <w:rFonts w:ascii="Arial" w:hAnsi="Arial" w:cs="Arial"/>
          <w:shd w:val="clear" w:color="auto" w:fill="FFFFFF"/>
        </w:rPr>
        <w:t>aternity</w:t>
      </w:r>
      <w:r w:rsidR="00D377DD" w:rsidRPr="005D0458">
        <w:rPr>
          <w:rFonts w:ascii="Arial" w:hAnsi="Arial" w:cs="Arial"/>
          <w:color w:val="000000"/>
          <w:shd w:val="clear" w:color="auto" w:fill="FFFFFF"/>
        </w:rPr>
        <w:t xml:space="preserve"> and pregnan</w:t>
      </w:r>
      <w:r w:rsidR="00D377DD" w:rsidRPr="005D0458">
        <w:rPr>
          <w:rFonts w:ascii="Arial" w:hAnsi="Arial" w:cs="Arial"/>
          <w:shd w:val="clear" w:color="auto" w:fill="FFFFFF"/>
        </w:rPr>
        <w:t>cy. Discrimination against pregnant women and those on maternity leave is unlawful under the Equality Act 2010.</w:t>
      </w:r>
      <w:r w:rsidR="005D0458" w:rsidRPr="005D0458">
        <w:rPr>
          <w:rFonts w:ascii="Arial" w:hAnsi="Arial" w:cs="Arial"/>
          <w:shd w:val="clear" w:color="auto" w:fill="FFFFFF"/>
        </w:rPr>
        <w:t xml:space="preserve"> R</w:t>
      </w:r>
      <w:r w:rsidRPr="005D0458">
        <w:rPr>
          <w:rFonts w:ascii="Arial" w:hAnsi="Arial" w:cs="Arial"/>
          <w:shd w:val="clear" w:color="auto" w:fill="FFFFFF"/>
        </w:rPr>
        <w:t>ace,</w:t>
      </w:r>
      <w:r w:rsidR="005D0458" w:rsidRPr="005D0458">
        <w:rPr>
          <w:rFonts w:ascii="Arial" w:hAnsi="Arial" w:cs="Arial"/>
          <w:shd w:val="clear" w:color="auto" w:fill="FFFFFF"/>
        </w:rPr>
        <w:t xml:space="preserve"> </w:t>
      </w:r>
      <w:r w:rsidR="005D0458" w:rsidRPr="005D0458">
        <w:rPr>
          <w:rFonts w:ascii="Arial" w:hAnsi="Arial" w:cs="Arial"/>
        </w:rPr>
        <w:t xml:space="preserve">In the Equality Act, race can mean your colour, or your nationality (including your citizenship). It can also mean your ethnic or national origins, which may not be the same as your current nationality. For example, you may have Chinese national origins and be living in Britain with a British passport. Race also covers ethnic and racial groups. This means a group of people who all share the same protected characteristic of ethnicity or race. A racial group can be made up of two or more distinct racial groups, for example black Britons, British Asians, British Sikhs, British Jews, Romany Gypsies and Irish Travellers. You may be discriminated against because of one or more aspects of your race, for example people born in Britain to Jamaican parents could be discriminated against because they are British citizens, or because of their Jamaican national origins. </w:t>
      </w:r>
      <w:r w:rsidR="005D0458" w:rsidRPr="005D0458">
        <w:rPr>
          <w:rFonts w:ascii="Arial" w:hAnsi="Arial" w:cs="Arial"/>
          <w:shd w:val="clear" w:color="auto" w:fill="FFFFFF"/>
        </w:rPr>
        <w:t>R</w:t>
      </w:r>
      <w:r w:rsidRPr="005D0458">
        <w:rPr>
          <w:rFonts w:ascii="Arial" w:hAnsi="Arial" w:cs="Arial"/>
          <w:shd w:val="clear" w:color="auto" w:fill="FFFFFF"/>
        </w:rPr>
        <w:t>eligion or belief,</w:t>
      </w:r>
      <w:r w:rsidR="00D377DD" w:rsidRPr="005D0458">
        <w:rPr>
          <w:rFonts w:eastAsia="Times New Roman" w:cs="Arial"/>
        </w:rPr>
        <w:t xml:space="preserve"> </w:t>
      </w:r>
      <w:r w:rsidR="00D377DD" w:rsidRPr="005D0458">
        <w:rPr>
          <w:rFonts w:ascii="Arial" w:hAnsi="Arial" w:cs="Arial"/>
        </w:rPr>
        <w:t>In the Equality Act religion or belief can mean any religion, for example an organised religion like Christianity, Judaism, Islam or Buddhism, or a smaller religion like Rastafarianism or Paganism, as long as it has a clear structure and belief system. </w:t>
      </w:r>
      <w:r w:rsidR="00D377DD" w:rsidRPr="00D377DD">
        <w:rPr>
          <w:rFonts w:ascii="Arial" w:eastAsia="Times New Roman" w:hAnsi="Arial" w:cs="Arial"/>
        </w:rPr>
        <w:t>The Equality Act also covers non-belief or a lack of religion or belief. For example:</w:t>
      </w:r>
      <w:r w:rsidR="00D377DD" w:rsidRPr="005D0458">
        <w:rPr>
          <w:rFonts w:ascii="Arial" w:hAnsi="Arial" w:cs="Arial"/>
        </w:rPr>
        <w:t xml:space="preserve"> </w:t>
      </w:r>
      <w:r w:rsidR="00D377DD" w:rsidRPr="005D0458">
        <w:rPr>
          <w:rFonts w:ascii="Arial" w:eastAsia="Times New Roman" w:hAnsi="Arial" w:cs="Arial"/>
        </w:rPr>
        <w:t>T</w:t>
      </w:r>
      <w:r w:rsidR="00D377DD" w:rsidRPr="00D377DD">
        <w:rPr>
          <w:rFonts w:ascii="Arial" w:eastAsia="Times New Roman" w:hAnsi="Arial" w:cs="Arial"/>
        </w:rPr>
        <w:t>he Equality Act protects Christians if they are discriminated against because of their Christian beliefs, it also protects people of other religions and those with no religion if they are discriminated against because of their beliefs</w:t>
      </w:r>
      <w:r w:rsidR="005D0458" w:rsidRPr="005D0458">
        <w:rPr>
          <w:rFonts w:ascii="Arial" w:hAnsi="Arial" w:cs="Arial"/>
        </w:rPr>
        <w:t>.</w:t>
      </w:r>
      <w:r w:rsidR="005D0458" w:rsidRPr="005D0458">
        <w:rPr>
          <w:rFonts w:ascii="Arial" w:hAnsi="Arial" w:cs="Arial"/>
          <w:shd w:val="clear" w:color="auto" w:fill="FFFFFF"/>
        </w:rPr>
        <w:t xml:space="preserve"> </w:t>
      </w:r>
      <w:r w:rsidR="005D0458" w:rsidRPr="005D0458">
        <w:rPr>
          <w:rFonts w:ascii="Arial" w:hAnsi="Arial" w:cs="Arial"/>
        </w:rPr>
        <w:t>The </w:t>
      </w:r>
      <w:hyperlink r:id="rId5" w:history="1">
        <w:r w:rsidR="005D0458" w:rsidRPr="005D0458">
          <w:rPr>
            <w:rFonts w:ascii="Arial" w:hAnsi="Arial" w:cs="Arial"/>
          </w:rPr>
          <w:t>Equality Act 2010</w:t>
        </w:r>
      </w:hyperlink>
      <w:r w:rsidR="005D0458" w:rsidRPr="005D0458">
        <w:rPr>
          <w:rFonts w:ascii="Arial" w:hAnsi="Arial" w:cs="Arial"/>
        </w:rPr>
        <w:t xml:space="preserve"> says you must not be discriminated against because, </w:t>
      </w:r>
      <w:r w:rsidR="005D0458" w:rsidRPr="005D0458">
        <w:rPr>
          <w:rFonts w:ascii="Arial" w:eastAsia="Times New Roman" w:hAnsi="Arial" w:cs="Arial"/>
        </w:rPr>
        <w:t>you are (or are not) a particular sex</w:t>
      </w:r>
      <w:r w:rsidR="005D0458" w:rsidRPr="005D0458">
        <w:rPr>
          <w:rFonts w:ascii="Arial" w:hAnsi="Arial" w:cs="Arial"/>
        </w:rPr>
        <w:t>. S</w:t>
      </w:r>
      <w:r w:rsidR="005D0458" w:rsidRPr="005D0458">
        <w:rPr>
          <w:rFonts w:ascii="Arial" w:eastAsia="Times New Roman" w:hAnsi="Arial" w:cs="Arial"/>
        </w:rPr>
        <w:t>omeone thinks you are the opposite sex (this is known as discrimination by perception)</w:t>
      </w:r>
      <w:r w:rsidR="005D0458" w:rsidRPr="005D0458">
        <w:rPr>
          <w:rFonts w:ascii="Arial" w:hAnsi="Arial" w:cs="Arial"/>
        </w:rPr>
        <w:t>. Y</w:t>
      </w:r>
      <w:r w:rsidR="005D0458" w:rsidRPr="005D0458">
        <w:rPr>
          <w:rFonts w:ascii="Arial" w:eastAsia="Times New Roman" w:hAnsi="Arial" w:cs="Arial"/>
        </w:rPr>
        <w:t>ou are connected to someone of a particular sex (this is known as discrimination by association)</w:t>
      </w:r>
      <w:r w:rsidR="005D0458" w:rsidRPr="005D0458">
        <w:rPr>
          <w:rFonts w:ascii="Arial" w:hAnsi="Arial" w:cs="Arial"/>
        </w:rPr>
        <w:t xml:space="preserve">. </w:t>
      </w:r>
      <w:r w:rsidR="005D0458" w:rsidRPr="005D0458">
        <w:rPr>
          <w:rFonts w:ascii="Arial" w:eastAsia="Times New Roman" w:hAnsi="Arial" w:cs="Arial"/>
        </w:rPr>
        <w:t>In the Equality Act, sex can mean either male or female, or a group of people like men or boys, or women or girls.</w:t>
      </w:r>
      <w:r w:rsidR="005D0458">
        <w:rPr>
          <w:rFonts w:ascii="Arial" w:hAnsi="Arial" w:cs="Arial"/>
        </w:rPr>
        <w:t xml:space="preserve"> </w:t>
      </w:r>
      <w:r w:rsidR="005D0458">
        <w:rPr>
          <w:rFonts w:ascii="Arial" w:hAnsi="Arial" w:cs="Arial"/>
          <w:color w:val="000000"/>
          <w:shd w:val="clear" w:color="auto" w:fill="FFFFFF"/>
        </w:rPr>
        <w:t>S</w:t>
      </w:r>
      <w:r w:rsidRPr="005D0458">
        <w:rPr>
          <w:rFonts w:ascii="Arial" w:hAnsi="Arial" w:cs="Arial"/>
          <w:color w:val="000000"/>
          <w:shd w:val="clear" w:color="auto" w:fill="FFFFFF"/>
        </w:rPr>
        <w:t xml:space="preserve">exual </w:t>
      </w:r>
      <w:r w:rsidRPr="005D0458">
        <w:rPr>
          <w:rFonts w:ascii="Arial" w:hAnsi="Arial" w:cs="Arial"/>
          <w:shd w:val="clear" w:color="auto" w:fill="FFFFFF"/>
        </w:rPr>
        <w:t>orientati</w:t>
      </w:r>
      <w:r w:rsidR="005D0458" w:rsidRPr="005D0458">
        <w:rPr>
          <w:rFonts w:ascii="Arial" w:hAnsi="Arial" w:cs="Arial"/>
          <w:shd w:val="clear" w:color="auto" w:fill="FFFFFF"/>
        </w:rPr>
        <w:t xml:space="preserve">on </w:t>
      </w:r>
      <w:r w:rsidR="005D0458" w:rsidRPr="005D0458">
        <w:rPr>
          <w:rFonts w:ascii="Arial" w:hAnsi="Arial" w:cs="Arial"/>
        </w:rPr>
        <w:t>The Equality Act 2010 says you must not be discriminated against because:</w:t>
      </w:r>
      <w:r w:rsidR="005D0458">
        <w:rPr>
          <w:rFonts w:ascii="Arial" w:hAnsi="Arial" w:cs="Arial"/>
        </w:rPr>
        <w:t xml:space="preserve"> </w:t>
      </w:r>
      <w:r w:rsidR="005D0458" w:rsidRPr="005D0458">
        <w:rPr>
          <w:rFonts w:ascii="Arial" w:eastAsia="Times New Roman" w:hAnsi="Arial" w:cs="Arial"/>
        </w:rPr>
        <w:t>you are heterosexual, gay, lesbian or bisexual</w:t>
      </w:r>
      <w:r w:rsidR="005D0458">
        <w:rPr>
          <w:rFonts w:ascii="Arial" w:hAnsi="Arial" w:cs="Arial"/>
        </w:rPr>
        <w:t>. S</w:t>
      </w:r>
      <w:r w:rsidR="005D0458" w:rsidRPr="005D0458">
        <w:rPr>
          <w:rFonts w:ascii="Arial" w:eastAsia="Times New Roman" w:hAnsi="Arial" w:cs="Arial"/>
        </w:rPr>
        <w:t>omeone thinks you have a particular sexual orientation (this is known as discrimination by perception)</w:t>
      </w:r>
      <w:r w:rsidR="005D0458">
        <w:rPr>
          <w:rFonts w:ascii="Arial" w:hAnsi="Arial" w:cs="Arial"/>
        </w:rPr>
        <w:t>. Y</w:t>
      </w:r>
      <w:r w:rsidR="005D0458" w:rsidRPr="005D0458">
        <w:rPr>
          <w:rFonts w:ascii="Arial" w:eastAsia="Times New Roman" w:hAnsi="Arial" w:cs="Arial"/>
        </w:rPr>
        <w:t>ou are connected to someone who has a particular sexual orientation (this is known as discrimination by association)In the Equality Act, sexual orientation includes how you choose to express your sexual orientation, such as through your appearance or the places you visit.</w:t>
      </w:r>
    </w:p>
    <w:p w:rsidR="005D0458" w:rsidRPr="005D0458" w:rsidRDefault="005D0458" w:rsidP="005D0458">
      <w:pPr>
        <w:rPr>
          <w:rFonts w:ascii="Arial" w:eastAsia="Times New Roman" w:hAnsi="Arial" w:cs="Arial"/>
        </w:rPr>
      </w:pPr>
      <w:r>
        <w:rPr>
          <w:rFonts w:ascii="Arial" w:eastAsia="Times New Roman" w:hAnsi="Arial" w:cs="Arial"/>
        </w:rPr>
        <w:t>Employment contracts are established</w:t>
      </w:r>
      <w:r w:rsidR="00683BEE">
        <w:rPr>
          <w:rFonts w:ascii="Arial" w:eastAsia="Times New Roman" w:hAnsi="Arial" w:cs="Arial"/>
        </w:rPr>
        <w:t xml:space="preserve"> as soon as an offer of employment is accepted. A contract of employment is an agreement between an employer and employee, and forms the underlying foundation of the employment association and relationship. Starting employment proves that an employee accepts the terms and conditions embedded into the contract. All employees should receive a written statement outlining the terms and conditions by law (ACAS).</w:t>
      </w:r>
    </w:p>
    <w:p w:rsidR="00E00556" w:rsidRPr="005D0458" w:rsidRDefault="00E00556" w:rsidP="005D0458">
      <w:pPr>
        <w:pStyle w:val="NormalWeb"/>
        <w:shd w:val="clear" w:color="auto" w:fill="FFFFFF"/>
        <w:spacing w:before="0" w:beforeAutospacing="0" w:after="225" w:afterAutospacing="0"/>
        <w:rPr>
          <w:rFonts w:ascii="Arial" w:hAnsi="Arial" w:cs="Arial"/>
          <w:sz w:val="22"/>
          <w:szCs w:val="22"/>
        </w:rPr>
      </w:pPr>
      <w:r w:rsidRPr="000E32B5">
        <w:rPr>
          <w:rFonts w:cs="Arial"/>
          <w:sz w:val="20"/>
          <w:szCs w:val="20"/>
        </w:rPr>
        <w:br/>
      </w:r>
    </w:p>
    <w:p w:rsidR="000F7FE9" w:rsidRDefault="00E00556" w:rsidP="000E32B5">
      <w:pPr>
        <w:rPr>
          <w:rFonts w:cs="Arial"/>
          <w:color w:val="FF0000"/>
          <w:sz w:val="20"/>
          <w:szCs w:val="20"/>
        </w:rPr>
      </w:pPr>
      <w:r w:rsidRPr="000E32B5">
        <w:rPr>
          <w:rFonts w:cs="Arial"/>
          <w:color w:val="FF0000"/>
          <w:sz w:val="20"/>
          <w:szCs w:val="20"/>
        </w:rPr>
        <w:t xml:space="preserve">An organisation is planning a major reorganisation which will involve moving some staff to other sites and outsourcing a major function to a sub-contractor. </w:t>
      </w:r>
      <w:r w:rsidRPr="000E32B5">
        <w:rPr>
          <w:rFonts w:cs="Arial"/>
          <w:color w:val="FF0000"/>
          <w:sz w:val="20"/>
          <w:szCs w:val="20"/>
        </w:rPr>
        <w:br/>
        <w:t xml:space="preserve">(a) Outline when and how contracts can be changed lawfully </w:t>
      </w:r>
    </w:p>
    <w:p w:rsidR="00A07BC1" w:rsidRPr="00A07BC1" w:rsidRDefault="00D52C5B" w:rsidP="000E32B5">
      <w:pPr>
        <w:rPr>
          <w:rFonts w:ascii="Arial" w:hAnsi="Arial" w:cs="Arial"/>
          <w:color w:val="FF0000"/>
        </w:rPr>
      </w:pPr>
      <w:r>
        <w:rPr>
          <w:rFonts w:ascii="Arial" w:hAnsi="Arial" w:cs="Arial"/>
          <w:color w:val="000000"/>
          <w:shd w:val="clear" w:color="auto" w:fill="FFFFFF"/>
        </w:rPr>
        <w:lastRenderedPageBreak/>
        <w:t>ACAS state that a</w:t>
      </w:r>
      <w:r w:rsidR="00A07BC1" w:rsidRPr="00A07BC1">
        <w:rPr>
          <w:rFonts w:ascii="Arial" w:hAnsi="Arial" w:cs="Arial"/>
          <w:color w:val="000000"/>
          <w:shd w:val="clear" w:color="auto" w:fill="FFFFFF"/>
        </w:rPr>
        <w:t>n existing contract of employment can be varied only with the agreement of both parties. Changes can be agreed by with either on an individual basis or through a collective agreement. When any change to a contract of employment occurs the employer should give written notification of the changes in writing, within one month of the change taking effect.</w:t>
      </w:r>
      <w:r>
        <w:rPr>
          <w:rFonts w:ascii="Arial" w:hAnsi="Arial" w:cs="Arial"/>
          <w:color w:val="000000"/>
          <w:shd w:val="clear" w:color="auto" w:fill="FFFFFF"/>
        </w:rPr>
        <w:t xml:space="preserve"> </w:t>
      </w:r>
    </w:p>
    <w:p w:rsidR="00E3087F" w:rsidRDefault="00E3087F" w:rsidP="000E32B5">
      <w:pPr>
        <w:rPr>
          <w:rFonts w:cs="Arial"/>
          <w:color w:val="FF0000"/>
          <w:sz w:val="20"/>
          <w:szCs w:val="20"/>
        </w:rPr>
      </w:pPr>
    </w:p>
    <w:p w:rsidR="00D52C5B" w:rsidRDefault="00D52C5B" w:rsidP="000E32B5">
      <w:pPr>
        <w:rPr>
          <w:rFonts w:ascii="Arial" w:hAnsi="Arial" w:cs="Arial"/>
        </w:rPr>
      </w:pPr>
      <w:r w:rsidRPr="00D52C5B">
        <w:rPr>
          <w:rFonts w:ascii="Arial" w:hAnsi="Arial" w:cs="Arial"/>
        </w:rPr>
        <w:t xml:space="preserve">Employers must first </w:t>
      </w:r>
      <w:r>
        <w:rPr>
          <w:rFonts w:ascii="Arial" w:hAnsi="Arial" w:cs="Arial"/>
        </w:rPr>
        <w:t>identify the employees who are at risk of being made redundant. The employer is to determine which members of staff are at risk and the way they must carry this out has to be reasonable. Employers then need to consult with the staff at risk, including support from Trade Union’s (if over 20 employees are at risk), about the proposed selection method and also ways to reduce the number of redundancies. Taylor and Woodhams state, that redundancy selection must be objective and reasonable</w:t>
      </w:r>
      <w:r w:rsidR="00A6397C">
        <w:rPr>
          <w:rFonts w:ascii="Arial" w:hAnsi="Arial" w:cs="Arial"/>
        </w:rPr>
        <w:t>. This means by scoring employees according to performance measures or requiring ‘at risk’ staff to apply competitively for jobs in a new structure or area of the business. E</w:t>
      </w:r>
      <w:r w:rsidR="00A6397C">
        <w:rPr>
          <w:rFonts w:ascii="Arial" w:hAnsi="Arial" w:cs="Arial"/>
        </w:rPr>
        <w:t>mployees</w:t>
      </w:r>
      <w:r w:rsidR="00A6397C">
        <w:rPr>
          <w:rFonts w:ascii="Arial" w:hAnsi="Arial" w:cs="Arial"/>
        </w:rPr>
        <w:t xml:space="preserve"> could also be selected </w:t>
      </w:r>
      <w:r w:rsidR="00A6397C">
        <w:rPr>
          <w:rFonts w:ascii="Arial" w:hAnsi="Arial" w:cs="Arial"/>
        </w:rPr>
        <w:t>by length of service</w:t>
      </w:r>
      <w:r w:rsidR="00A6397C">
        <w:rPr>
          <w:rFonts w:ascii="Arial" w:hAnsi="Arial" w:cs="Arial"/>
        </w:rPr>
        <w:t xml:space="preserve"> (last in first out). </w:t>
      </w:r>
      <w:r w:rsidR="00A6397C">
        <w:rPr>
          <w:rFonts w:ascii="Arial" w:hAnsi="Arial" w:cs="Arial"/>
        </w:rPr>
        <w:t>Some organisations can re-deploy staff, however this is normally done within the public sector.</w:t>
      </w:r>
      <w:r w:rsidR="00A6397C">
        <w:rPr>
          <w:rFonts w:ascii="Arial" w:hAnsi="Arial" w:cs="Arial"/>
        </w:rPr>
        <w:t xml:space="preserve"> </w:t>
      </w:r>
    </w:p>
    <w:p w:rsidR="00E00556" w:rsidRPr="00FF73F6" w:rsidRDefault="00E00556" w:rsidP="000E32B5">
      <w:pPr>
        <w:rPr>
          <w:rFonts w:ascii="Arial" w:hAnsi="Arial" w:cs="Arial"/>
        </w:rPr>
      </w:pPr>
      <w:r w:rsidRPr="000E32B5">
        <w:rPr>
          <w:rFonts w:cs="Arial"/>
          <w:sz w:val="20"/>
          <w:szCs w:val="20"/>
        </w:rPr>
        <w:br/>
      </w:r>
      <w:r w:rsidR="00FF73F6" w:rsidRPr="00FF73F6">
        <w:rPr>
          <w:rFonts w:ascii="Arial" w:hAnsi="Arial" w:cs="Arial"/>
        </w:rPr>
        <w:t>The aim of the law when it comes to The Transfer of Undertakings (Protection of Employment) Regulations 2006, is to help employees and protect them when the identity of their employer changes.</w:t>
      </w:r>
      <w:r w:rsidR="00FF73F6">
        <w:rPr>
          <w:rFonts w:ascii="Arial" w:hAnsi="Arial" w:cs="Arial"/>
        </w:rPr>
        <w:t xml:space="preserve"> Employees affected by a transfer have the right to consultation</w:t>
      </w:r>
      <w:r w:rsidR="004C2823">
        <w:rPr>
          <w:rFonts w:ascii="Arial" w:hAnsi="Arial" w:cs="Arial"/>
        </w:rPr>
        <w:t xml:space="preserve"> before, during and after the transfer by both organisations.</w:t>
      </w:r>
      <w:r w:rsidR="00FF73F6" w:rsidRPr="00FF73F6">
        <w:rPr>
          <w:rFonts w:ascii="Arial" w:hAnsi="Arial" w:cs="Arial"/>
        </w:rPr>
        <w:t xml:space="preserve"> It protects them by entitling them to the same terms and conditions and continuity of their employment, as they had before the TUPE transfer.</w:t>
      </w:r>
      <w:r w:rsidR="004C2823">
        <w:rPr>
          <w:rFonts w:ascii="Arial" w:hAnsi="Arial" w:cs="Arial"/>
        </w:rPr>
        <w:t xml:space="preserve"> The contents of the employee’s contract also transfers with them. Also any employment related benefits as well as collective agreements transfer in TUPE situations. The TUPE Regulations are usually seen as providing important legal rights and protecting the transferring employees (Taylor and Woodham) </w:t>
      </w:r>
    </w:p>
    <w:p w:rsidR="00D77851" w:rsidRPr="00156B46" w:rsidRDefault="00D77851" w:rsidP="000E32B5">
      <w:pPr>
        <w:rPr>
          <w:rFonts w:ascii="Arial" w:hAnsi="Arial" w:cs="Arial"/>
        </w:rPr>
      </w:pPr>
      <w:r w:rsidRPr="00156B46">
        <w:rPr>
          <w:rFonts w:ascii="Arial" w:hAnsi="Arial" w:cs="Arial"/>
        </w:rPr>
        <w:t>Employee statutory rights have been laid down by law, to ensure staff are treated fairly by their employers. Within two months of starting employment, an employee should receive a written statement clearly detailing terms and conditions, and including expected hours of work, pay and holiday entitlement.</w:t>
      </w:r>
      <w:r w:rsidR="007254CB" w:rsidRPr="00156B46">
        <w:rPr>
          <w:rFonts w:ascii="Arial" w:hAnsi="Arial" w:cs="Arial"/>
        </w:rPr>
        <w:t xml:space="preserve"> In relation to pay, all employees must be paid the National Minimum Wage for the individual’s age. Pay-slips must be provided </w:t>
      </w:r>
      <w:r w:rsidR="003404A1" w:rsidRPr="00156B46">
        <w:rPr>
          <w:rFonts w:ascii="Arial" w:hAnsi="Arial" w:cs="Arial"/>
        </w:rPr>
        <w:t>and be itemised, providing a breakdown of pay and any deductions, for example national insurance and tax.</w:t>
      </w:r>
      <w:r w:rsidR="00762D53" w:rsidRPr="00156B46">
        <w:rPr>
          <w:rFonts w:ascii="Arial" w:hAnsi="Arial" w:cs="Arial"/>
        </w:rPr>
        <w:t xml:space="preserve"> New legislation will be introduced in April 2019 requiring employers to provide an itemized pay-slip to all workers and show the hours worked on pay-slips where the worker’s pay varies depending on the number of hours they have worked (Burges Salmon)</w:t>
      </w:r>
      <w:r w:rsidR="003404A1" w:rsidRPr="00156B46">
        <w:rPr>
          <w:rFonts w:ascii="Arial" w:hAnsi="Arial" w:cs="Arial"/>
        </w:rPr>
        <w:t xml:space="preserve"> Employers cannot make illegal deductions from staff wages.</w:t>
      </w:r>
      <w:r w:rsidR="00762D53" w:rsidRPr="00156B46">
        <w:rPr>
          <w:rFonts w:ascii="Arial" w:hAnsi="Arial" w:cs="Arial"/>
        </w:rPr>
        <w:t xml:space="preserve"> Employees have a right to a certain amount of holiday pay each year. A full time member of staff is entitled to 5.6 weeks paid leave per year, with part time employees receiving it pro-rata. Health and safety laws (HSE) state that employees have a right to daily and weekly rest breaks, which include having at least 20 mins break if the employees working day exceeds 6 hours and a minimum of one full day off during every 7 days.</w:t>
      </w:r>
      <w:r w:rsidR="00AC5F65" w:rsidRPr="00156B46">
        <w:rPr>
          <w:rFonts w:ascii="Arial" w:hAnsi="Arial" w:cs="Arial"/>
        </w:rPr>
        <w:t xml:space="preserve"> Employers cannot force their staff to work more than 48 hours per week, unless an agreement for additional working hours has been put in writing. </w:t>
      </w:r>
    </w:p>
    <w:p w:rsidR="00F77074" w:rsidRPr="00156B46" w:rsidRDefault="00F77074" w:rsidP="000E32B5">
      <w:pPr>
        <w:rPr>
          <w:rFonts w:ascii="Arial" w:hAnsi="Arial" w:cs="Arial"/>
        </w:rPr>
      </w:pPr>
      <w:r w:rsidRPr="00156B46">
        <w:rPr>
          <w:rFonts w:ascii="Arial" w:hAnsi="Arial" w:cs="Arial"/>
        </w:rPr>
        <w:t xml:space="preserve">Statutory maternity, paternity and adoption rights in the UK apply to parents both before and after the birth or adoption. The rights provide parents with the time needed to maintain family responsibilities while keeping their right to return to work. Fathers, adoptive parents and same </w:t>
      </w:r>
      <w:r w:rsidRPr="00156B46">
        <w:rPr>
          <w:rFonts w:ascii="Arial" w:hAnsi="Arial" w:cs="Arial"/>
        </w:rPr>
        <w:lastRenderedPageBreak/>
        <w:t>sex partners are entitled to paternity or maternity leave, adoption and shared parental leave (CIPD). All relevant UK legislation are covered in the Children and Families Act 2014. Other important ‘family-friendly’ conditions, include the right to have unpaid leave for parental and emergencies which involve dependents, and also the right to request flexible working.</w:t>
      </w:r>
    </w:p>
    <w:p w:rsidR="00E00556" w:rsidRPr="00156B46" w:rsidRDefault="00AC5F65" w:rsidP="000E32B5">
      <w:pPr>
        <w:rPr>
          <w:rFonts w:ascii="Arial" w:hAnsi="Arial" w:cs="Arial"/>
        </w:rPr>
      </w:pPr>
      <w:r w:rsidRPr="00156B46">
        <w:rPr>
          <w:rFonts w:ascii="Arial" w:hAnsi="Arial" w:cs="Arial"/>
        </w:rPr>
        <w:t>Female employees are entitled by law for time off for antenatal care and can take 52 weeks statutory maternity leave</w:t>
      </w:r>
      <w:r w:rsidR="00612E9C" w:rsidRPr="00156B46">
        <w:rPr>
          <w:rFonts w:ascii="Arial" w:hAnsi="Arial" w:cs="Arial"/>
        </w:rPr>
        <w:t>, and for those that qualify,</w:t>
      </w:r>
      <w:r w:rsidR="004641C6">
        <w:rPr>
          <w:rFonts w:ascii="Arial" w:hAnsi="Arial" w:cs="Arial"/>
        </w:rPr>
        <w:t xml:space="preserve"> they</w:t>
      </w:r>
      <w:r w:rsidR="00612E9C" w:rsidRPr="00156B46">
        <w:rPr>
          <w:rFonts w:ascii="Arial" w:hAnsi="Arial" w:cs="Arial"/>
        </w:rPr>
        <w:t xml:space="preserve"> are entitled to up to 39 weeks Statutory Maternity Pay. Maximum duration for basic statutory Paternity leave is two weeks</w:t>
      </w:r>
      <w:r w:rsidR="004641C6">
        <w:rPr>
          <w:rFonts w:ascii="Arial" w:hAnsi="Arial" w:cs="Arial"/>
        </w:rPr>
        <w:t xml:space="preserve"> when or around the baby is born</w:t>
      </w:r>
      <w:r w:rsidR="00612E9C" w:rsidRPr="00156B46">
        <w:rPr>
          <w:rFonts w:ascii="Arial" w:hAnsi="Arial" w:cs="Arial"/>
        </w:rPr>
        <w:t xml:space="preserve">. Statutory adoption leave </w:t>
      </w:r>
      <w:r w:rsidR="003D12D1" w:rsidRPr="00156B46">
        <w:rPr>
          <w:rFonts w:ascii="Arial" w:hAnsi="Arial" w:cs="Arial"/>
        </w:rPr>
        <w:t>and pay are similar to statutory maternity leave, where employees may take up to 52 weeks leave, and</w:t>
      </w:r>
      <w:r w:rsidR="004641C6">
        <w:rPr>
          <w:rFonts w:ascii="Arial" w:hAnsi="Arial" w:cs="Arial"/>
        </w:rPr>
        <w:t xml:space="preserve"> are</w:t>
      </w:r>
      <w:r w:rsidR="003D12D1" w:rsidRPr="00156B46">
        <w:rPr>
          <w:rFonts w:ascii="Arial" w:hAnsi="Arial" w:cs="Arial"/>
        </w:rPr>
        <w:t xml:space="preserve"> entitled to 39 weeks of statutory adoption pay</w:t>
      </w:r>
      <w:r w:rsidR="004641C6">
        <w:rPr>
          <w:rFonts w:ascii="Arial" w:hAnsi="Arial" w:cs="Arial"/>
        </w:rPr>
        <w:t>, however only one of the adoptive parents is entitled to this, the partner is then entitled to Paternity Leave of 2 weeks</w:t>
      </w:r>
      <w:r w:rsidR="003D12D1" w:rsidRPr="00156B46">
        <w:rPr>
          <w:rFonts w:ascii="Arial" w:hAnsi="Arial" w:cs="Arial"/>
        </w:rPr>
        <w:t xml:space="preserve">. </w:t>
      </w:r>
      <w:r w:rsidR="004641C6">
        <w:rPr>
          <w:rFonts w:ascii="Arial" w:hAnsi="Arial" w:cs="Arial"/>
        </w:rPr>
        <w:t xml:space="preserve">As a general rule, employees will gain these rights as soon as they begin work for a particular company. There are, however, a few exceptions where these statutory rights only accrue after the employee has worked for the company or business for a certain period of time, this includes </w:t>
      </w:r>
      <w:r w:rsidR="001345B2">
        <w:rPr>
          <w:rFonts w:ascii="Arial" w:hAnsi="Arial" w:cs="Arial"/>
        </w:rPr>
        <w:t>submitting a request for flexible working hours, which after working 26 weeks for an employer can be submitted. Only one request can be made every 12 months (Equal Opportunities commission).</w:t>
      </w:r>
    </w:p>
    <w:p w:rsidR="001345B2" w:rsidRDefault="001345B2" w:rsidP="000E32B5">
      <w:pPr>
        <w:rPr>
          <w:rFonts w:cs="Arial"/>
          <w:color w:val="FF0000"/>
          <w:sz w:val="20"/>
          <w:szCs w:val="20"/>
        </w:rPr>
      </w:pPr>
    </w:p>
    <w:p w:rsidR="001345B2" w:rsidRDefault="00106698" w:rsidP="000E32B5">
      <w:pPr>
        <w:rPr>
          <w:rFonts w:cs="Arial"/>
          <w:color w:val="FF0000"/>
          <w:sz w:val="20"/>
          <w:szCs w:val="20"/>
        </w:rPr>
      </w:pPr>
      <w:r>
        <w:rPr>
          <w:rFonts w:ascii="Arial" w:hAnsi="Arial" w:cs="Arial"/>
        </w:rPr>
        <w:t>The basis of British health and safety law is the Health and Safety at Work etc Act 1974 (HSE).</w:t>
      </w:r>
      <w:r w:rsidR="001345B2">
        <w:rPr>
          <w:rFonts w:ascii="Arial" w:hAnsi="Arial" w:cs="Arial"/>
        </w:rPr>
        <w:t>It is an employee’s duty to protect the health, safety and welfare of their employees and must do whatever is reasonably practicable to successfully achieve this. Making sure workers are protected from anythi</w:t>
      </w:r>
      <w:r>
        <w:rPr>
          <w:rFonts w:ascii="Arial" w:hAnsi="Arial" w:cs="Arial"/>
        </w:rPr>
        <w:t>ng that may cause harm, injury or any other risks to employee’s health that could come about within the workplace. In order to do this, employers must carry out risk assessments within the workplace, and address anything that may cause staff harm. Employers must also give relevant information to employees and how they are protected, whilst carrying out relevant training and instructions.</w:t>
      </w:r>
      <w:r w:rsidR="00531544">
        <w:rPr>
          <w:rFonts w:ascii="Arial" w:hAnsi="Arial" w:cs="Arial"/>
        </w:rPr>
        <w:t xml:space="preserve"> The Health and safety at work act also states that employers must consult with their staff on health and safety issues. This must be done either directly or through a safety representative or an appointed trade union representative. Employers must also provide toilets, washing facilities and drinking water, as well as providing adequate first-aid facilities.</w:t>
      </w:r>
    </w:p>
    <w:p w:rsidR="00531544" w:rsidRDefault="00531544" w:rsidP="000E32B5">
      <w:pPr>
        <w:rPr>
          <w:rFonts w:ascii="Arial" w:hAnsi="Arial" w:cs="Arial"/>
        </w:rPr>
      </w:pPr>
      <w:r w:rsidRPr="00531544">
        <w:rPr>
          <w:rFonts w:ascii="Arial" w:hAnsi="Arial" w:cs="Arial"/>
        </w:rPr>
        <w:t xml:space="preserve">The Equality act 2010 </w:t>
      </w:r>
      <w:r>
        <w:rPr>
          <w:rFonts w:ascii="Arial" w:hAnsi="Arial" w:cs="Arial"/>
        </w:rPr>
        <w:t xml:space="preserve">was introduced to simplify, strengthen and harmonise </w:t>
      </w:r>
      <w:r w:rsidR="00981337">
        <w:rPr>
          <w:rFonts w:ascii="Arial" w:hAnsi="Arial" w:cs="Arial"/>
        </w:rPr>
        <w:t>the 116 pieces of legislation around equality and diversity into one single act.</w:t>
      </w:r>
      <w:r w:rsidR="00A53C68">
        <w:rPr>
          <w:rFonts w:ascii="Arial" w:hAnsi="Arial" w:cs="Arial"/>
        </w:rPr>
        <w:t xml:space="preserve"> </w:t>
      </w:r>
    </w:p>
    <w:p w:rsidR="00981337" w:rsidRDefault="00981337" w:rsidP="000E32B5">
      <w:pPr>
        <w:rPr>
          <w:rFonts w:ascii="Arial" w:hAnsi="Arial" w:cs="Arial"/>
        </w:rPr>
      </w:pPr>
      <w:r>
        <w:rPr>
          <w:rFonts w:ascii="Arial" w:hAnsi="Arial" w:cs="Arial"/>
        </w:rPr>
        <w:t>The Act provides a new discrimination law which protects individuals from unfair treatment and promotes a fair</w:t>
      </w:r>
      <w:r w:rsidR="00A53C68">
        <w:rPr>
          <w:rFonts w:ascii="Arial" w:hAnsi="Arial" w:cs="Arial"/>
        </w:rPr>
        <w:t xml:space="preserve"> environment</w:t>
      </w:r>
      <w:r>
        <w:rPr>
          <w:rFonts w:ascii="Arial" w:hAnsi="Arial" w:cs="Arial"/>
        </w:rPr>
        <w:t xml:space="preserve"> and more equal society.</w:t>
      </w:r>
      <w:r w:rsidR="00A53C68">
        <w:rPr>
          <w:rFonts w:ascii="Arial" w:hAnsi="Arial" w:cs="Arial"/>
        </w:rPr>
        <w:t xml:space="preserve"> It also ensures consistent practice in what employers and employees need to do to make their workplace comply with the law.</w:t>
      </w:r>
      <w:r w:rsidR="008442BF">
        <w:rPr>
          <w:rFonts w:ascii="Arial" w:hAnsi="Arial" w:cs="Arial"/>
        </w:rPr>
        <w:t xml:space="preserve"> It is in place to ensure employees, workers, Job applicants and ex-employees are protected.</w:t>
      </w:r>
    </w:p>
    <w:p w:rsidR="008442BF" w:rsidRDefault="00981337" w:rsidP="000E32B5">
      <w:pPr>
        <w:rPr>
          <w:rFonts w:ascii="Arial" w:hAnsi="Arial" w:cs="Arial"/>
        </w:rPr>
      </w:pPr>
      <w:r w:rsidRPr="008442BF">
        <w:rPr>
          <w:rFonts w:ascii="Arial" w:hAnsi="Arial" w:cs="Arial"/>
        </w:rPr>
        <w:t>The nine main pieces of legislation</w:t>
      </w:r>
      <w:r w:rsidR="00A53C68" w:rsidRPr="008442BF">
        <w:rPr>
          <w:rFonts w:ascii="Arial" w:hAnsi="Arial" w:cs="Arial"/>
        </w:rPr>
        <w:t xml:space="preserve"> (Protected characteristics)</w:t>
      </w:r>
      <w:r w:rsidRPr="008442BF">
        <w:rPr>
          <w:rFonts w:ascii="Arial" w:hAnsi="Arial" w:cs="Arial"/>
        </w:rPr>
        <w:t xml:space="preserve"> that have merged include, </w:t>
      </w:r>
      <w:r w:rsidR="008442BF">
        <w:rPr>
          <w:rFonts w:ascii="Arial" w:hAnsi="Arial" w:cs="Arial"/>
        </w:rPr>
        <w:t xml:space="preserve">Age (section 5 EqA 2010). </w:t>
      </w:r>
      <w:r w:rsidR="008442BF" w:rsidRPr="008442BF">
        <w:rPr>
          <w:rFonts w:ascii="Arial" w:hAnsi="Arial" w:cs="Arial"/>
        </w:rPr>
        <w:t>Dis</w:t>
      </w:r>
      <w:r w:rsidR="008442BF">
        <w:rPr>
          <w:rFonts w:ascii="Arial" w:hAnsi="Arial" w:cs="Arial"/>
        </w:rPr>
        <w:t xml:space="preserve">ability (section 6 EqA 2010). </w:t>
      </w:r>
      <w:r w:rsidR="008442BF" w:rsidRPr="008442BF">
        <w:rPr>
          <w:rFonts w:ascii="Arial" w:hAnsi="Arial" w:cs="Arial"/>
        </w:rPr>
        <w:t xml:space="preserve">Gender reassignment – proposes to, starts or has completed a gender reassignment </w:t>
      </w:r>
      <w:r w:rsidR="008442BF">
        <w:rPr>
          <w:rFonts w:ascii="Arial" w:hAnsi="Arial" w:cs="Arial"/>
        </w:rPr>
        <w:t xml:space="preserve">process (section 7 EqA 2010). </w:t>
      </w:r>
      <w:r w:rsidR="008442BF" w:rsidRPr="008442BF">
        <w:rPr>
          <w:rFonts w:ascii="Arial" w:hAnsi="Arial" w:cs="Arial"/>
        </w:rPr>
        <w:t>Marriage and civil part</w:t>
      </w:r>
      <w:r w:rsidR="008442BF">
        <w:rPr>
          <w:rFonts w:ascii="Arial" w:hAnsi="Arial" w:cs="Arial"/>
        </w:rPr>
        <w:t xml:space="preserve">nership (Section 8 EqA 2010). </w:t>
      </w:r>
      <w:r w:rsidR="008442BF" w:rsidRPr="008442BF">
        <w:rPr>
          <w:rFonts w:ascii="Arial" w:hAnsi="Arial" w:cs="Arial"/>
        </w:rPr>
        <w:t>Pregnancy and mat</w:t>
      </w:r>
      <w:r w:rsidR="008442BF">
        <w:rPr>
          <w:rFonts w:ascii="Arial" w:hAnsi="Arial" w:cs="Arial"/>
        </w:rPr>
        <w:t xml:space="preserve">ernity (section 18 EqA 2010). </w:t>
      </w:r>
      <w:r w:rsidR="008442BF" w:rsidRPr="008442BF">
        <w:rPr>
          <w:rFonts w:ascii="Arial" w:hAnsi="Arial" w:cs="Arial"/>
        </w:rPr>
        <w:t xml:space="preserve">Race – colour, nationality and ethnic or national </w:t>
      </w:r>
      <w:r w:rsidR="008442BF">
        <w:rPr>
          <w:rFonts w:ascii="Arial" w:hAnsi="Arial" w:cs="Arial"/>
        </w:rPr>
        <w:t xml:space="preserve">origins (Section 9 EqA 2010). </w:t>
      </w:r>
      <w:r w:rsidR="008442BF" w:rsidRPr="008442BF">
        <w:rPr>
          <w:rFonts w:ascii="Arial" w:hAnsi="Arial" w:cs="Arial"/>
        </w:rPr>
        <w:t xml:space="preserve">Religion, religious or philosophical </w:t>
      </w:r>
      <w:r w:rsidR="008442BF">
        <w:rPr>
          <w:rFonts w:ascii="Arial" w:hAnsi="Arial" w:cs="Arial"/>
        </w:rPr>
        <w:t xml:space="preserve">belief (Section 10 EqA 2010). Sex (Section 11 EqA 2010). </w:t>
      </w:r>
      <w:r w:rsidR="008442BF" w:rsidRPr="008442BF">
        <w:rPr>
          <w:rFonts w:ascii="Arial" w:hAnsi="Arial" w:cs="Arial"/>
        </w:rPr>
        <w:t>Sexual orientation (Section 12 EqA 2010).</w:t>
      </w:r>
    </w:p>
    <w:p w:rsidR="001345B2" w:rsidRPr="0043032D" w:rsidRDefault="00D33BB5" w:rsidP="0043032D">
      <w:pPr>
        <w:pStyle w:val="Heading3"/>
        <w:shd w:val="clear" w:color="auto" w:fill="FFFFFF"/>
        <w:spacing w:before="300" w:after="150"/>
        <w:rPr>
          <w:rFonts w:ascii="Arial" w:eastAsia="Times New Roman" w:hAnsi="Arial" w:cs="Arial"/>
          <w:color w:val="auto"/>
          <w:sz w:val="22"/>
          <w:szCs w:val="22"/>
        </w:rPr>
      </w:pPr>
      <w:r w:rsidRPr="00D33BB5">
        <w:rPr>
          <w:rFonts w:ascii="Arial" w:hAnsi="Arial" w:cs="Arial"/>
          <w:color w:val="auto"/>
          <w:sz w:val="22"/>
          <w:szCs w:val="22"/>
          <w:shd w:val="clear" w:color="auto" w:fill="FFFFFF"/>
        </w:rPr>
        <w:lastRenderedPageBreak/>
        <w:t>Implied terms are terms of the employment contract that are not necessarily set out in writing or were agreed orally, but will nevertheless form part of the agreement between the employer and employee. No matter how well drafted the </w:t>
      </w:r>
      <w:hyperlink r:id="rId6" w:history="1">
        <w:r w:rsidRPr="00D33BB5">
          <w:rPr>
            <w:rFonts w:ascii="Arial" w:hAnsi="Arial" w:cs="Arial"/>
            <w:color w:val="auto"/>
            <w:sz w:val="22"/>
            <w:szCs w:val="22"/>
            <w:shd w:val="clear" w:color="auto" w:fill="FFFFFF"/>
          </w:rPr>
          <w:t>contract of employment</w:t>
        </w:r>
      </w:hyperlink>
      <w:r w:rsidRPr="00D33BB5">
        <w:rPr>
          <w:rFonts w:ascii="Arial" w:hAnsi="Arial" w:cs="Arial"/>
          <w:color w:val="auto"/>
          <w:sz w:val="22"/>
          <w:szCs w:val="22"/>
          <w:shd w:val="clear" w:color="auto" w:fill="FFFFFF"/>
        </w:rPr>
        <w:t> is, there will still be implied te</w:t>
      </w:r>
      <w:r w:rsidRPr="00A07622">
        <w:rPr>
          <w:rFonts w:ascii="Arial" w:hAnsi="Arial" w:cs="Arial"/>
          <w:color w:val="auto"/>
          <w:sz w:val="22"/>
          <w:szCs w:val="22"/>
          <w:shd w:val="clear" w:color="auto" w:fill="FFFFFF"/>
        </w:rPr>
        <w:t>rms and it is important to know what obligations and duties these impose.</w:t>
      </w:r>
      <w:r w:rsidR="00013684" w:rsidRPr="00A07622">
        <w:rPr>
          <w:rFonts w:ascii="Arial" w:hAnsi="Arial" w:cs="Arial"/>
          <w:color w:val="auto"/>
          <w:sz w:val="22"/>
          <w:szCs w:val="22"/>
          <w:shd w:val="clear" w:color="auto" w:fill="FFFFFF"/>
        </w:rPr>
        <w:t xml:space="preserve"> Some im</w:t>
      </w:r>
      <w:r w:rsidR="00A07622" w:rsidRPr="00A07622">
        <w:rPr>
          <w:rFonts w:ascii="Arial" w:hAnsi="Arial" w:cs="Arial"/>
          <w:color w:val="auto"/>
          <w:sz w:val="22"/>
          <w:szCs w:val="22"/>
          <w:shd w:val="clear" w:color="auto" w:fill="FFFFFF"/>
        </w:rPr>
        <w:t>portant implied terms include, t</w:t>
      </w:r>
      <w:r w:rsidR="00013684" w:rsidRPr="00A07622">
        <w:rPr>
          <w:rFonts w:ascii="Arial" w:hAnsi="Arial" w:cs="Arial"/>
          <w:color w:val="auto"/>
          <w:sz w:val="22"/>
          <w:szCs w:val="22"/>
          <w:shd w:val="clear" w:color="auto" w:fill="FFFFFF"/>
        </w:rPr>
        <w:t>he duty to maintain mutual trust and confidence</w:t>
      </w:r>
      <w:r w:rsidR="00A07622" w:rsidRPr="00A07622">
        <w:rPr>
          <w:rFonts w:ascii="Arial" w:hAnsi="Arial" w:cs="Arial"/>
          <w:color w:val="auto"/>
          <w:sz w:val="22"/>
          <w:szCs w:val="22"/>
          <w:shd w:val="clear" w:color="auto" w:fill="FFFFFF"/>
        </w:rPr>
        <w:t xml:space="preserve">. The duty of fidelity which requires the employee to faithfully serve an employer and not act against their employer’s interest. </w:t>
      </w:r>
      <w:r w:rsidR="00A07622" w:rsidRPr="00A07622">
        <w:rPr>
          <w:rFonts w:ascii="Arial" w:eastAsia="Times New Roman" w:hAnsi="Arial" w:cs="Arial"/>
          <w:color w:val="auto"/>
          <w:sz w:val="22"/>
          <w:szCs w:val="22"/>
        </w:rPr>
        <w:t xml:space="preserve">The duty to pay is usually set out as </w:t>
      </w:r>
      <w:r w:rsidR="00A07622">
        <w:rPr>
          <w:rFonts w:ascii="Arial" w:eastAsia="Times New Roman" w:hAnsi="Arial" w:cs="Arial"/>
          <w:color w:val="auto"/>
          <w:sz w:val="22"/>
          <w:szCs w:val="22"/>
        </w:rPr>
        <w:t>an express term. However if an employees contract does not</w:t>
      </w:r>
      <w:r w:rsidR="00A07622" w:rsidRPr="00A07622">
        <w:rPr>
          <w:rFonts w:ascii="Arial" w:eastAsia="Times New Roman" w:hAnsi="Arial" w:cs="Arial"/>
          <w:color w:val="auto"/>
          <w:sz w:val="22"/>
          <w:szCs w:val="22"/>
        </w:rPr>
        <w:t xml:space="preserve"> say or it doesn't give the correct pay, then legislation will imply a term that the worker is entitled to reasonab</w:t>
      </w:r>
      <w:r w:rsidR="00A07622">
        <w:rPr>
          <w:rFonts w:ascii="Arial" w:eastAsia="Times New Roman" w:hAnsi="Arial" w:cs="Arial"/>
          <w:color w:val="auto"/>
          <w:sz w:val="22"/>
          <w:szCs w:val="22"/>
        </w:rPr>
        <w:t>le remuneration or minimum wage. Health and safety of the employee and to take reasonable care for them, as well as providing a safe and reasonable working environment. The duty to take reasonable care in giving references, however an employer is not obliged to provide a reference. If references are given, then there is an implied term stating that the employer will exercise reasonable care in providing it.</w:t>
      </w:r>
    </w:p>
    <w:p w:rsidR="005E4153" w:rsidRPr="00360556" w:rsidRDefault="0043032D" w:rsidP="000E32B5">
      <w:pPr>
        <w:rPr>
          <w:rFonts w:ascii="Arial" w:hAnsi="Arial" w:cs="Arial"/>
        </w:rPr>
      </w:pPr>
      <w:r w:rsidRPr="0043032D">
        <w:rPr>
          <w:rFonts w:ascii="Arial" w:hAnsi="Arial" w:cs="Arial"/>
          <w:shd w:val="clear" w:color="auto" w:fill="FFFFFF"/>
        </w:rPr>
        <w:t>An employee must meet certain conditions to bring a claim for unfair dismissal</w:t>
      </w:r>
      <w:r w:rsidRPr="0043032D">
        <w:rPr>
          <w:rFonts w:ascii="Arial" w:hAnsi="Arial" w:cs="Arial"/>
          <w:shd w:val="clear" w:color="auto" w:fill="FFFFFF"/>
        </w:rPr>
        <w:t>, i</w:t>
      </w:r>
      <w:r w:rsidRPr="0043032D">
        <w:rPr>
          <w:rFonts w:ascii="Arial" w:hAnsi="Arial" w:cs="Arial"/>
          <w:shd w:val="clear" w:color="auto" w:fill="FFFFFF"/>
        </w:rPr>
        <w:t>f a claim for unfair dismissal is brought, the employer must show that the reason for the dismissal is potentially fair and the employment tribunal will decide whether or not the dismissal was fair in all the circumstances</w:t>
      </w:r>
      <w:r>
        <w:rPr>
          <w:rFonts w:ascii="Arial" w:hAnsi="Arial" w:cs="Arial"/>
        </w:rPr>
        <w:t xml:space="preserve">. </w:t>
      </w:r>
      <w:r w:rsidR="00E3087F" w:rsidRPr="0043032D">
        <w:rPr>
          <w:rFonts w:ascii="Arial" w:hAnsi="Arial" w:cs="Arial"/>
        </w:rPr>
        <w:t xml:space="preserve">In order for employees to claim unfair dismissal in respect of capability, they must prove that the employer failed </w:t>
      </w:r>
      <w:r w:rsidRPr="0043032D">
        <w:rPr>
          <w:rFonts w:ascii="Arial" w:hAnsi="Arial" w:cs="Arial"/>
        </w:rPr>
        <w:t>to follow procedures. Formal hearings must be set up and timescales must be put in place with specific performance targets set. Realistic timescales must be set to help employee meet any targets. Performance must then be reviewed at a later date and a decision</w:t>
      </w:r>
      <w:r>
        <w:rPr>
          <w:rFonts w:ascii="Arial" w:hAnsi="Arial" w:cs="Arial"/>
        </w:rPr>
        <w:t xml:space="preserve"> taken at a further hearing on whether to dismiss or not, further warnings or drop the issue. Right to appeal process must also be provided for </w:t>
      </w:r>
      <w:r w:rsidR="00FF6B7C">
        <w:rPr>
          <w:rFonts w:ascii="Arial" w:hAnsi="Arial" w:cs="Arial"/>
        </w:rPr>
        <w:t>(Taylor and Woodhams).</w:t>
      </w:r>
    </w:p>
    <w:p w:rsidR="0043032D" w:rsidRPr="0043032D" w:rsidRDefault="00FF6B7C" w:rsidP="000E32B5">
      <w:pPr>
        <w:rPr>
          <w:rFonts w:ascii="Arial" w:hAnsi="Arial" w:cs="Arial"/>
        </w:rPr>
      </w:pPr>
      <w:r>
        <w:rPr>
          <w:rFonts w:ascii="Arial" w:hAnsi="Arial" w:cs="Arial"/>
        </w:rPr>
        <w:t>Taylor and Woodhams (2015) state that dismissals on the grounds of misconduct are very common. This reason in case law is classed at being ‘potentially fair’. This means that the employer does have the legal right to dismiss an employee in respect to misconduct, however the employer must follow correct procedures when dealing with the mat</w:t>
      </w:r>
      <w:r w:rsidR="00360556">
        <w:rPr>
          <w:rFonts w:ascii="Arial" w:hAnsi="Arial" w:cs="Arial"/>
        </w:rPr>
        <w:t>ter. Taylor and Woodhams also sugest</w:t>
      </w:r>
      <w:r>
        <w:rPr>
          <w:rFonts w:ascii="Arial" w:hAnsi="Arial" w:cs="Arial"/>
        </w:rPr>
        <w:t xml:space="preserve"> tha</w:t>
      </w:r>
      <w:r w:rsidR="00360556">
        <w:rPr>
          <w:rFonts w:ascii="Arial" w:hAnsi="Arial" w:cs="Arial"/>
        </w:rPr>
        <w:t>t is why most HR managers</w:t>
      </w:r>
      <w:r>
        <w:rPr>
          <w:rFonts w:ascii="Arial" w:hAnsi="Arial" w:cs="Arial"/>
        </w:rPr>
        <w:t xml:space="preserve"> ‘think legally’ from the start</w:t>
      </w:r>
      <w:r w:rsidR="00360556">
        <w:rPr>
          <w:rFonts w:ascii="Arial" w:hAnsi="Arial" w:cs="Arial"/>
        </w:rPr>
        <w:t xml:space="preserve"> of any misconduct case</w:t>
      </w:r>
      <w:r>
        <w:rPr>
          <w:rFonts w:ascii="Arial" w:hAnsi="Arial" w:cs="Arial"/>
        </w:rPr>
        <w:t>.</w:t>
      </w:r>
      <w:r w:rsidR="00360556">
        <w:rPr>
          <w:rFonts w:ascii="Arial" w:hAnsi="Arial" w:cs="Arial"/>
        </w:rPr>
        <w:t xml:space="preserve"> It is important then, that employers conduct an investigation surrounding the misconduct. Hold a hearing for the employee to put their case forward and be represented by either a colleague or a union representative. If appropriate then issue a warning. Then give the employee a chance to appeal to a more senior member of staff within the organisation. If an Employment tribunal doesn’t see these steps then they will more likely find a dismissal to be unfair.</w:t>
      </w:r>
    </w:p>
    <w:p w:rsidR="00A07BC1" w:rsidRDefault="00360556" w:rsidP="00360556">
      <w:pPr>
        <w:shd w:val="clear" w:color="auto" w:fill="FFFFFF"/>
        <w:spacing w:after="360" w:line="240" w:lineRule="auto"/>
        <w:textAlignment w:val="baseline"/>
        <w:rPr>
          <w:rFonts w:ascii="Arial" w:eastAsia="Times New Roman" w:hAnsi="Arial" w:cs="Arial"/>
        </w:rPr>
      </w:pPr>
      <w:r w:rsidRPr="00360556">
        <w:rPr>
          <w:rFonts w:ascii="Arial" w:eastAsia="Times New Roman" w:hAnsi="Arial" w:cs="Arial"/>
        </w:rPr>
        <w:t>This procedure applies where the employee has a grievance which relates to statutory employment rights such as equal pay, discrimination, redundancy, maternity, etc.</w:t>
      </w:r>
      <w:r w:rsidR="00A07BC1">
        <w:rPr>
          <w:rFonts w:ascii="Arial" w:eastAsia="Times New Roman" w:hAnsi="Arial" w:cs="Arial"/>
        </w:rPr>
        <w:t xml:space="preserve"> </w:t>
      </w:r>
      <w:r w:rsidRPr="00360556">
        <w:rPr>
          <w:rFonts w:ascii="Arial" w:eastAsia="Times New Roman" w:hAnsi="Arial" w:cs="Arial"/>
        </w:rPr>
        <w:t>ACAS Code recommends informal procedures are used to resolve minor grievances wherever possible where a quiet word</w:t>
      </w:r>
      <w:r w:rsidR="00A07BC1">
        <w:rPr>
          <w:rFonts w:ascii="Arial" w:eastAsia="Times New Roman" w:hAnsi="Arial" w:cs="Arial"/>
        </w:rPr>
        <w:t xml:space="preserve"> with an employee may resolve the grievance issue</w:t>
      </w:r>
      <w:r w:rsidRPr="00360556">
        <w:rPr>
          <w:rFonts w:ascii="Arial" w:eastAsia="Times New Roman" w:hAnsi="Arial" w:cs="Arial"/>
        </w:rPr>
        <w:t>.</w:t>
      </w:r>
    </w:p>
    <w:p w:rsidR="00360556" w:rsidRPr="00360556" w:rsidRDefault="00360556" w:rsidP="00360556">
      <w:pPr>
        <w:shd w:val="clear" w:color="auto" w:fill="FFFFFF"/>
        <w:spacing w:after="360" w:line="240" w:lineRule="auto"/>
        <w:textAlignment w:val="baseline"/>
        <w:rPr>
          <w:rFonts w:ascii="Arial" w:eastAsia="Times New Roman" w:hAnsi="Arial" w:cs="Arial"/>
        </w:rPr>
      </w:pPr>
      <w:r w:rsidRPr="00360556">
        <w:rPr>
          <w:rFonts w:ascii="Arial" w:eastAsia="Times New Roman" w:hAnsi="Arial" w:cs="Arial"/>
        </w:rPr>
        <w:t>The employer must invite the employee to attend a meeting</w:t>
      </w:r>
      <w:r w:rsidR="00A07BC1">
        <w:rPr>
          <w:rFonts w:ascii="Arial" w:eastAsia="Times New Roman" w:hAnsi="Arial" w:cs="Arial"/>
        </w:rPr>
        <w:t xml:space="preserve"> to discuss the grievance</w:t>
      </w:r>
      <w:r w:rsidRPr="00360556">
        <w:rPr>
          <w:rFonts w:ascii="Arial" w:eastAsia="Times New Roman" w:hAnsi="Arial" w:cs="Arial"/>
        </w:rPr>
        <w:t>. The employee has the right to be accompanied by a work colleague or union representative or official. The meeting must take place at a reasonable time and a convenient location.</w:t>
      </w:r>
    </w:p>
    <w:p w:rsidR="00360556" w:rsidRPr="00360556" w:rsidRDefault="00A07BC1" w:rsidP="00360556">
      <w:pPr>
        <w:shd w:val="clear" w:color="auto" w:fill="FFFFFF"/>
        <w:spacing w:after="360" w:line="240" w:lineRule="auto"/>
        <w:textAlignment w:val="baseline"/>
        <w:rPr>
          <w:rFonts w:ascii="Arial" w:eastAsia="Times New Roman" w:hAnsi="Arial" w:cs="Arial"/>
        </w:rPr>
      </w:pPr>
      <w:r>
        <w:rPr>
          <w:rFonts w:ascii="Arial" w:eastAsia="Times New Roman" w:hAnsi="Arial" w:cs="Arial"/>
        </w:rPr>
        <w:t>At the meeting, the employee</w:t>
      </w:r>
      <w:r w:rsidR="00360556" w:rsidRPr="00360556">
        <w:rPr>
          <w:rFonts w:ascii="Arial" w:eastAsia="Times New Roman" w:hAnsi="Arial" w:cs="Arial"/>
        </w:rPr>
        <w:t xml:space="preserve"> should state his/her grievance and give the employer an opportunity to respond. Following the meeting, the employer should notify the employee of their </w:t>
      </w:r>
      <w:r w:rsidR="00360556" w:rsidRPr="00360556">
        <w:rPr>
          <w:rFonts w:ascii="Arial" w:eastAsia="Times New Roman" w:hAnsi="Arial" w:cs="Arial"/>
        </w:rPr>
        <w:lastRenderedPageBreak/>
        <w:t>decision and tell the employee that they may appeal against the decision if they feel the grievance has not been satisfactorily resolved.</w:t>
      </w:r>
    </w:p>
    <w:p w:rsidR="00360556" w:rsidRPr="00360556" w:rsidRDefault="00360556" w:rsidP="00360556">
      <w:pPr>
        <w:shd w:val="clear" w:color="auto" w:fill="FFFFFF"/>
        <w:spacing w:after="0" w:line="240" w:lineRule="auto"/>
        <w:textAlignment w:val="baseline"/>
        <w:rPr>
          <w:rFonts w:ascii="Lucida Sans Unicode" w:eastAsia="Times New Roman" w:hAnsi="Lucida Sans Unicode" w:cs="Lucida Sans Unicode"/>
          <w:color w:val="666666"/>
          <w:sz w:val="23"/>
          <w:szCs w:val="23"/>
        </w:rPr>
      </w:pPr>
      <w:r w:rsidRPr="00360556">
        <w:rPr>
          <w:rFonts w:ascii="Arial" w:eastAsia="Times New Roman" w:hAnsi="Arial" w:cs="Arial"/>
        </w:rPr>
        <w:t>The employee may appeal against the decision and choose to be accompanied at the appeal meeting, which should ideally be heard by a different or more senior manager. The employer should inform the employee of the decision of the appeal</w:t>
      </w:r>
      <w:r w:rsidR="00A07BC1" w:rsidRPr="00A07BC1">
        <w:rPr>
          <w:rFonts w:ascii="Arial" w:eastAsia="Times New Roman" w:hAnsi="Arial" w:cs="Arial"/>
        </w:rPr>
        <w:t xml:space="preserve"> (ACAS)</w:t>
      </w:r>
      <w:r w:rsidR="00A07BC1">
        <w:rPr>
          <w:rFonts w:ascii="Arial" w:eastAsia="Times New Roman" w:hAnsi="Arial" w:cs="Arial"/>
        </w:rPr>
        <w:t>.</w:t>
      </w:r>
    </w:p>
    <w:p w:rsidR="00596F2D" w:rsidRPr="00360556" w:rsidRDefault="00E00556" w:rsidP="000E32B5">
      <w:pPr>
        <w:rPr>
          <w:rFonts w:ascii="Arial" w:hAnsi="Arial" w:cs="Arial"/>
          <w:color w:val="FF0000"/>
        </w:rPr>
      </w:pPr>
      <w:r w:rsidRPr="000E32B5">
        <w:rPr>
          <w:rFonts w:cs="Arial"/>
          <w:color w:val="FF0000"/>
          <w:sz w:val="20"/>
          <w:szCs w:val="20"/>
        </w:rPr>
        <w:br/>
      </w:r>
    </w:p>
    <w:p w:rsidR="0004302F" w:rsidRDefault="0004302F"/>
    <w:p w:rsidR="003073C2" w:rsidRDefault="003073C2"/>
    <w:p w:rsidR="003073C2" w:rsidRDefault="003073C2"/>
    <w:p w:rsidR="003073C2" w:rsidRDefault="003073C2"/>
    <w:p w:rsidR="003073C2" w:rsidRDefault="003073C2"/>
    <w:p w:rsidR="003073C2" w:rsidRDefault="003073C2"/>
    <w:p w:rsidR="00E00556" w:rsidRDefault="00E00556"/>
    <w:p w:rsidR="00E00556" w:rsidRDefault="00E00556"/>
    <w:p w:rsidR="00E00556" w:rsidRDefault="00E00556"/>
    <w:p w:rsidR="00E00556" w:rsidRDefault="00E00556"/>
    <w:p w:rsidR="00E00556" w:rsidRDefault="00E00556"/>
    <w:p w:rsidR="00E00556" w:rsidRDefault="00E00556"/>
    <w:p w:rsidR="00E00556" w:rsidRDefault="00E00556"/>
    <w:p w:rsidR="003073C2" w:rsidRDefault="003073C2"/>
    <w:p w:rsidR="003073C2" w:rsidRDefault="003073C2"/>
    <w:p w:rsidR="000F7FE9" w:rsidRDefault="000F7FE9"/>
    <w:p w:rsidR="000F7FE9" w:rsidRDefault="000F7FE9"/>
    <w:p w:rsidR="000F7FE9" w:rsidRDefault="000F7FE9"/>
    <w:p w:rsidR="000F7FE9" w:rsidRDefault="000F7FE9"/>
    <w:p w:rsidR="000F7FE9" w:rsidRDefault="000F7FE9"/>
    <w:p w:rsidR="000E2046" w:rsidRDefault="000E2046"/>
    <w:p w:rsidR="000E2046" w:rsidRDefault="000E2046"/>
    <w:p w:rsidR="000E2046" w:rsidRDefault="000E2046"/>
    <w:p w:rsidR="000E2046" w:rsidRDefault="000E2046"/>
    <w:p w:rsidR="003073C2" w:rsidRDefault="003073C2">
      <w:bookmarkStart w:id="0" w:name="_GoBack"/>
      <w:bookmarkEnd w:id="0"/>
      <w:r w:rsidRPr="003073C2">
        <w:lastRenderedPageBreak/>
        <w:t>Bibliography</w:t>
      </w:r>
      <w:r>
        <w:t>:</w:t>
      </w:r>
    </w:p>
    <w:p w:rsidR="003073C2" w:rsidRDefault="00DA35AB">
      <w:r>
        <w:t>Daniels, K. (2019) Introduction to employment Law (5th edn). pp 1-2</w:t>
      </w:r>
      <w:r w:rsidR="008B2D00">
        <w:t xml:space="preserve"> [On-line]</w:t>
      </w:r>
      <w:r>
        <w:t xml:space="preserve"> (Accessed: 1</w:t>
      </w:r>
      <w:r w:rsidRPr="00DA35AB">
        <w:rPr>
          <w:vertAlign w:val="superscript"/>
        </w:rPr>
        <w:t>st</w:t>
      </w:r>
      <w:r>
        <w:t xml:space="preserve"> March 2019</w:t>
      </w:r>
      <w:r w:rsidR="00D8054C">
        <w:t>)</w:t>
      </w:r>
    </w:p>
    <w:p w:rsidR="000E32B5" w:rsidRDefault="000E32B5" w:rsidP="000E32B5">
      <w:r>
        <w:t xml:space="preserve">ACAS (2019)    </w:t>
      </w:r>
      <w:hyperlink r:id="rId7" w:history="1">
        <w:r w:rsidRPr="001A69C3">
          <w:rPr>
            <w:rStyle w:val="Hyperlink"/>
          </w:rPr>
          <w:t>http://www.acas.org.uk/index.aspx?articleid=1889</w:t>
        </w:r>
      </w:hyperlink>
      <w:r>
        <w:t xml:space="preserve"> [On-line] (Accessed: 1</w:t>
      </w:r>
      <w:r w:rsidRPr="00DA35AB">
        <w:rPr>
          <w:vertAlign w:val="superscript"/>
        </w:rPr>
        <w:t>st</w:t>
      </w:r>
      <w:r>
        <w:t xml:space="preserve"> March 2019)</w:t>
      </w:r>
    </w:p>
    <w:p w:rsidR="00CD6F74" w:rsidRDefault="00CD6F74" w:rsidP="000E32B5">
      <w:r>
        <w:t xml:space="preserve">Pearson (2017) </w:t>
      </w:r>
      <w:hyperlink r:id="rId8" w:history="1">
        <w:r w:rsidRPr="001A69C3">
          <w:rPr>
            <w:rStyle w:val="Hyperlink"/>
          </w:rPr>
          <w:t>https://catalogue.pearsoned.co.uk/assets/hip/gb/hip_gb_pearsonhighered/samplechapter/1408270471.pdf</w:t>
        </w:r>
      </w:hyperlink>
      <w:r>
        <w:t xml:space="preserve"> pp 20-25 [On-line] (Accessed: 1</w:t>
      </w:r>
      <w:r w:rsidRPr="00DA35AB">
        <w:rPr>
          <w:vertAlign w:val="superscript"/>
        </w:rPr>
        <w:t>st</w:t>
      </w:r>
      <w:r>
        <w:t xml:space="preserve"> March 2019)</w:t>
      </w:r>
    </w:p>
    <w:p w:rsidR="00683BEE" w:rsidRDefault="00683BEE" w:rsidP="000E32B5">
      <w:r>
        <w:t xml:space="preserve">ACAS (2019) </w:t>
      </w:r>
      <w:hyperlink r:id="rId9" w:history="1">
        <w:r w:rsidRPr="00F26D3A">
          <w:rPr>
            <w:rStyle w:val="Hyperlink"/>
          </w:rPr>
          <w:t>http://www.acas.org.uk/index.aspx?articleid=1577</w:t>
        </w:r>
      </w:hyperlink>
      <w:r>
        <w:t xml:space="preserve"> [On-line] (Accessed: 1</w:t>
      </w:r>
      <w:r w:rsidRPr="00DA35AB">
        <w:rPr>
          <w:vertAlign w:val="superscript"/>
        </w:rPr>
        <w:t>st</w:t>
      </w:r>
      <w:r>
        <w:t xml:space="preserve"> March 2019)</w:t>
      </w:r>
    </w:p>
    <w:p w:rsidR="000E32B5" w:rsidRDefault="004641C6">
      <w:r>
        <w:t xml:space="preserve">CIPD (2019) </w:t>
      </w:r>
      <w:hyperlink r:id="rId10" w:anchor="6275" w:history="1">
        <w:r w:rsidRPr="00440EB6">
          <w:rPr>
            <w:rStyle w:val="Hyperlink"/>
          </w:rPr>
          <w:t>https://www.cipd.co.uk/knowledge/fundamentals/emp-law/maternity-paternity-rights/factsheet#6275</w:t>
        </w:r>
      </w:hyperlink>
      <w:r>
        <w:t xml:space="preserve"> [On-line] (Accessed: 10</w:t>
      </w:r>
      <w:r w:rsidRPr="004641C6">
        <w:rPr>
          <w:vertAlign w:val="superscript"/>
        </w:rPr>
        <w:t>th</w:t>
      </w:r>
      <w:r>
        <w:t xml:space="preserve"> March 2019) </w:t>
      </w:r>
    </w:p>
    <w:p w:rsidR="001345B2" w:rsidRDefault="001345B2" w:rsidP="001345B2">
      <w:r>
        <w:t xml:space="preserve">EOC (2019) </w:t>
      </w:r>
      <w:hyperlink r:id="rId11" w:history="1">
        <w:r w:rsidRPr="00440EB6">
          <w:rPr>
            <w:rStyle w:val="Hyperlink"/>
          </w:rPr>
          <w:t>https://www.eoc.org.uk/employees-rights/</w:t>
        </w:r>
      </w:hyperlink>
      <w:r>
        <w:t xml:space="preserve">  [On-line] (Accessed: 10</w:t>
      </w:r>
      <w:r w:rsidRPr="004641C6">
        <w:rPr>
          <w:vertAlign w:val="superscript"/>
        </w:rPr>
        <w:t>th</w:t>
      </w:r>
      <w:r>
        <w:t xml:space="preserve"> March 2019) </w:t>
      </w:r>
    </w:p>
    <w:p w:rsidR="001345B2" w:rsidRDefault="00531544">
      <w:r>
        <w:t xml:space="preserve">HSE (2019)  </w:t>
      </w:r>
      <w:hyperlink r:id="rId12" w:history="1">
        <w:r w:rsidRPr="00440EB6">
          <w:rPr>
            <w:rStyle w:val="Hyperlink"/>
          </w:rPr>
          <w:t>http://www.hse.gov.uk/workers/employers.htm</w:t>
        </w:r>
      </w:hyperlink>
      <w:r>
        <w:t xml:space="preserve"> [On-line] (Accessed: 10</w:t>
      </w:r>
      <w:r w:rsidRPr="004641C6">
        <w:rPr>
          <w:vertAlign w:val="superscript"/>
        </w:rPr>
        <w:t>th</w:t>
      </w:r>
      <w:r>
        <w:t xml:space="preserve"> March 2019)</w:t>
      </w:r>
    </w:p>
    <w:p w:rsidR="00FF6B7C" w:rsidRDefault="00FF6B7C" w:rsidP="00FF6B7C">
      <w:r>
        <w:t>Taylor and Woodhams. (2015) Managing people and Organisations (3rd edn). pp 40-47</w:t>
      </w:r>
      <w:r w:rsidR="004C2823">
        <w:t>.</w:t>
      </w:r>
      <w:r>
        <w:t xml:space="preserve"> </w:t>
      </w:r>
    </w:p>
    <w:p w:rsidR="004C2823" w:rsidRDefault="004C2823" w:rsidP="004C2823">
      <w:r>
        <w:t>Taylor and Woodhams. (2015) Managing people and Or</w:t>
      </w:r>
      <w:r>
        <w:t>ganisations (3rd edn). pp 31-33.</w:t>
      </w:r>
    </w:p>
    <w:p w:rsidR="003073C2" w:rsidRDefault="004C2823">
      <w:pPr>
        <w:rPr>
          <w:u w:val="single"/>
        </w:rPr>
      </w:pPr>
      <w:r>
        <w:t xml:space="preserve">CIPD (2019) </w:t>
      </w:r>
      <w:hyperlink r:id="rId13" w:history="1">
        <w:r w:rsidRPr="001163C6">
          <w:rPr>
            <w:rStyle w:val="Hyperlink"/>
          </w:rPr>
          <w:t>https://www.cipd.co.uk/knowledge/fundamentals/emp-law/tupe/factsheet</w:t>
        </w:r>
      </w:hyperlink>
      <w:r>
        <w:rPr>
          <w:u w:val="single"/>
        </w:rPr>
        <w:t xml:space="preserve"> </w:t>
      </w:r>
      <w:r>
        <w:t>[On-line] (Accessed: 10</w:t>
      </w:r>
      <w:r w:rsidRPr="004641C6">
        <w:rPr>
          <w:vertAlign w:val="superscript"/>
        </w:rPr>
        <w:t>th</w:t>
      </w:r>
      <w:r>
        <w:t xml:space="preserve"> March 2019)</w:t>
      </w:r>
    </w:p>
    <w:p w:rsidR="004C2823" w:rsidRPr="003073C2" w:rsidRDefault="004C2823">
      <w:pPr>
        <w:rPr>
          <w:u w:val="single"/>
        </w:rPr>
      </w:pPr>
    </w:p>
    <w:sectPr w:rsidR="004C2823" w:rsidRPr="003073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Lucida Sans Unicode">
    <w:panose1 w:val="020B0602030504020204"/>
    <w:charset w:val="00"/>
    <w:family w:val="swiss"/>
    <w:pitch w:val="variable"/>
    <w:sig w:usb0="80000AFF" w:usb1="0000396B" w:usb2="00000000" w:usb3="00000000" w:csb0="000000B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A84E71"/>
    <w:multiLevelType w:val="multilevel"/>
    <w:tmpl w:val="0C0CA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9405B1"/>
    <w:multiLevelType w:val="multilevel"/>
    <w:tmpl w:val="0330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D258C5"/>
    <w:multiLevelType w:val="hybridMultilevel"/>
    <w:tmpl w:val="7090A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9D73113"/>
    <w:multiLevelType w:val="multilevel"/>
    <w:tmpl w:val="AC1E8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8F3DBF"/>
    <w:multiLevelType w:val="multilevel"/>
    <w:tmpl w:val="00E46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427"/>
    <w:rsid w:val="00011D30"/>
    <w:rsid w:val="00013684"/>
    <w:rsid w:val="00016814"/>
    <w:rsid w:val="0004302F"/>
    <w:rsid w:val="000E2046"/>
    <w:rsid w:val="000E32B5"/>
    <w:rsid w:val="000F7FE9"/>
    <w:rsid w:val="00106698"/>
    <w:rsid w:val="001345B2"/>
    <w:rsid w:val="001457F7"/>
    <w:rsid w:val="00153F27"/>
    <w:rsid w:val="00156176"/>
    <w:rsid w:val="00156B46"/>
    <w:rsid w:val="001848F2"/>
    <w:rsid w:val="00231F92"/>
    <w:rsid w:val="00253B89"/>
    <w:rsid w:val="002E29D7"/>
    <w:rsid w:val="002F14FE"/>
    <w:rsid w:val="003073C2"/>
    <w:rsid w:val="003404A1"/>
    <w:rsid w:val="00360556"/>
    <w:rsid w:val="003C4497"/>
    <w:rsid w:val="003D12D1"/>
    <w:rsid w:val="0043032D"/>
    <w:rsid w:val="004317C5"/>
    <w:rsid w:val="004641C6"/>
    <w:rsid w:val="004C2823"/>
    <w:rsid w:val="004F7A74"/>
    <w:rsid w:val="00531544"/>
    <w:rsid w:val="00532BB5"/>
    <w:rsid w:val="00596F2D"/>
    <w:rsid w:val="005D0458"/>
    <w:rsid w:val="005E4153"/>
    <w:rsid w:val="00612E9C"/>
    <w:rsid w:val="006609F4"/>
    <w:rsid w:val="0066267F"/>
    <w:rsid w:val="006808BF"/>
    <w:rsid w:val="00683BEE"/>
    <w:rsid w:val="006F7FDD"/>
    <w:rsid w:val="00714ED3"/>
    <w:rsid w:val="007254CB"/>
    <w:rsid w:val="00762D53"/>
    <w:rsid w:val="008442BF"/>
    <w:rsid w:val="008966B4"/>
    <w:rsid w:val="008B2D00"/>
    <w:rsid w:val="00981337"/>
    <w:rsid w:val="009F6C48"/>
    <w:rsid w:val="00A07622"/>
    <w:rsid w:val="00A07BC1"/>
    <w:rsid w:val="00A41BE8"/>
    <w:rsid w:val="00A53C68"/>
    <w:rsid w:val="00A638C2"/>
    <w:rsid w:val="00A6397C"/>
    <w:rsid w:val="00A95433"/>
    <w:rsid w:val="00AC5F65"/>
    <w:rsid w:val="00AD42B9"/>
    <w:rsid w:val="00AD4BAD"/>
    <w:rsid w:val="00CD6F74"/>
    <w:rsid w:val="00CD798E"/>
    <w:rsid w:val="00D33BB5"/>
    <w:rsid w:val="00D377DD"/>
    <w:rsid w:val="00D52C5B"/>
    <w:rsid w:val="00D72A16"/>
    <w:rsid w:val="00D77851"/>
    <w:rsid w:val="00D8054C"/>
    <w:rsid w:val="00DA35AB"/>
    <w:rsid w:val="00DA5D4D"/>
    <w:rsid w:val="00DB7427"/>
    <w:rsid w:val="00DD4AA3"/>
    <w:rsid w:val="00E00556"/>
    <w:rsid w:val="00E3087F"/>
    <w:rsid w:val="00E36342"/>
    <w:rsid w:val="00F41C74"/>
    <w:rsid w:val="00F77074"/>
    <w:rsid w:val="00FF6B7C"/>
    <w:rsid w:val="00FF73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D35B90-94AC-4FF2-BE81-6E745DAED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unhideWhenUsed/>
    <w:qFormat/>
    <w:rsid w:val="00A0762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0556"/>
    <w:pPr>
      <w:spacing w:after="0" w:line="240" w:lineRule="auto"/>
      <w:ind w:left="720"/>
      <w:contextualSpacing/>
    </w:pPr>
    <w:rPr>
      <w:rFonts w:ascii="Arial" w:eastAsia="Calibri" w:hAnsi="Arial" w:cs="Times New Roman"/>
      <w:lang w:val="en-GB"/>
    </w:rPr>
  </w:style>
  <w:style w:type="paragraph" w:styleId="NormalWeb">
    <w:name w:val="Normal (Web)"/>
    <w:basedOn w:val="Normal"/>
    <w:uiPriority w:val="99"/>
    <w:unhideWhenUsed/>
    <w:rsid w:val="0015617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E32B5"/>
    <w:rPr>
      <w:color w:val="0563C1" w:themeColor="hyperlink"/>
      <w:u w:val="single"/>
    </w:rPr>
  </w:style>
  <w:style w:type="character" w:customStyle="1" w:styleId="Heading3Char">
    <w:name w:val="Heading 3 Char"/>
    <w:basedOn w:val="DefaultParagraphFont"/>
    <w:link w:val="Heading3"/>
    <w:uiPriority w:val="9"/>
    <w:rsid w:val="00A07622"/>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A076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762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306026">
      <w:bodyDiv w:val="1"/>
      <w:marLeft w:val="0"/>
      <w:marRight w:val="0"/>
      <w:marTop w:val="0"/>
      <w:marBottom w:val="0"/>
      <w:divBdr>
        <w:top w:val="none" w:sz="0" w:space="0" w:color="auto"/>
        <w:left w:val="none" w:sz="0" w:space="0" w:color="auto"/>
        <w:bottom w:val="none" w:sz="0" w:space="0" w:color="auto"/>
        <w:right w:val="none" w:sz="0" w:space="0" w:color="auto"/>
      </w:divBdr>
    </w:div>
    <w:div w:id="57241756">
      <w:bodyDiv w:val="1"/>
      <w:marLeft w:val="0"/>
      <w:marRight w:val="0"/>
      <w:marTop w:val="0"/>
      <w:marBottom w:val="0"/>
      <w:divBdr>
        <w:top w:val="none" w:sz="0" w:space="0" w:color="auto"/>
        <w:left w:val="none" w:sz="0" w:space="0" w:color="auto"/>
        <w:bottom w:val="none" w:sz="0" w:space="0" w:color="auto"/>
        <w:right w:val="none" w:sz="0" w:space="0" w:color="auto"/>
      </w:divBdr>
    </w:div>
    <w:div w:id="81687697">
      <w:bodyDiv w:val="1"/>
      <w:marLeft w:val="0"/>
      <w:marRight w:val="0"/>
      <w:marTop w:val="0"/>
      <w:marBottom w:val="0"/>
      <w:divBdr>
        <w:top w:val="none" w:sz="0" w:space="0" w:color="auto"/>
        <w:left w:val="none" w:sz="0" w:space="0" w:color="auto"/>
        <w:bottom w:val="none" w:sz="0" w:space="0" w:color="auto"/>
        <w:right w:val="none" w:sz="0" w:space="0" w:color="auto"/>
      </w:divBdr>
    </w:div>
    <w:div w:id="342361291">
      <w:bodyDiv w:val="1"/>
      <w:marLeft w:val="0"/>
      <w:marRight w:val="0"/>
      <w:marTop w:val="0"/>
      <w:marBottom w:val="0"/>
      <w:divBdr>
        <w:top w:val="none" w:sz="0" w:space="0" w:color="auto"/>
        <w:left w:val="none" w:sz="0" w:space="0" w:color="auto"/>
        <w:bottom w:val="none" w:sz="0" w:space="0" w:color="auto"/>
        <w:right w:val="none" w:sz="0" w:space="0" w:color="auto"/>
      </w:divBdr>
    </w:div>
    <w:div w:id="630549677">
      <w:bodyDiv w:val="1"/>
      <w:marLeft w:val="0"/>
      <w:marRight w:val="0"/>
      <w:marTop w:val="0"/>
      <w:marBottom w:val="0"/>
      <w:divBdr>
        <w:top w:val="none" w:sz="0" w:space="0" w:color="auto"/>
        <w:left w:val="none" w:sz="0" w:space="0" w:color="auto"/>
        <w:bottom w:val="none" w:sz="0" w:space="0" w:color="auto"/>
        <w:right w:val="none" w:sz="0" w:space="0" w:color="auto"/>
      </w:divBdr>
    </w:div>
    <w:div w:id="917010128">
      <w:bodyDiv w:val="1"/>
      <w:marLeft w:val="0"/>
      <w:marRight w:val="0"/>
      <w:marTop w:val="0"/>
      <w:marBottom w:val="0"/>
      <w:divBdr>
        <w:top w:val="none" w:sz="0" w:space="0" w:color="auto"/>
        <w:left w:val="none" w:sz="0" w:space="0" w:color="auto"/>
        <w:bottom w:val="none" w:sz="0" w:space="0" w:color="auto"/>
        <w:right w:val="none" w:sz="0" w:space="0" w:color="auto"/>
      </w:divBdr>
    </w:div>
    <w:div w:id="1688369225">
      <w:bodyDiv w:val="1"/>
      <w:marLeft w:val="0"/>
      <w:marRight w:val="0"/>
      <w:marTop w:val="0"/>
      <w:marBottom w:val="0"/>
      <w:divBdr>
        <w:top w:val="none" w:sz="0" w:space="0" w:color="auto"/>
        <w:left w:val="none" w:sz="0" w:space="0" w:color="auto"/>
        <w:bottom w:val="none" w:sz="0" w:space="0" w:color="auto"/>
        <w:right w:val="none" w:sz="0" w:space="0" w:color="auto"/>
      </w:divBdr>
    </w:div>
    <w:div w:id="1972199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talogue.pearsoned.co.uk/assets/hip/gb/hip_gb_pearsonhighered/samplechapter/1408270471.pdf" TargetMode="External"/><Relationship Id="rId13" Type="http://schemas.openxmlformats.org/officeDocument/2006/relationships/hyperlink" Target="https://www.cipd.co.uk/knowledge/fundamentals/emp-law/tupe/factsheet" TargetMode="External"/><Relationship Id="rId3" Type="http://schemas.openxmlformats.org/officeDocument/2006/relationships/settings" Target="settings.xml"/><Relationship Id="rId7" Type="http://schemas.openxmlformats.org/officeDocument/2006/relationships/hyperlink" Target="http://www.acas.org.uk/index.aspx?articleid=1889" TargetMode="External"/><Relationship Id="rId12" Type="http://schemas.openxmlformats.org/officeDocument/2006/relationships/hyperlink" Target="http://www.hse.gov.uk/workers/employers.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ocketlawyer.co.uk/documents-and-forms/employment-contract.rl" TargetMode="External"/><Relationship Id="rId11" Type="http://schemas.openxmlformats.org/officeDocument/2006/relationships/hyperlink" Target="https://www.eoc.org.uk/employees-rights/" TargetMode="External"/><Relationship Id="rId5" Type="http://schemas.openxmlformats.org/officeDocument/2006/relationships/hyperlink" Target="https://www.equalityhumanrights.com/en/equality-act/equality-act-2010" TargetMode="External"/><Relationship Id="rId15" Type="http://schemas.openxmlformats.org/officeDocument/2006/relationships/theme" Target="theme/theme1.xml"/><Relationship Id="rId10" Type="http://schemas.openxmlformats.org/officeDocument/2006/relationships/hyperlink" Target="https://www.cipd.co.uk/knowledge/fundamentals/emp-law/maternity-paternity-rights/factsheet" TargetMode="External"/><Relationship Id="rId4" Type="http://schemas.openxmlformats.org/officeDocument/2006/relationships/webSettings" Target="webSettings.xml"/><Relationship Id="rId9" Type="http://schemas.openxmlformats.org/officeDocument/2006/relationships/hyperlink" Target="http://www.acas.org.uk/index.aspx?articleid=157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766</TotalTime>
  <Pages>1</Pages>
  <Words>3166</Words>
  <Characters>18049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Drummond, Richard</dc:creator>
  <cp:keywords/>
  <dc:description/>
  <cp:lastModifiedBy>Drummond, Richard</cp:lastModifiedBy>
  <cp:revision>10</cp:revision>
  <dcterms:created xsi:type="dcterms:W3CDTF">2019-03-11T08:48:00Z</dcterms:created>
  <dcterms:modified xsi:type="dcterms:W3CDTF">2019-03-12T20:20:00Z</dcterms:modified>
</cp:coreProperties>
</file>