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C03A3" w14:textId="6B9E09FB" w:rsidR="00872BFC" w:rsidRDefault="00872BFC">
      <w:r>
        <w:rPr>
          <w:noProof/>
        </w:rPr>
        <w:drawing>
          <wp:inline distT="0" distB="0" distL="0" distR="0" wp14:anchorId="28F1E263" wp14:editId="1148357D">
            <wp:extent cx="1895740" cy="4753638"/>
            <wp:effectExtent l="0" t="0" r="0" b="0"/>
            <wp:docPr id="802815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15791" name="Picture 802815791"/>
                    <pic:cNvPicPr/>
                  </pic:nvPicPr>
                  <pic:blipFill>
                    <a:blip r:embed="rId7">
                      <a:extLst>
                        <a:ext uri="{28A0092B-C50C-407E-A947-70E740481C1C}">
                          <a14:useLocalDpi xmlns:a14="http://schemas.microsoft.com/office/drawing/2010/main" val="0"/>
                        </a:ext>
                      </a:extLst>
                    </a:blip>
                    <a:stretch>
                      <a:fillRect/>
                    </a:stretch>
                  </pic:blipFill>
                  <pic:spPr>
                    <a:xfrm rot="16200000">
                      <a:off x="0" y="0"/>
                      <a:ext cx="1895740" cy="4753638"/>
                    </a:xfrm>
                    <a:prstGeom prst="rect">
                      <a:avLst/>
                    </a:prstGeom>
                  </pic:spPr>
                </pic:pic>
              </a:graphicData>
            </a:graphic>
          </wp:inline>
        </w:drawing>
      </w:r>
    </w:p>
    <w:p w14:paraId="537E9331" w14:textId="77777777" w:rsidR="00872BFC" w:rsidRDefault="00872BFC"/>
    <w:p w14:paraId="7551E6D9" w14:textId="77777777" w:rsidR="00872BFC" w:rsidRDefault="00872BFC"/>
    <w:p w14:paraId="67F8AE77" w14:textId="77777777" w:rsidR="00872BFC" w:rsidRDefault="00872BFC"/>
    <w:p w14:paraId="2138FFC4" w14:textId="2C2B10EC" w:rsidR="00872BFC" w:rsidRDefault="00872BFC">
      <w:r>
        <w:t>Student Name:</w:t>
      </w:r>
      <w:r w:rsidR="004910D3">
        <w:t xml:space="preserve"> Noemi Canu</w:t>
      </w:r>
    </w:p>
    <w:p w14:paraId="6ED625BA" w14:textId="6A7905C5" w:rsidR="00872BFC" w:rsidRDefault="00872BFC">
      <w:r>
        <w:t>Student Number:</w:t>
      </w:r>
      <w:r w:rsidR="004910D3">
        <w:t xml:space="preserve"> 2124164</w:t>
      </w:r>
    </w:p>
    <w:p w14:paraId="570ED37D" w14:textId="389D1EBF" w:rsidR="00872BFC" w:rsidRDefault="00872BFC">
      <w:r>
        <w:t>Module Name:</w:t>
      </w:r>
      <w:r w:rsidR="004910D3">
        <w:t xml:space="preserve"> Empowering the Older Person</w:t>
      </w:r>
    </w:p>
    <w:p w14:paraId="26E888E7" w14:textId="6BB01C8E" w:rsidR="00872BFC" w:rsidRDefault="00872BFC">
      <w:r>
        <w:t>Module Code:</w:t>
      </w:r>
      <w:r w:rsidR="004910D3">
        <w:t xml:space="preserve"> BMHP6027</w:t>
      </w:r>
    </w:p>
    <w:p w14:paraId="3591C1DA" w14:textId="59B0B1AB" w:rsidR="00872BFC" w:rsidRDefault="00872BFC">
      <w:r>
        <w:t>Assignment:</w:t>
      </w:r>
      <w:r w:rsidR="004910D3">
        <w:t xml:space="preserve"> Component 2 – Debate/Discussion</w:t>
      </w:r>
    </w:p>
    <w:p w14:paraId="0AD5F88F" w14:textId="6F614D75" w:rsidR="00872BFC" w:rsidRDefault="00872BFC">
      <w:r>
        <w:t>Lecturer Name:</w:t>
      </w:r>
      <w:r w:rsidR="004910D3">
        <w:t xml:space="preserve"> Laila Surani</w:t>
      </w:r>
    </w:p>
    <w:p w14:paraId="14832010" w14:textId="77777777" w:rsidR="00872BFC" w:rsidRDefault="00872BFC"/>
    <w:p w14:paraId="75EF8849" w14:textId="77777777" w:rsidR="00872BFC" w:rsidRDefault="00872BFC"/>
    <w:p w14:paraId="6867A95D" w14:textId="77777777" w:rsidR="00872BFC" w:rsidRDefault="00872BFC"/>
    <w:p w14:paraId="09680487" w14:textId="77777777" w:rsidR="00872BFC" w:rsidRDefault="00872BFC"/>
    <w:p w14:paraId="02B9DD9D" w14:textId="77777777" w:rsidR="00872BFC" w:rsidRDefault="00872BFC"/>
    <w:p w14:paraId="16FD0A44" w14:textId="77777777" w:rsidR="00872BFC" w:rsidRDefault="00872BFC"/>
    <w:p w14:paraId="2EAC9D75" w14:textId="77777777" w:rsidR="00872BFC" w:rsidRDefault="00872BFC"/>
    <w:p w14:paraId="2E231788" w14:textId="77777777" w:rsidR="00872BFC" w:rsidRDefault="00872BFC"/>
    <w:p w14:paraId="2F75A06E" w14:textId="77777777" w:rsidR="00872BFC" w:rsidRDefault="00872BFC"/>
    <w:p w14:paraId="493CB308" w14:textId="77777777" w:rsidR="00872BFC" w:rsidRDefault="00872BFC"/>
    <w:p w14:paraId="65F7943C" w14:textId="77777777" w:rsidR="00872BFC" w:rsidRDefault="00872BFC"/>
    <w:p w14:paraId="4AB295D6" w14:textId="77777777" w:rsidR="00872BFC" w:rsidRDefault="00872BFC"/>
    <w:p w14:paraId="7B55091C" w14:textId="77777777" w:rsidR="00872BFC" w:rsidRDefault="00872BFC" w:rsidP="00872BFC">
      <w:pPr>
        <w:spacing w:line="360" w:lineRule="auto"/>
        <w:rPr>
          <w:rFonts w:ascii="Arial" w:hAnsi="Arial" w:cs="Arial"/>
          <w:sz w:val="22"/>
          <w:szCs w:val="22"/>
        </w:rPr>
      </w:pPr>
    </w:p>
    <w:p w14:paraId="70CD003C" w14:textId="7A787CB4" w:rsidR="00872BFC" w:rsidRDefault="00872BFC" w:rsidP="00872BFC">
      <w:pPr>
        <w:spacing w:line="360" w:lineRule="auto"/>
        <w:rPr>
          <w:rFonts w:ascii="Arial" w:hAnsi="Arial" w:cs="Arial"/>
          <w:sz w:val="22"/>
          <w:szCs w:val="22"/>
        </w:rPr>
      </w:pPr>
      <w:r w:rsidRPr="00872BFC">
        <w:rPr>
          <w:rFonts w:ascii="Arial" w:hAnsi="Arial" w:cs="Arial"/>
          <w:sz w:val="22"/>
          <w:szCs w:val="22"/>
        </w:rPr>
        <w:lastRenderedPageBreak/>
        <w:t>References:</w:t>
      </w:r>
    </w:p>
    <w:p w14:paraId="4A33A158" w14:textId="0C100E97" w:rsidR="00EE13C9" w:rsidRDefault="00F35E95" w:rsidP="00EE13C9">
      <w:pPr>
        <w:spacing w:line="360" w:lineRule="auto"/>
        <w:rPr>
          <w:rFonts w:ascii="Arial" w:hAnsi="Arial" w:cs="Arial"/>
          <w:sz w:val="22"/>
          <w:szCs w:val="22"/>
        </w:rPr>
      </w:pPr>
      <w:r w:rsidRPr="00872BFC">
        <w:rPr>
          <w:rFonts w:ascii="Arial" w:hAnsi="Arial" w:cs="Arial"/>
          <w:sz w:val="22"/>
          <w:szCs w:val="22"/>
        </w:rPr>
        <w:t xml:space="preserve">Age UK (2024) </w:t>
      </w:r>
      <w:r w:rsidRPr="00C37E6B">
        <w:rPr>
          <w:rFonts w:ascii="Arial" w:hAnsi="Arial" w:cs="Arial"/>
          <w:i/>
          <w:iCs/>
          <w:sz w:val="22"/>
          <w:szCs w:val="22"/>
        </w:rPr>
        <w:t>Offline and overlooked: Digital exclusion and its impact on older people.</w:t>
      </w:r>
      <w:r w:rsidRPr="00872BFC">
        <w:rPr>
          <w:rFonts w:ascii="Arial" w:hAnsi="Arial" w:cs="Arial"/>
          <w:sz w:val="22"/>
          <w:szCs w:val="22"/>
        </w:rPr>
        <w:t xml:space="preserve"> Available at: </w:t>
      </w:r>
      <w:hyperlink r:id="rId8" w:history="1">
        <w:r w:rsidRPr="00872BFC">
          <w:rPr>
            <w:rStyle w:val="Hyperlink"/>
            <w:rFonts w:ascii="Arial" w:hAnsi="Arial" w:cs="Arial"/>
            <w:sz w:val="22"/>
            <w:szCs w:val="22"/>
          </w:rPr>
          <w:t>https://www.ageuk.org.uk/</w:t>
        </w:r>
      </w:hyperlink>
      <w:r w:rsidRPr="00872BFC">
        <w:rPr>
          <w:rFonts w:ascii="Arial" w:hAnsi="Arial" w:cs="Arial"/>
          <w:sz w:val="22"/>
          <w:szCs w:val="22"/>
        </w:rPr>
        <w:t xml:space="preserve"> (Accessed: 2</w:t>
      </w:r>
      <w:r>
        <w:rPr>
          <w:rFonts w:ascii="Arial" w:hAnsi="Arial" w:cs="Arial"/>
          <w:sz w:val="22"/>
          <w:szCs w:val="22"/>
        </w:rPr>
        <w:t xml:space="preserve"> August</w:t>
      </w:r>
      <w:r w:rsidRPr="00872BFC">
        <w:rPr>
          <w:rFonts w:ascii="Arial" w:hAnsi="Arial" w:cs="Arial"/>
          <w:sz w:val="22"/>
          <w:szCs w:val="22"/>
        </w:rPr>
        <w:t xml:space="preserve"> 2026).</w:t>
      </w:r>
    </w:p>
    <w:p w14:paraId="48169B71" w14:textId="5624FBE8" w:rsidR="00633EAB" w:rsidRPr="00501951" w:rsidRDefault="00633EAB" w:rsidP="00EE13C9">
      <w:pPr>
        <w:spacing w:line="360" w:lineRule="auto"/>
        <w:rPr>
          <w:rFonts w:ascii="Arial" w:hAnsi="Arial" w:cs="Arial"/>
          <w:sz w:val="22"/>
          <w:szCs w:val="22"/>
        </w:rPr>
      </w:pPr>
      <w:r w:rsidRPr="00633EAB">
        <w:rPr>
          <w:rFonts w:ascii="Arial" w:hAnsi="Arial" w:cs="Arial"/>
          <w:sz w:val="22"/>
          <w:szCs w:val="22"/>
        </w:rPr>
        <w:t xml:space="preserve">Burnes, D., Henderson, C.R. Jr, Sheppard, C., Zhao, R., Pillemer, K. and Lachs, M.S. (2017) ‘Prevalence of Financial Fraud and Scams Among Older Adults in the United States: A Systematic Review and Meta-analysis’, </w:t>
      </w:r>
      <w:r w:rsidRPr="002D1B96">
        <w:rPr>
          <w:rFonts w:ascii="Arial" w:hAnsi="Arial" w:cs="Arial"/>
          <w:i/>
          <w:iCs/>
          <w:sz w:val="22"/>
          <w:szCs w:val="22"/>
        </w:rPr>
        <w:t>American Journal of Public Health</w:t>
      </w:r>
      <w:r w:rsidRPr="00633EAB">
        <w:rPr>
          <w:rFonts w:ascii="Arial" w:hAnsi="Arial" w:cs="Arial"/>
          <w:sz w:val="22"/>
          <w:szCs w:val="22"/>
        </w:rPr>
        <w:t>, 107(8), pp. e13–e21. doi: 10.2105/AJPH.2017.303821</w:t>
      </w:r>
    </w:p>
    <w:p w14:paraId="39EB6250" w14:textId="55120C5A" w:rsidR="00F35E95" w:rsidRDefault="00F35E95" w:rsidP="00872BFC">
      <w:pPr>
        <w:spacing w:line="360" w:lineRule="auto"/>
        <w:rPr>
          <w:rFonts w:ascii="Arial" w:hAnsi="Arial" w:cs="Arial"/>
          <w:sz w:val="22"/>
          <w:szCs w:val="22"/>
        </w:rPr>
      </w:pPr>
      <w:r w:rsidRPr="00501951">
        <w:rPr>
          <w:rFonts w:ascii="Arial" w:hAnsi="Arial" w:cs="Arial"/>
          <w:sz w:val="22"/>
          <w:szCs w:val="22"/>
        </w:rPr>
        <w:t xml:space="preserve">Department of Health (2011) </w:t>
      </w:r>
      <w:r w:rsidRPr="00501951">
        <w:rPr>
          <w:rFonts w:ascii="Arial" w:hAnsi="Arial" w:cs="Arial"/>
          <w:i/>
          <w:iCs/>
          <w:sz w:val="22"/>
          <w:szCs w:val="22"/>
        </w:rPr>
        <w:t>Whole System Demonstrator Programme: Headline findings</w:t>
      </w:r>
      <w:r w:rsidRPr="00501951">
        <w:rPr>
          <w:rFonts w:ascii="Arial" w:hAnsi="Arial" w:cs="Arial"/>
          <w:sz w:val="22"/>
          <w:szCs w:val="22"/>
        </w:rPr>
        <w:t xml:space="preserve">. Available at: </w:t>
      </w:r>
      <w:hyperlink r:id="rId9" w:history="1">
        <w:r w:rsidRPr="00531FE2">
          <w:rPr>
            <w:rStyle w:val="Hyperlink"/>
            <w:rFonts w:ascii="Arial" w:hAnsi="Arial" w:cs="Arial"/>
            <w:sz w:val="22"/>
            <w:szCs w:val="22"/>
          </w:rPr>
          <w:t>https://www.gov.uk/government/publications/whole-system-demonstrator-programme-headline-findings-december-2011</w:t>
        </w:r>
      </w:hyperlink>
      <w:r>
        <w:rPr>
          <w:rFonts w:ascii="Arial" w:hAnsi="Arial" w:cs="Arial"/>
          <w:sz w:val="22"/>
          <w:szCs w:val="22"/>
        </w:rPr>
        <w:t xml:space="preserve"> </w:t>
      </w:r>
      <w:r w:rsidRPr="00501951">
        <w:rPr>
          <w:rFonts w:ascii="Arial" w:hAnsi="Arial" w:cs="Arial"/>
          <w:sz w:val="22"/>
          <w:szCs w:val="22"/>
        </w:rPr>
        <w:t>(Accessed: 2 August 2026).</w:t>
      </w:r>
    </w:p>
    <w:p w14:paraId="6BFF4266" w14:textId="488E3D51" w:rsidR="00F35E95" w:rsidRDefault="00F35E95" w:rsidP="00872BFC">
      <w:pPr>
        <w:spacing w:line="360" w:lineRule="auto"/>
        <w:rPr>
          <w:rFonts w:ascii="Arial" w:hAnsi="Arial" w:cs="Arial"/>
          <w:sz w:val="22"/>
          <w:szCs w:val="22"/>
        </w:rPr>
      </w:pPr>
      <w:r w:rsidRPr="00501951">
        <w:rPr>
          <w:rFonts w:ascii="Arial" w:hAnsi="Arial" w:cs="Arial"/>
          <w:sz w:val="22"/>
          <w:szCs w:val="22"/>
        </w:rPr>
        <w:t xml:space="preserve">Department of Health and Social Care (2025) </w:t>
      </w:r>
      <w:r w:rsidRPr="00501951">
        <w:rPr>
          <w:rFonts w:ascii="Arial" w:hAnsi="Arial" w:cs="Arial"/>
          <w:i/>
          <w:iCs/>
          <w:sz w:val="22"/>
          <w:szCs w:val="22"/>
        </w:rPr>
        <w:t>Telecare National Action Plan: Protecting telecare users through the digital phone switchover</w:t>
      </w:r>
      <w:r w:rsidRPr="00501951">
        <w:rPr>
          <w:rFonts w:ascii="Arial" w:hAnsi="Arial" w:cs="Arial"/>
          <w:sz w:val="22"/>
          <w:szCs w:val="22"/>
        </w:rPr>
        <w:t xml:space="preserve">. Available at: </w:t>
      </w:r>
      <w:hyperlink r:id="rId10" w:history="1">
        <w:r w:rsidRPr="00531FE2">
          <w:rPr>
            <w:rStyle w:val="Hyperlink"/>
            <w:rFonts w:ascii="Arial" w:hAnsi="Arial" w:cs="Arial"/>
            <w:sz w:val="22"/>
            <w:szCs w:val="22"/>
          </w:rPr>
          <w:t>https://www.gov.uk/government/publications/telecare-national-action-plan-protecting-telecare-users-through-the-digital-phone-switchover</w:t>
        </w:r>
      </w:hyperlink>
      <w:r>
        <w:rPr>
          <w:rFonts w:ascii="Arial" w:hAnsi="Arial" w:cs="Arial"/>
          <w:sz w:val="22"/>
          <w:szCs w:val="22"/>
        </w:rPr>
        <w:t xml:space="preserve"> </w:t>
      </w:r>
      <w:r w:rsidRPr="00501951">
        <w:rPr>
          <w:rFonts w:ascii="Arial" w:hAnsi="Arial" w:cs="Arial"/>
          <w:sz w:val="22"/>
          <w:szCs w:val="22"/>
        </w:rPr>
        <w:t>(Accessed: 2 August 2026).</w:t>
      </w:r>
    </w:p>
    <w:p w14:paraId="56684DD0" w14:textId="211E1C93" w:rsidR="00F35E95" w:rsidRDefault="00F35E95" w:rsidP="00872BFC">
      <w:pPr>
        <w:spacing w:line="360" w:lineRule="auto"/>
        <w:rPr>
          <w:rFonts w:ascii="Arial" w:hAnsi="Arial" w:cs="Arial"/>
          <w:sz w:val="22"/>
          <w:szCs w:val="22"/>
        </w:rPr>
      </w:pPr>
      <w:r w:rsidRPr="00872BFC">
        <w:rPr>
          <w:rFonts w:ascii="Arial" w:hAnsi="Arial" w:cs="Arial"/>
          <w:sz w:val="22"/>
          <w:szCs w:val="22"/>
        </w:rPr>
        <w:t xml:space="preserve">Greenhalgh, T., </w:t>
      </w:r>
      <w:proofErr w:type="spellStart"/>
      <w:r w:rsidRPr="00872BFC">
        <w:rPr>
          <w:rFonts w:ascii="Arial" w:hAnsi="Arial" w:cs="Arial"/>
          <w:sz w:val="22"/>
          <w:szCs w:val="22"/>
        </w:rPr>
        <w:t>Wherton</w:t>
      </w:r>
      <w:proofErr w:type="spellEnd"/>
      <w:r w:rsidRPr="00872BFC">
        <w:rPr>
          <w:rFonts w:ascii="Arial" w:hAnsi="Arial" w:cs="Arial"/>
          <w:sz w:val="22"/>
          <w:szCs w:val="22"/>
        </w:rPr>
        <w:t xml:space="preserve">, J., </w:t>
      </w:r>
      <w:proofErr w:type="spellStart"/>
      <w:r w:rsidRPr="00872BFC">
        <w:rPr>
          <w:rFonts w:ascii="Arial" w:hAnsi="Arial" w:cs="Arial"/>
          <w:sz w:val="22"/>
          <w:szCs w:val="22"/>
        </w:rPr>
        <w:t>Sugarhood</w:t>
      </w:r>
      <w:proofErr w:type="spellEnd"/>
      <w:r w:rsidRPr="00872BFC">
        <w:rPr>
          <w:rFonts w:ascii="Arial" w:hAnsi="Arial" w:cs="Arial"/>
          <w:sz w:val="22"/>
          <w:szCs w:val="22"/>
        </w:rPr>
        <w:t xml:space="preserve">, P., Hinder, S., Procter, R. and Stones, R. (2013) ‘What matters to older people with assisted living needs? A phenomenological analysis of the use and non-use of telehealth and telecare’, </w:t>
      </w:r>
      <w:r w:rsidRPr="00C37E6B">
        <w:rPr>
          <w:rFonts w:ascii="Arial" w:hAnsi="Arial" w:cs="Arial"/>
          <w:i/>
          <w:iCs/>
          <w:sz w:val="22"/>
          <w:szCs w:val="22"/>
        </w:rPr>
        <w:t>Social Science &amp; Medicine</w:t>
      </w:r>
      <w:r w:rsidRPr="00872BFC">
        <w:rPr>
          <w:rFonts w:ascii="Arial" w:hAnsi="Arial" w:cs="Arial"/>
          <w:sz w:val="22"/>
          <w:szCs w:val="22"/>
        </w:rPr>
        <w:t>, 93, pp. 86–94. doi: 10.1016/j.socscimed.2013.05.036.</w:t>
      </w:r>
    </w:p>
    <w:p w14:paraId="5BDB9CFA" w14:textId="026D7914" w:rsidR="00872BFC" w:rsidRDefault="00872BFC" w:rsidP="00872BFC">
      <w:pPr>
        <w:spacing w:line="360" w:lineRule="auto"/>
        <w:rPr>
          <w:rFonts w:ascii="Arial" w:hAnsi="Arial" w:cs="Arial"/>
          <w:sz w:val="22"/>
          <w:szCs w:val="22"/>
        </w:rPr>
      </w:pPr>
      <w:r w:rsidRPr="00872BFC">
        <w:rPr>
          <w:rFonts w:ascii="Arial" w:hAnsi="Arial" w:cs="Arial"/>
          <w:sz w:val="22"/>
          <w:szCs w:val="22"/>
        </w:rPr>
        <w:t xml:space="preserve">Henderson, C., Knapp, M., Fernández, J.L., Beecham, J., Hirani, S.P., Beynon, M., Cartwright, M., Rixon, L., Doll, H., Bower, P., Steventon, A., Rogers, A., Fitzpatrick, R., Barlow, J., Bardsley, M. and Newman, S.P. (2014) ‘Cost-effectiveness of telecare for people with social care needs: the Whole Systems Demonstrator cluster randomised trial’, </w:t>
      </w:r>
      <w:r w:rsidRPr="00872BFC">
        <w:rPr>
          <w:rFonts w:ascii="Arial" w:hAnsi="Arial" w:cs="Arial"/>
          <w:i/>
          <w:iCs/>
          <w:sz w:val="22"/>
          <w:szCs w:val="22"/>
        </w:rPr>
        <w:t>Age and Ageing</w:t>
      </w:r>
      <w:r w:rsidRPr="00872BFC">
        <w:rPr>
          <w:rFonts w:ascii="Arial" w:hAnsi="Arial" w:cs="Arial"/>
          <w:sz w:val="22"/>
          <w:szCs w:val="22"/>
        </w:rPr>
        <w:t xml:space="preserve">, 43(6), pp. 794–800. doi: 10.1093/ageing/afu067. Available at: </w:t>
      </w:r>
      <w:hyperlink r:id="rId11" w:history="1">
        <w:r w:rsidRPr="00872BFC">
          <w:rPr>
            <w:rStyle w:val="Hyperlink"/>
            <w:rFonts w:ascii="Arial" w:hAnsi="Arial" w:cs="Arial"/>
            <w:sz w:val="22"/>
            <w:szCs w:val="22"/>
          </w:rPr>
          <w:t>https://pubmed.ncbi.nlm.nih.gov/24950690/</w:t>
        </w:r>
      </w:hyperlink>
      <w:r w:rsidRPr="00872BFC">
        <w:rPr>
          <w:rFonts w:ascii="Arial" w:hAnsi="Arial" w:cs="Arial"/>
          <w:sz w:val="22"/>
          <w:szCs w:val="22"/>
        </w:rPr>
        <w:t xml:space="preserve"> (Accessed: </w:t>
      </w:r>
      <w:r>
        <w:rPr>
          <w:rFonts w:ascii="Arial" w:hAnsi="Arial" w:cs="Arial"/>
          <w:sz w:val="22"/>
          <w:szCs w:val="22"/>
        </w:rPr>
        <w:t>2</w:t>
      </w:r>
      <w:r w:rsidR="00C37E6B">
        <w:rPr>
          <w:rFonts w:ascii="Arial" w:hAnsi="Arial" w:cs="Arial"/>
          <w:sz w:val="22"/>
          <w:szCs w:val="22"/>
        </w:rPr>
        <w:t xml:space="preserve"> August</w:t>
      </w:r>
      <w:r w:rsidRPr="00872BFC">
        <w:rPr>
          <w:rFonts w:ascii="Arial" w:hAnsi="Arial" w:cs="Arial"/>
          <w:sz w:val="22"/>
          <w:szCs w:val="22"/>
        </w:rPr>
        <w:t xml:space="preserve"> 2026). </w:t>
      </w:r>
    </w:p>
    <w:p w14:paraId="424A01A7" w14:textId="7F20287A" w:rsidR="00F35E95" w:rsidRDefault="00F35E95" w:rsidP="00F35E95">
      <w:pPr>
        <w:spacing w:line="360" w:lineRule="auto"/>
        <w:rPr>
          <w:rFonts w:ascii="Arial" w:hAnsi="Arial" w:cs="Arial"/>
          <w:sz w:val="22"/>
          <w:szCs w:val="22"/>
        </w:rPr>
      </w:pPr>
      <w:r w:rsidRPr="00872BFC">
        <w:rPr>
          <w:rFonts w:ascii="Arial" w:hAnsi="Arial" w:cs="Arial"/>
          <w:sz w:val="22"/>
          <w:szCs w:val="22"/>
        </w:rPr>
        <w:t xml:space="preserve">Hirani, S.P., Beynon, M., Cartwright, M., Rixon, L., Doll, H., Henderson, C., Bardsley, M., Steventon, A., Knapp, M., Rogers, A., Bower, P., Sanders, C., Fitzpatrick, R., Hendy, J. and Newman, S.P. (2014) ‘The effect of telecare on the quality of life and psychological well-being of elderly recipients of social care over a 12-month period: the Whole Systems Demonstrator cluster randomised trial’, </w:t>
      </w:r>
      <w:r w:rsidRPr="00872BFC">
        <w:rPr>
          <w:rFonts w:ascii="Arial" w:hAnsi="Arial" w:cs="Arial"/>
          <w:i/>
          <w:iCs/>
          <w:sz w:val="22"/>
          <w:szCs w:val="22"/>
        </w:rPr>
        <w:t>Age and Ageing</w:t>
      </w:r>
      <w:r w:rsidRPr="00872BFC">
        <w:rPr>
          <w:rFonts w:ascii="Arial" w:hAnsi="Arial" w:cs="Arial"/>
          <w:sz w:val="22"/>
          <w:szCs w:val="22"/>
        </w:rPr>
        <w:t>, 43(3), pp. 334–341.</w:t>
      </w:r>
      <w:r w:rsidR="00206FF9">
        <w:rPr>
          <w:rFonts w:ascii="Arial" w:hAnsi="Arial" w:cs="Arial"/>
          <w:sz w:val="22"/>
          <w:szCs w:val="22"/>
        </w:rPr>
        <w:t xml:space="preserve"> </w:t>
      </w:r>
      <w:r w:rsidR="00206FF9" w:rsidRPr="00206FF9">
        <w:rPr>
          <w:rFonts w:ascii="Arial" w:hAnsi="Arial" w:cs="Arial"/>
          <w:sz w:val="22"/>
          <w:szCs w:val="22"/>
        </w:rPr>
        <w:t>doi: 10.1093/ageing/aft175.</w:t>
      </w:r>
    </w:p>
    <w:p w14:paraId="3BEB4463" w14:textId="5DE04FB1" w:rsidR="005A6645" w:rsidRDefault="005A6645" w:rsidP="00F35E95">
      <w:pPr>
        <w:spacing w:line="360" w:lineRule="auto"/>
        <w:rPr>
          <w:rFonts w:ascii="Arial" w:hAnsi="Arial" w:cs="Arial"/>
          <w:sz w:val="22"/>
          <w:szCs w:val="22"/>
        </w:rPr>
      </w:pPr>
      <w:r w:rsidRPr="005A6645">
        <w:rPr>
          <w:rFonts w:ascii="Arial" w:hAnsi="Arial" w:cs="Arial"/>
          <w:sz w:val="22"/>
          <w:szCs w:val="22"/>
        </w:rPr>
        <w:t xml:space="preserve">Khosravi, P. and Ghapanchi, A.H. (2016) ‘Investigating the effectiveness of technologies applied to assist seniors: A systematic literature review’, </w:t>
      </w:r>
      <w:r w:rsidRPr="00812A57">
        <w:rPr>
          <w:rFonts w:ascii="Arial" w:hAnsi="Arial" w:cs="Arial"/>
          <w:i/>
          <w:iCs/>
          <w:sz w:val="22"/>
          <w:szCs w:val="22"/>
        </w:rPr>
        <w:t>International Journal of Medical Informatics,</w:t>
      </w:r>
      <w:r w:rsidRPr="005A6645">
        <w:rPr>
          <w:rFonts w:ascii="Arial" w:hAnsi="Arial" w:cs="Arial"/>
          <w:sz w:val="22"/>
          <w:szCs w:val="22"/>
        </w:rPr>
        <w:t xml:space="preserve"> 85(1), pp. 17–26. doi: 10.1016/j.ijmedinf.2015.05.014.</w:t>
      </w:r>
    </w:p>
    <w:p w14:paraId="2A01A5D6" w14:textId="09D425E2" w:rsidR="00625C07" w:rsidRDefault="00625C07" w:rsidP="00F35E95">
      <w:pPr>
        <w:spacing w:line="360" w:lineRule="auto"/>
        <w:rPr>
          <w:rFonts w:ascii="Arial" w:hAnsi="Arial" w:cs="Arial"/>
          <w:sz w:val="22"/>
          <w:szCs w:val="22"/>
        </w:rPr>
      </w:pPr>
      <w:r w:rsidRPr="00625C07">
        <w:rPr>
          <w:rFonts w:ascii="Arial" w:hAnsi="Arial" w:cs="Arial"/>
          <w:sz w:val="22"/>
          <w:szCs w:val="22"/>
        </w:rPr>
        <w:lastRenderedPageBreak/>
        <w:t xml:space="preserve">Mitzner, T.L., Boron, J.B., Fausset, C.B., Adams, A.E., Charness, N., Czaja, S.J., Dijkstra, K., Fisk, A.D., Rogers, W.A. and Sharit, J. (2010) ‘Older adults talk technology: Technology usage and attitudes’, </w:t>
      </w:r>
      <w:r w:rsidRPr="00A20C2E">
        <w:rPr>
          <w:rFonts w:ascii="Arial" w:hAnsi="Arial" w:cs="Arial"/>
          <w:i/>
          <w:iCs/>
          <w:sz w:val="22"/>
          <w:szCs w:val="22"/>
        </w:rPr>
        <w:t xml:space="preserve">Computers in Human </w:t>
      </w:r>
      <w:r w:rsidR="00A20C2E" w:rsidRPr="00A20C2E">
        <w:rPr>
          <w:rFonts w:ascii="Arial" w:hAnsi="Arial" w:cs="Arial"/>
          <w:i/>
          <w:iCs/>
          <w:sz w:val="22"/>
          <w:szCs w:val="22"/>
        </w:rPr>
        <w:t>Behaviour</w:t>
      </w:r>
      <w:r w:rsidRPr="00625C07">
        <w:rPr>
          <w:rFonts w:ascii="Arial" w:hAnsi="Arial" w:cs="Arial"/>
          <w:sz w:val="22"/>
          <w:szCs w:val="22"/>
        </w:rPr>
        <w:t>, 26(6), pp. 1710–1721. doi: 10.1016/j.chb.2010.06.020.</w:t>
      </w:r>
    </w:p>
    <w:p w14:paraId="1D3F0120" w14:textId="36D95269" w:rsidR="001D425A" w:rsidRDefault="001D425A" w:rsidP="00F35E95">
      <w:pPr>
        <w:spacing w:line="360" w:lineRule="auto"/>
        <w:rPr>
          <w:rFonts w:ascii="Arial" w:hAnsi="Arial" w:cs="Arial"/>
          <w:sz w:val="22"/>
          <w:szCs w:val="22"/>
        </w:rPr>
      </w:pPr>
      <w:r w:rsidRPr="00501951">
        <w:rPr>
          <w:rFonts w:ascii="Arial" w:hAnsi="Arial" w:cs="Arial"/>
          <w:sz w:val="22"/>
          <w:szCs w:val="22"/>
        </w:rPr>
        <w:t xml:space="preserve">NHS (2025) </w:t>
      </w:r>
      <w:r w:rsidRPr="00501951">
        <w:rPr>
          <w:rFonts w:ascii="Arial" w:hAnsi="Arial" w:cs="Arial"/>
          <w:i/>
          <w:iCs/>
          <w:sz w:val="22"/>
          <w:szCs w:val="22"/>
        </w:rPr>
        <w:t>Personal alarms, security systems (telecare) and key safes</w:t>
      </w:r>
      <w:r w:rsidRPr="00501951">
        <w:rPr>
          <w:rFonts w:ascii="Arial" w:hAnsi="Arial" w:cs="Arial"/>
          <w:sz w:val="22"/>
          <w:szCs w:val="22"/>
        </w:rPr>
        <w:t xml:space="preserve">. Available at: </w:t>
      </w:r>
      <w:hyperlink r:id="rId12" w:history="1">
        <w:r w:rsidRPr="00531FE2">
          <w:rPr>
            <w:rStyle w:val="Hyperlink"/>
            <w:rFonts w:ascii="Arial" w:hAnsi="Arial" w:cs="Arial"/>
            <w:sz w:val="22"/>
            <w:szCs w:val="22"/>
          </w:rPr>
          <w:t>https://www.nhs.uk/social-care-and-support/care-services-equipment-and-care-homes/personal-alarms-security-systems-and-keysafes/</w:t>
        </w:r>
      </w:hyperlink>
      <w:r>
        <w:rPr>
          <w:rFonts w:ascii="Arial" w:hAnsi="Arial" w:cs="Arial"/>
          <w:sz w:val="22"/>
          <w:szCs w:val="22"/>
        </w:rPr>
        <w:t xml:space="preserve"> </w:t>
      </w:r>
      <w:r w:rsidRPr="00501951">
        <w:rPr>
          <w:rFonts w:ascii="Arial" w:hAnsi="Arial" w:cs="Arial"/>
          <w:sz w:val="22"/>
          <w:szCs w:val="22"/>
        </w:rPr>
        <w:t>(Accessed: 2 August 2026).</w:t>
      </w:r>
    </w:p>
    <w:p w14:paraId="361C2936" w14:textId="01516ECB" w:rsidR="00120889" w:rsidRDefault="00120889" w:rsidP="00F35E95">
      <w:pPr>
        <w:spacing w:line="360" w:lineRule="auto"/>
        <w:rPr>
          <w:rFonts w:ascii="Arial" w:hAnsi="Arial" w:cs="Arial"/>
          <w:sz w:val="22"/>
          <w:szCs w:val="22"/>
        </w:rPr>
      </w:pPr>
      <w:r w:rsidRPr="00120889">
        <w:rPr>
          <w:rFonts w:ascii="Arial" w:hAnsi="Arial" w:cs="Arial"/>
          <w:sz w:val="22"/>
          <w:szCs w:val="22"/>
        </w:rPr>
        <w:t xml:space="preserve">Ollevier, A., Aguiar, G., Palomino, M. and Simpelaere, I.S. (2020) ‘How can technology support ageing in place in healthy older adults? A systematic review’, </w:t>
      </w:r>
      <w:r w:rsidRPr="00E60BD8">
        <w:rPr>
          <w:rFonts w:ascii="Arial" w:hAnsi="Arial" w:cs="Arial"/>
          <w:i/>
          <w:iCs/>
          <w:sz w:val="22"/>
          <w:szCs w:val="22"/>
        </w:rPr>
        <w:t>Public Health Reviews</w:t>
      </w:r>
      <w:r w:rsidRPr="00120889">
        <w:rPr>
          <w:rFonts w:ascii="Arial" w:hAnsi="Arial" w:cs="Arial"/>
          <w:sz w:val="22"/>
          <w:szCs w:val="22"/>
        </w:rPr>
        <w:t>, 41, Article 26. doi: 10.1186/s40985-020-00143-4</w:t>
      </w:r>
    </w:p>
    <w:p w14:paraId="1EEECEC8" w14:textId="15462E64" w:rsidR="00E60BD8" w:rsidRPr="00501951" w:rsidRDefault="00E60BD8" w:rsidP="00F35E95">
      <w:pPr>
        <w:spacing w:line="360" w:lineRule="auto"/>
        <w:rPr>
          <w:rFonts w:ascii="Arial" w:hAnsi="Arial" w:cs="Arial"/>
          <w:sz w:val="22"/>
          <w:szCs w:val="22"/>
        </w:rPr>
      </w:pPr>
      <w:r w:rsidRPr="00E60BD8">
        <w:rPr>
          <w:rFonts w:ascii="Arial" w:hAnsi="Arial" w:cs="Arial"/>
          <w:sz w:val="22"/>
          <w:szCs w:val="22"/>
        </w:rPr>
        <w:t>Pajalic, Z., Aguiar de Sousa, D., Strøm, B.S., Lausund, H., Breievne, G., Kisa, S., Saplacan, D., Larsen, M.H. and Jøranson, N. (2023) ‘Welfare technology interventions among older people living at home—A systematic review of RCT studies’, PLOS Digital Health, 2(1), e0000184. doi: 10.1371/journal.pdig.0000184.</w:t>
      </w:r>
    </w:p>
    <w:p w14:paraId="0631CDB9" w14:textId="1DABD8A8" w:rsidR="00F35E95" w:rsidRDefault="001D425A" w:rsidP="00F35E95">
      <w:pPr>
        <w:spacing w:line="360" w:lineRule="auto"/>
        <w:rPr>
          <w:rFonts w:ascii="Arial" w:hAnsi="Arial" w:cs="Arial"/>
          <w:sz w:val="22"/>
          <w:szCs w:val="22"/>
        </w:rPr>
      </w:pPr>
      <w:r w:rsidRPr="001D425A">
        <w:rPr>
          <w:rFonts w:ascii="Arial" w:hAnsi="Arial" w:cs="Arial"/>
          <w:sz w:val="22"/>
          <w:szCs w:val="22"/>
        </w:rPr>
        <w:t xml:space="preserve">Peek, S.T.M., Wouters, E.J.M., van Hoof, J., Luijkx, K.G., Boeije, H.R. and Vrijhoef, H.J.M. (2014) ‘Factors influencing acceptance of technology for ageing in place: a systematic review’, </w:t>
      </w:r>
      <w:r w:rsidRPr="001D425A">
        <w:rPr>
          <w:rFonts w:ascii="Arial" w:hAnsi="Arial" w:cs="Arial"/>
          <w:i/>
          <w:iCs/>
          <w:sz w:val="22"/>
          <w:szCs w:val="22"/>
        </w:rPr>
        <w:t>International Journal of Medical Informatics</w:t>
      </w:r>
      <w:r w:rsidRPr="001D425A">
        <w:rPr>
          <w:rFonts w:ascii="Arial" w:hAnsi="Arial" w:cs="Arial"/>
          <w:sz w:val="22"/>
          <w:szCs w:val="22"/>
        </w:rPr>
        <w:t>, 83(4), pp. 235–248. doi: 10.1016/j.ijmedinf.2014.01.004.</w:t>
      </w:r>
    </w:p>
    <w:p w14:paraId="0EE68A04" w14:textId="562E66F1" w:rsidR="00F35E95" w:rsidRDefault="001D425A" w:rsidP="00F35E95">
      <w:pPr>
        <w:spacing w:line="360" w:lineRule="auto"/>
        <w:rPr>
          <w:rFonts w:ascii="Arial" w:hAnsi="Arial" w:cs="Arial"/>
          <w:sz w:val="22"/>
          <w:szCs w:val="22"/>
        </w:rPr>
      </w:pPr>
      <w:r w:rsidRPr="00872BFC">
        <w:rPr>
          <w:rFonts w:ascii="Arial" w:hAnsi="Arial" w:cs="Arial"/>
          <w:sz w:val="22"/>
          <w:szCs w:val="22"/>
        </w:rPr>
        <w:t xml:space="preserve">Sanders, C., Rogers, A., Bowen, R., Bower, P., Hirani, S., Cartwright, M., Fitzpatrick, R., Knapp, M., Barlow, J., Hendy, J., Chrysanthaki, T., Bardsley, M. and Newman, S.P. (2012) ‘Exploring barriers to participation and adoption of telehealth and telecare within the Whole System Demonstrator trial: a qualitative study’, </w:t>
      </w:r>
      <w:r w:rsidRPr="00C37E6B">
        <w:rPr>
          <w:rFonts w:ascii="Arial" w:hAnsi="Arial" w:cs="Arial"/>
          <w:i/>
          <w:iCs/>
          <w:sz w:val="22"/>
          <w:szCs w:val="22"/>
        </w:rPr>
        <w:t>BMC Health Services Research</w:t>
      </w:r>
      <w:r w:rsidRPr="00872BFC">
        <w:rPr>
          <w:rFonts w:ascii="Arial" w:hAnsi="Arial" w:cs="Arial"/>
          <w:sz w:val="22"/>
          <w:szCs w:val="22"/>
        </w:rPr>
        <w:t xml:space="preserve">, 12, p. 220. doi: 10.1186/1472-6963-12-220. </w:t>
      </w:r>
    </w:p>
    <w:p w14:paraId="46897FAB" w14:textId="7B5CF743" w:rsidR="00643784" w:rsidRDefault="00643784" w:rsidP="00F35E95">
      <w:pPr>
        <w:spacing w:line="360" w:lineRule="auto"/>
        <w:rPr>
          <w:rFonts w:ascii="Arial" w:hAnsi="Arial" w:cs="Arial"/>
          <w:sz w:val="22"/>
          <w:szCs w:val="22"/>
        </w:rPr>
      </w:pPr>
      <w:r w:rsidRPr="00643784">
        <w:rPr>
          <w:rFonts w:ascii="Arial" w:hAnsi="Arial" w:cs="Arial"/>
          <w:sz w:val="22"/>
          <w:szCs w:val="22"/>
        </w:rPr>
        <w:t xml:space="preserve">Shang, Y., Wu, Z., Du, X., Jiang, Y., Ma, B. and Chi, M. (2022) ‘The psychology of the internet fraud </w:t>
      </w:r>
      <w:r>
        <w:rPr>
          <w:rFonts w:ascii="Arial" w:hAnsi="Arial" w:cs="Arial"/>
          <w:sz w:val="22"/>
          <w:szCs w:val="22"/>
        </w:rPr>
        <w:t>victimisation</w:t>
      </w:r>
      <w:r w:rsidRPr="00643784">
        <w:rPr>
          <w:rFonts w:ascii="Arial" w:hAnsi="Arial" w:cs="Arial"/>
          <w:sz w:val="22"/>
          <w:szCs w:val="22"/>
        </w:rPr>
        <w:t xml:space="preserve"> of older adults: A systematic review’, </w:t>
      </w:r>
      <w:r w:rsidRPr="00643784">
        <w:rPr>
          <w:rFonts w:ascii="Arial" w:hAnsi="Arial" w:cs="Arial"/>
          <w:i/>
          <w:iCs/>
          <w:sz w:val="22"/>
          <w:szCs w:val="22"/>
        </w:rPr>
        <w:t>Frontiers in Psychology</w:t>
      </w:r>
      <w:r w:rsidRPr="00643784">
        <w:rPr>
          <w:rFonts w:ascii="Arial" w:hAnsi="Arial" w:cs="Arial"/>
          <w:sz w:val="22"/>
          <w:szCs w:val="22"/>
        </w:rPr>
        <w:t>, 13, Article 912242. doi: 10.3389/fpsyg.2022.912242.</w:t>
      </w:r>
    </w:p>
    <w:p w14:paraId="58B6870F" w14:textId="0CCD2E46" w:rsidR="00501951" w:rsidRDefault="001D425A" w:rsidP="00501951">
      <w:pPr>
        <w:spacing w:line="360" w:lineRule="auto"/>
        <w:rPr>
          <w:rFonts w:ascii="Arial" w:hAnsi="Arial" w:cs="Arial"/>
          <w:sz w:val="22"/>
          <w:szCs w:val="22"/>
        </w:rPr>
      </w:pPr>
      <w:r w:rsidRPr="00872BFC">
        <w:rPr>
          <w:rFonts w:ascii="Arial" w:hAnsi="Arial" w:cs="Arial"/>
          <w:sz w:val="22"/>
          <w:szCs w:val="22"/>
        </w:rPr>
        <w:t xml:space="preserve">Steventon, A., Bardsley, M., Billings, J., Dixon, J., Doll, H., Hirani, S., Cartwright, M., Beynon, M., Rogers, A., Fitzpatrick, R., Hendy, J., Newman, S.P., Knapp, M. and Barlow, J. (2013) ‘Effect of telecare on use of health and social care services: findings from the Whole Systems Demonstrator cluster randomised trial’, </w:t>
      </w:r>
      <w:r w:rsidRPr="00872BFC">
        <w:rPr>
          <w:rFonts w:ascii="Arial" w:hAnsi="Arial" w:cs="Arial"/>
          <w:i/>
          <w:iCs/>
          <w:sz w:val="22"/>
          <w:szCs w:val="22"/>
        </w:rPr>
        <w:t>Age and Ageing</w:t>
      </w:r>
      <w:r w:rsidRPr="00872BFC">
        <w:rPr>
          <w:rFonts w:ascii="Arial" w:hAnsi="Arial" w:cs="Arial"/>
          <w:sz w:val="22"/>
          <w:szCs w:val="22"/>
        </w:rPr>
        <w:t xml:space="preserve">, 42(4), pp. 501–508. doi: 10.1093/ageing/aft008. Available at: </w:t>
      </w:r>
      <w:hyperlink r:id="rId13" w:history="1">
        <w:r w:rsidRPr="00872BFC">
          <w:rPr>
            <w:rStyle w:val="Hyperlink"/>
            <w:rFonts w:ascii="Arial" w:hAnsi="Arial" w:cs="Arial"/>
            <w:sz w:val="22"/>
            <w:szCs w:val="22"/>
          </w:rPr>
          <w:t>https://academic.oup.com/ageing/article/42/4/501/9333</w:t>
        </w:r>
      </w:hyperlink>
      <w:r w:rsidRPr="00872BFC">
        <w:rPr>
          <w:rFonts w:ascii="Arial" w:hAnsi="Arial" w:cs="Arial"/>
          <w:sz w:val="22"/>
          <w:szCs w:val="22"/>
        </w:rPr>
        <w:t xml:space="preserve"> (Accessed: 2</w:t>
      </w:r>
      <w:r>
        <w:rPr>
          <w:rFonts w:ascii="Arial" w:hAnsi="Arial" w:cs="Arial"/>
          <w:sz w:val="22"/>
          <w:szCs w:val="22"/>
        </w:rPr>
        <w:t xml:space="preserve"> August</w:t>
      </w:r>
      <w:r w:rsidRPr="00872BFC">
        <w:rPr>
          <w:rFonts w:ascii="Arial" w:hAnsi="Arial" w:cs="Arial"/>
          <w:sz w:val="22"/>
          <w:szCs w:val="22"/>
        </w:rPr>
        <w:t xml:space="preserve"> 2026). </w:t>
      </w:r>
      <w:r w:rsidR="00F35E95" w:rsidRPr="00872BFC">
        <w:rPr>
          <w:rFonts w:ascii="Arial" w:hAnsi="Arial" w:cs="Arial"/>
          <w:sz w:val="22"/>
          <w:szCs w:val="22"/>
        </w:rPr>
        <w:t xml:space="preserve"> </w:t>
      </w:r>
    </w:p>
    <w:p w14:paraId="523180B9" w14:textId="77777777" w:rsidR="00060CF9" w:rsidRPr="00060CF9" w:rsidRDefault="00060CF9" w:rsidP="00060CF9">
      <w:pPr>
        <w:spacing w:line="360" w:lineRule="auto"/>
        <w:rPr>
          <w:rFonts w:ascii="Arial" w:hAnsi="Arial" w:cs="Arial"/>
          <w:sz w:val="22"/>
          <w:szCs w:val="22"/>
        </w:rPr>
      </w:pPr>
      <w:r w:rsidRPr="00060CF9">
        <w:rPr>
          <w:rFonts w:ascii="Arial" w:hAnsi="Arial" w:cs="Arial"/>
          <w:sz w:val="22"/>
          <w:szCs w:val="22"/>
        </w:rPr>
        <w:lastRenderedPageBreak/>
        <w:t>Vaportzis, E., Clausen, M.G. and Gow, A.J. (2017) ‘Older adults’ perceptions of technology and barriers to interacting with tablet computers: A focus group study’</w:t>
      </w:r>
      <w:r w:rsidRPr="00640ED3">
        <w:rPr>
          <w:rFonts w:ascii="Arial" w:hAnsi="Arial" w:cs="Arial"/>
          <w:i/>
          <w:iCs/>
          <w:sz w:val="22"/>
          <w:szCs w:val="22"/>
        </w:rPr>
        <w:t>, Frontiers in Psychology</w:t>
      </w:r>
      <w:r w:rsidRPr="00060CF9">
        <w:rPr>
          <w:rFonts w:ascii="Arial" w:hAnsi="Arial" w:cs="Arial"/>
          <w:sz w:val="22"/>
          <w:szCs w:val="22"/>
        </w:rPr>
        <w:t>, 8, Article 1687. doi: 10.3389/fpsyg.2017.01687.</w:t>
      </w:r>
    </w:p>
    <w:p w14:paraId="5024270E" w14:textId="362696C3" w:rsidR="00060CF9" w:rsidRPr="00060CF9" w:rsidRDefault="00060CF9" w:rsidP="00060CF9">
      <w:pPr>
        <w:spacing w:line="360" w:lineRule="auto"/>
        <w:rPr>
          <w:rFonts w:ascii="Arial" w:hAnsi="Arial" w:cs="Arial"/>
          <w:sz w:val="22"/>
          <w:szCs w:val="22"/>
        </w:rPr>
      </w:pPr>
      <w:r w:rsidRPr="00060CF9">
        <w:rPr>
          <w:rFonts w:ascii="Arial" w:hAnsi="Arial" w:cs="Arial"/>
          <w:sz w:val="22"/>
          <w:szCs w:val="22"/>
        </w:rPr>
        <w:t xml:space="preserve">World Health </w:t>
      </w:r>
      <w:r w:rsidR="00FC6C47">
        <w:rPr>
          <w:rFonts w:ascii="Arial" w:hAnsi="Arial" w:cs="Arial"/>
          <w:sz w:val="22"/>
          <w:szCs w:val="22"/>
        </w:rPr>
        <w:t>Organisation</w:t>
      </w:r>
      <w:r w:rsidRPr="00060CF9">
        <w:rPr>
          <w:rFonts w:ascii="Arial" w:hAnsi="Arial" w:cs="Arial"/>
          <w:sz w:val="22"/>
          <w:szCs w:val="22"/>
        </w:rPr>
        <w:t xml:space="preserve"> (2021</w:t>
      </w:r>
      <w:r w:rsidRPr="009C461A">
        <w:rPr>
          <w:rFonts w:ascii="Arial" w:hAnsi="Arial" w:cs="Arial"/>
          <w:i/>
          <w:iCs/>
          <w:sz w:val="22"/>
          <w:szCs w:val="22"/>
        </w:rPr>
        <w:t>) Global strategy on digital health 2020–2025</w:t>
      </w:r>
      <w:r w:rsidRPr="00060CF9">
        <w:rPr>
          <w:rFonts w:ascii="Arial" w:hAnsi="Arial" w:cs="Arial"/>
          <w:sz w:val="22"/>
          <w:szCs w:val="22"/>
        </w:rPr>
        <w:t xml:space="preserve">. Geneva: World Health </w:t>
      </w:r>
      <w:r w:rsidR="00FC6C47">
        <w:rPr>
          <w:rFonts w:ascii="Arial" w:hAnsi="Arial" w:cs="Arial"/>
          <w:sz w:val="22"/>
          <w:szCs w:val="22"/>
        </w:rPr>
        <w:t>Organisation</w:t>
      </w:r>
      <w:r w:rsidRPr="00060CF9">
        <w:rPr>
          <w:rFonts w:ascii="Arial" w:hAnsi="Arial" w:cs="Arial"/>
          <w:sz w:val="22"/>
          <w:szCs w:val="22"/>
        </w:rPr>
        <w:t xml:space="preserve">. Available at: </w:t>
      </w:r>
      <w:hyperlink r:id="rId14" w:history="1">
        <w:r w:rsidR="00640ED3" w:rsidRPr="009C4F64">
          <w:rPr>
            <w:rStyle w:val="Hyperlink"/>
            <w:rFonts w:ascii="Arial" w:hAnsi="Arial" w:cs="Arial"/>
            <w:sz w:val="22"/>
            <w:szCs w:val="22"/>
          </w:rPr>
          <w:t>https://www.who.int/publications/i/item/9789240020924</w:t>
        </w:r>
      </w:hyperlink>
      <w:r w:rsidR="00640ED3">
        <w:rPr>
          <w:rFonts w:ascii="Segoe UI Symbol" w:hAnsi="Segoe UI Symbol" w:cs="Segoe UI Symbol"/>
          <w:sz w:val="22"/>
          <w:szCs w:val="22"/>
        </w:rPr>
        <w:t xml:space="preserve"> (</w:t>
      </w:r>
      <w:r w:rsidRPr="00060CF9">
        <w:rPr>
          <w:rFonts w:ascii="Arial" w:hAnsi="Arial" w:cs="Arial"/>
          <w:sz w:val="22"/>
          <w:szCs w:val="22"/>
        </w:rPr>
        <w:t>Accessed: 2 August 2026).</w:t>
      </w:r>
    </w:p>
    <w:p w14:paraId="15FB1982" w14:textId="53A15730" w:rsidR="00060CF9" w:rsidRPr="00060CF9" w:rsidRDefault="00060CF9" w:rsidP="00060CF9">
      <w:pPr>
        <w:spacing w:line="360" w:lineRule="auto"/>
        <w:rPr>
          <w:rFonts w:ascii="Arial" w:hAnsi="Arial" w:cs="Arial"/>
          <w:sz w:val="22"/>
          <w:szCs w:val="22"/>
        </w:rPr>
      </w:pPr>
      <w:r w:rsidRPr="00060CF9">
        <w:rPr>
          <w:rFonts w:ascii="Arial" w:hAnsi="Arial" w:cs="Arial"/>
          <w:sz w:val="22"/>
          <w:szCs w:val="22"/>
        </w:rPr>
        <w:t xml:space="preserve">World Health Organization (2021) </w:t>
      </w:r>
      <w:r w:rsidRPr="009C461A">
        <w:rPr>
          <w:rFonts w:ascii="Arial" w:hAnsi="Arial" w:cs="Arial"/>
          <w:i/>
          <w:iCs/>
          <w:sz w:val="22"/>
          <w:szCs w:val="22"/>
        </w:rPr>
        <w:t xml:space="preserve">Social isolation and loneliness among older people: Advocacy brief. Geneva: World Health </w:t>
      </w:r>
      <w:r w:rsidR="00FC6C47" w:rsidRPr="009C461A">
        <w:rPr>
          <w:rFonts w:ascii="Arial" w:hAnsi="Arial" w:cs="Arial"/>
          <w:i/>
          <w:iCs/>
          <w:sz w:val="22"/>
          <w:szCs w:val="22"/>
        </w:rPr>
        <w:t>Organisation</w:t>
      </w:r>
      <w:r w:rsidRPr="00AB78A3">
        <w:rPr>
          <w:rFonts w:ascii="Arial" w:hAnsi="Arial" w:cs="Arial"/>
          <w:i/>
          <w:iCs/>
          <w:sz w:val="22"/>
          <w:szCs w:val="22"/>
        </w:rPr>
        <w:t>.</w:t>
      </w:r>
      <w:r w:rsidRPr="00060CF9">
        <w:rPr>
          <w:rFonts w:ascii="Arial" w:hAnsi="Arial" w:cs="Arial"/>
          <w:sz w:val="22"/>
          <w:szCs w:val="22"/>
        </w:rPr>
        <w:t xml:space="preserve"> Available at: https://www.who.int/publications/</w:t>
      </w:r>
      <w:proofErr w:type="spellStart"/>
      <w:r w:rsidRPr="00060CF9">
        <w:rPr>
          <w:rFonts w:ascii="Arial" w:hAnsi="Arial" w:cs="Arial"/>
          <w:sz w:val="22"/>
          <w:szCs w:val="22"/>
        </w:rPr>
        <w:t>i</w:t>
      </w:r>
      <w:proofErr w:type="spellEnd"/>
      <w:r w:rsidRPr="00060CF9">
        <w:rPr>
          <w:rFonts w:ascii="Arial" w:hAnsi="Arial" w:cs="Arial"/>
          <w:sz w:val="22"/>
          <w:szCs w:val="22"/>
        </w:rPr>
        <w:t>/item/9789240030749</w:t>
      </w:r>
      <w:r w:rsidRPr="00060CF9">
        <w:rPr>
          <w:rFonts w:ascii="Segoe UI Symbol" w:hAnsi="Segoe UI Symbol" w:cs="Segoe UI Symbol"/>
          <w:sz w:val="22"/>
          <w:szCs w:val="22"/>
        </w:rPr>
        <w:t>⁠</w:t>
      </w:r>
      <w:r w:rsidRPr="00060CF9">
        <w:rPr>
          <w:rFonts w:ascii="Arial" w:hAnsi="Arial" w:cs="Arial"/>
          <w:sz w:val="22"/>
          <w:szCs w:val="22"/>
        </w:rPr>
        <w:t xml:space="preserve"> (Accessed: 2 August 2026).</w:t>
      </w:r>
    </w:p>
    <w:p w14:paraId="371E0B1D" w14:textId="5D0E4666" w:rsidR="00DB2940" w:rsidRPr="00872BFC" w:rsidRDefault="00060CF9" w:rsidP="00060CF9">
      <w:pPr>
        <w:spacing w:line="360" w:lineRule="auto"/>
        <w:rPr>
          <w:rFonts w:ascii="Arial" w:hAnsi="Arial" w:cs="Arial"/>
          <w:sz w:val="22"/>
          <w:szCs w:val="22"/>
        </w:rPr>
      </w:pPr>
      <w:r w:rsidRPr="00060CF9">
        <w:rPr>
          <w:rFonts w:ascii="Arial" w:hAnsi="Arial" w:cs="Arial"/>
          <w:sz w:val="22"/>
          <w:szCs w:val="22"/>
        </w:rPr>
        <w:t xml:space="preserve">Yusif, S., Soar, J. and Hafeez-Baig, A. (2016) ‘Older people, assistive technologies, and the barriers to adoption: A systematic review’, </w:t>
      </w:r>
      <w:r w:rsidRPr="00FC6C47">
        <w:rPr>
          <w:rFonts w:ascii="Arial" w:hAnsi="Arial" w:cs="Arial"/>
          <w:i/>
          <w:iCs/>
          <w:sz w:val="22"/>
          <w:szCs w:val="22"/>
        </w:rPr>
        <w:t>International Journal of Medical Informatics</w:t>
      </w:r>
      <w:r w:rsidRPr="00060CF9">
        <w:rPr>
          <w:rFonts w:ascii="Arial" w:hAnsi="Arial" w:cs="Arial"/>
          <w:sz w:val="22"/>
          <w:szCs w:val="22"/>
        </w:rPr>
        <w:t>, 94, pp. 112–116. doi: 10.1016/j.ijmedinf.2016.07.004.</w:t>
      </w:r>
    </w:p>
    <w:sectPr w:rsidR="00DB2940" w:rsidRPr="00872B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09E08" w14:textId="77777777" w:rsidR="004F005E" w:rsidRDefault="004F005E" w:rsidP="00C37E6B">
      <w:pPr>
        <w:spacing w:after="0" w:line="240" w:lineRule="auto"/>
      </w:pPr>
      <w:r>
        <w:separator/>
      </w:r>
    </w:p>
  </w:endnote>
  <w:endnote w:type="continuationSeparator" w:id="0">
    <w:p w14:paraId="088F2071" w14:textId="77777777" w:rsidR="004F005E" w:rsidRDefault="004F005E" w:rsidP="00C37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AB48B" w14:textId="77777777" w:rsidR="004F005E" w:rsidRDefault="004F005E" w:rsidP="00C37E6B">
      <w:pPr>
        <w:spacing w:after="0" w:line="240" w:lineRule="auto"/>
      </w:pPr>
      <w:r>
        <w:separator/>
      </w:r>
    </w:p>
  </w:footnote>
  <w:footnote w:type="continuationSeparator" w:id="0">
    <w:p w14:paraId="5E38F004" w14:textId="77777777" w:rsidR="004F005E" w:rsidRDefault="004F005E" w:rsidP="00C37E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0405"/>
    <w:multiLevelType w:val="hybridMultilevel"/>
    <w:tmpl w:val="09D45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2335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BFC"/>
    <w:rsid w:val="00060CF9"/>
    <w:rsid w:val="000A38A5"/>
    <w:rsid w:val="00107403"/>
    <w:rsid w:val="00120889"/>
    <w:rsid w:val="001D425A"/>
    <w:rsid w:val="00206FF9"/>
    <w:rsid w:val="002D1B96"/>
    <w:rsid w:val="00333C87"/>
    <w:rsid w:val="003836BF"/>
    <w:rsid w:val="00467A4D"/>
    <w:rsid w:val="004910D3"/>
    <w:rsid w:val="004F005E"/>
    <w:rsid w:val="00501951"/>
    <w:rsid w:val="005275BF"/>
    <w:rsid w:val="005859E3"/>
    <w:rsid w:val="005A6645"/>
    <w:rsid w:val="00625C07"/>
    <w:rsid w:val="00633EAB"/>
    <w:rsid w:val="00640ED3"/>
    <w:rsid w:val="00643784"/>
    <w:rsid w:val="00702C1A"/>
    <w:rsid w:val="00812A57"/>
    <w:rsid w:val="00872BFC"/>
    <w:rsid w:val="0089245E"/>
    <w:rsid w:val="00942559"/>
    <w:rsid w:val="0099198C"/>
    <w:rsid w:val="009C461A"/>
    <w:rsid w:val="00A20C2E"/>
    <w:rsid w:val="00AB78A3"/>
    <w:rsid w:val="00AC2277"/>
    <w:rsid w:val="00B26DEB"/>
    <w:rsid w:val="00B830E0"/>
    <w:rsid w:val="00BA1F4B"/>
    <w:rsid w:val="00BF1BC6"/>
    <w:rsid w:val="00C15B0F"/>
    <w:rsid w:val="00C37E6B"/>
    <w:rsid w:val="00DB2940"/>
    <w:rsid w:val="00DD6BEE"/>
    <w:rsid w:val="00E30929"/>
    <w:rsid w:val="00E60BD8"/>
    <w:rsid w:val="00EE13C9"/>
    <w:rsid w:val="00F30CE5"/>
    <w:rsid w:val="00F35E95"/>
    <w:rsid w:val="00F830AD"/>
    <w:rsid w:val="00FC6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506C"/>
  <w15:chartTrackingRefBased/>
  <w15:docId w15:val="{B3ECACC9-F795-4898-B786-2C414B0E6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B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B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B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B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B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B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B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B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B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B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B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B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B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B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B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B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B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BFC"/>
    <w:rPr>
      <w:rFonts w:eastAsiaTheme="majorEastAsia" w:cstheme="majorBidi"/>
      <w:color w:val="272727" w:themeColor="text1" w:themeTint="D8"/>
    </w:rPr>
  </w:style>
  <w:style w:type="paragraph" w:styleId="Title">
    <w:name w:val="Title"/>
    <w:basedOn w:val="Normal"/>
    <w:next w:val="Normal"/>
    <w:link w:val="TitleChar"/>
    <w:uiPriority w:val="10"/>
    <w:qFormat/>
    <w:rsid w:val="00872B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B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B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B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BFC"/>
    <w:pPr>
      <w:spacing w:before="160"/>
      <w:jc w:val="center"/>
    </w:pPr>
    <w:rPr>
      <w:i/>
      <w:iCs/>
      <w:color w:val="404040" w:themeColor="text1" w:themeTint="BF"/>
    </w:rPr>
  </w:style>
  <w:style w:type="character" w:customStyle="1" w:styleId="QuoteChar">
    <w:name w:val="Quote Char"/>
    <w:basedOn w:val="DefaultParagraphFont"/>
    <w:link w:val="Quote"/>
    <w:uiPriority w:val="29"/>
    <w:rsid w:val="00872BFC"/>
    <w:rPr>
      <w:i/>
      <w:iCs/>
      <w:color w:val="404040" w:themeColor="text1" w:themeTint="BF"/>
    </w:rPr>
  </w:style>
  <w:style w:type="paragraph" w:styleId="ListParagraph">
    <w:name w:val="List Paragraph"/>
    <w:basedOn w:val="Normal"/>
    <w:uiPriority w:val="34"/>
    <w:qFormat/>
    <w:rsid w:val="00872BFC"/>
    <w:pPr>
      <w:ind w:left="720"/>
      <w:contextualSpacing/>
    </w:pPr>
  </w:style>
  <w:style w:type="character" w:styleId="IntenseEmphasis">
    <w:name w:val="Intense Emphasis"/>
    <w:basedOn w:val="DefaultParagraphFont"/>
    <w:uiPriority w:val="21"/>
    <w:qFormat/>
    <w:rsid w:val="00872BFC"/>
    <w:rPr>
      <w:i/>
      <w:iCs/>
      <w:color w:val="0F4761" w:themeColor="accent1" w:themeShade="BF"/>
    </w:rPr>
  </w:style>
  <w:style w:type="paragraph" w:styleId="IntenseQuote">
    <w:name w:val="Intense Quote"/>
    <w:basedOn w:val="Normal"/>
    <w:next w:val="Normal"/>
    <w:link w:val="IntenseQuoteChar"/>
    <w:uiPriority w:val="30"/>
    <w:qFormat/>
    <w:rsid w:val="00872B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BFC"/>
    <w:rPr>
      <w:i/>
      <w:iCs/>
      <w:color w:val="0F4761" w:themeColor="accent1" w:themeShade="BF"/>
    </w:rPr>
  </w:style>
  <w:style w:type="character" w:styleId="IntenseReference">
    <w:name w:val="Intense Reference"/>
    <w:basedOn w:val="DefaultParagraphFont"/>
    <w:uiPriority w:val="32"/>
    <w:qFormat/>
    <w:rsid w:val="00872BFC"/>
    <w:rPr>
      <w:b/>
      <w:bCs/>
      <w:smallCaps/>
      <w:color w:val="0F4761" w:themeColor="accent1" w:themeShade="BF"/>
      <w:spacing w:val="5"/>
    </w:rPr>
  </w:style>
  <w:style w:type="character" w:styleId="Hyperlink">
    <w:name w:val="Hyperlink"/>
    <w:basedOn w:val="DefaultParagraphFont"/>
    <w:uiPriority w:val="99"/>
    <w:unhideWhenUsed/>
    <w:rsid w:val="00872BFC"/>
    <w:rPr>
      <w:color w:val="467886" w:themeColor="hyperlink"/>
      <w:u w:val="single"/>
    </w:rPr>
  </w:style>
  <w:style w:type="character" w:styleId="UnresolvedMention">
    <w:name w:val="Unresolved Mention"/>
    <w:basedOn w:val="DefaultParagraphFont"/>
    <w:uiPriority w:val="99"/>
    <w:semiHidden/>
    <w:unhideWhenUsed/>
    <w:rsid w:val="00872BFC"/>
    <w:rPr>
      <w:color w:val="605E5C"/>
      <w:shd w:val="clear" w:color="auto" w:fill="E1DFDD"/>
    </w:rPr>
  </w:style>
  <w:style w:type="paragraph" w:styleId="Header">
    <w:name w:val="header"/>
    <w:basedOn w:val="Normal"/>
    <w:link w:val="HeaderChar"/>
    <w:uiPriority w:val="99"/>
    <w:unhideWhenUsed/>
    <w:rsid w:val="00C37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E6B"/>
  </w:style>
  <w:style w:type="paragraph" w:styleId="Footer">
    <w:name w:val="footer"/>
    <w:basedOn w:val="Normal"/>
    <w:link w:val="FooterChar"/>
    <w:uiPriority w:val="99"/>
    <w:unhideWhenUsed/>
    <w:rsid w:val="00C37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hyperlink" Target="https://academic.oup.com/ageing/article/42/4/501/933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social-care-and-support/care-services-equipment-and-care-homes/personal-alarms-security-systems-and-keysaf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495069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government/publications/telecare-national-action-plan-protecting-telecare-users-through-the-digital-phone-switchover" TargetMode="External"/><Relationship Id="rId4" Type="http://schemas.openxmlformats.org/officeDocument/2006/relationships/webSettings" Target="webSettings.xml"/><Relationship Id="rId9" Type="http://schemas.openxmlformats.org/officeDocument/2006/relationships/hyperlink" Target="https://www.gov.uk/government/publications/whole-system-demonstrator-programme-headline-findings-december-2011" TargetMode="External"/><Relationship Id="rId14" Type="http://schemas.openxmlformats.org/officeDocument/2006/relationships/hyperlink" Target="https://www.who.int/publications/i/item/9789240020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TotalTime>
  <Pages>4</Pages>
  <Words>1013</Words>
  <Characters>5779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30</cp:revision>
  <dcterms:created xsi:type="dcterms:W3CDTF">2026-08-02T17:52:00Z</dcterms:created>
  <dcterms:modified xsi:type="dcterms:W3CDTF">2026-08-04T12:35:00Z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0e7a78f6-e8c5-4046-bf03-625c5b1c2576</vt:lpwstr>
  </property>
</Properties>
</file>