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8762" w14:textId="77777777" w:rsidR="00065D7D" w:rsidRPr="00065D7D" w:rsidRDefault="00065D7D" w:rsidP="00065D7D">
      <w:pPr>
        <w:spacing w:line="360" w:lineRule="auto"/>
        <w:jc w:val="center"/>
        <w:rPr>
          <w:b/>
          <w:bCs/>
          <w:sz w:val="32"/>
          <w:szCs w:val="32"/>
          <w:lang w:val="en-US"/>
        </w:rPr>
      </w:pPr>
    </w:p>
    <w:p w14:paraId="79B4A047" w14:textId="22862ED2" w:rsidR="00065D7D" w:rsidRPr="00065D7D" w:rsidRDefault="00065D7D" w:rsidP="00065D7D">
      <w:pPr>
        <w:spacing w:line="360" w:lineRule="auto"/>
        <w:jc w:val="center"/>
        <w:rPr>
          <w:b/>
          <w:bCs/>
          <w:sz w:val="32"/>
          <w:szCs w:val="32"/>
          <w:lang w:val="en-US"/>
        </w:rPr>
      </w:pPr>
      <w:r w:rsidRPr="00065D7D">
        <w:rPr>
          <w:b/>
          <w:bCs/>
          <w:sz w:val="32"/>
          <w:szCs w:val="32"/>
          <w:lang w:val="en-US"/>
        </w:rPr>
        <w:drawing>
          <wp:inline distT="0" distB="0" distL="0" distR="0" wp14:anchorId="0D5D5E47" wp14:editId="121DF67F">
            <wp:extent cx="5727700" cy="2362200"/>
            <wp:effectExtent l="0" t="0" r="6350" b="0"/>
            <wp:docPr id="18986589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tbl>
      <w:tblPr>
        <w:tblStyle w:val="TableGrid"/>
        <w:tblpPr w:leftFromText="180" w:rightFromText="180" w:vertAnchor="text" w:horzAnchor="margin" w:tblpXSpec="center" w:tblpY="299"/>
        <w:tblW w:w="10275" w:type="dxa"/>
        <w:tblLook w:val="04A0" w:firstRow="1" w:lastRow="0" w:firstColumn="1" w:lastColumn="0" w:noHBand="0" w:noVBand="1"/>
      </w:tblPr>
      <w:tblGrid>
        <w:gridCol w:w="5137"/>
        <w:gridCol w:w="5138"/>
      </w:tblGrid>
      <w:tr w:rsidR="00065D7D" w:rsidRPr="00065D7D" w14:paraId="2977C87C" w14:textId="77777777" w:rsidTr="00065D7D">
        <w:trPr>
          <w:trHeight w:val="685"/>
        </w:trPr>
        <w:tc>
          <w:tcPr>
            <w:tcW w:w="5137" w:type="dxa"/>
            <w:tcBorders>
              <w:top w:val="single" w:sz="4" w:space="0" w:color="auto"/>
              <w:left w:val="single" w:sz="4" w:space="0" w:color="auto"/>
              <w:bottom w:val="single" w:sz="4" w:space="0" w:color="auto"/>
              <w:right w:val="single" w:sz="4" w:space="0" w:color="auto"/>
            </w:tcBorders>
            <w:hideMark/>
          </w:tcPr>
          <w:p w14:paraId="3D39DA12"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 xml:space="preserve">Program Name </w:t>
            </w:r>
          </w:p>
        </w:tc>
        <w:tc>
          <w:tcPr>
            <w:tcW w:w="5138" w:type="dxa"/>
            <w:tcBorders>
              <w:top w:val="single" w:sz="4" w:space="0" w:color="auto"/>
              <w:left w:val="single" w:sz="4" w:space="0" w:color="auto"/>
              <w:bottom w:val="single" w:sz="4" w:space="0" w:color="auto"/>
              <w:right w:val="single" w:sz="4" w:space="0" w:color="auto"/>
            </w:tcBorders>
            <w:hideMark/>
          </w:tcPr>
          <w:p w14:paraId="6F6FA773"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MBA</w:t>
            </w:r>
          </w:p>
        </w:tc>
      </w:tr>
      <w:tr w:rsidR="00065D7D" w:rsidRPr="00065D7D" w14:paraId="38865421" w14:textId="77777777" w:rsidTr="00065D7D">
        <w:trPr>
          <w:trHeight w:val="670"/>
        </w:trPr>
        <w:tc>
          <w:tcPr>
            <w:tcW w:w="5137" w:type="dxa"/>
            <w:tcBorders>
              <w:top w:val="single" w:sz="4" w:space="0" w:color="auto"/>
              <w:left w:val="single" w:sz="4" w:space="0" w:color="auto"/>
              <w:bottom w:val="single" w:sz="4" w:space="0" w:color="auto"/>
              <w:right w:val="single" w:sz="4" w:space="0" w:color="auto"/>
            </w:tcBorders>
            <w:hideMark/>
          </w:tcPr>
          <w:p w14:paraId="7353117D"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Module Name</w:t>
            </w:r>
          </w:p>
        </w:tc>
        <w:tc>
          <w:tcPr>
            <w:tcW w:w="5138" w:type="dxa"/>
            <w:tcBorders>
              <w:top w:val="single" w:sz="4" w:space="0" w:color="auto"/>
              <w:left w:val="single" w:sz="4" w:space="0" w:color="auto"/>
              <w:bottom w:val="single" w:sz="4" w:space="0" w:color="auto"/>
              <w:right w:val="single" w:sz="4" w:space="0" w:color="auto"/>
            </w:tcBorders>
            <w:hideMark/>
          </w:tcPr>
          <w:p w14:paraId="54D2DD72"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Strategic Management</w:t>
            </w:r>
          </w:p>
        </w:tc>
      </w:tr>
      <w:tr w:rsidR="00065D7D" w:rsidRPr="00065D7D" w14:paraId="0136A84E" w14:textId="77777777" w:rsidTr="00065D7D">
        <w:trPr>
          <w:trHeight w:val="685"/>
        </w:trPr>
        <w:tc>
          <w:tcPr>
            <w:tcW w:w="5137" w:type="dxa"/>
            <w:tcBorders>
              <w:top w:val="single" w:sz="4" w:space="0" w:color="auto"/>
              <w:left w:val="single" w:sz="4" w:space="0" w:color="auto"/>
              <w:bottom w:val="single" w:sz="4" w:space="0" w:color="auto"/>
              <w:right w:val="single" w:sz="4" w:space="0" w:color="auto"/>
            </w:tcBorders>
            <w:hideMark/>
          </w:tcPr>
          <w:p w14:paraId="1456372E"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Module Code</w:t>
            </w:r>
          </w:p>
        </w:tc>
        <w:tc>
          <w:tcPr>
            <w:tcW w:w="5138" w:type="dxa"/>
            <w:tcBorders>
              <w:top w:val="single" w:sz="4" w:space="0" w:color="auto"/>
              <w:left w:val="single" w:sz="4" w:space="0" w:color="auto"/>
              <w:bottom w:val="single" w:sz="4" w:space="0" w:color="auto"/>
              <w:right w:val="single" w:sz="4" w:space="0" w:color="auto"/>
            </w:tcBorders>
            <w:hideMark/>
          </w:tcPr>
          <w:p w14:paraId="4A8F943C"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LCMB7003</w:t>
            </w:r>
          </w:p>
        </w:tc>
      </w:tr>
      <w:tr w:rsidR="00065D7D" w:rsidRPr="00065D7D" w14:paraId="1E8F9B8E" w14:textId="77777777" w:rsidTr="00065D7D">
        <w:trPr>
          <w:trHeight w:val="670"/>
        </w:trPr>
        <w:tc>
          <w:tcPr>
            <w:tcW w:w="5137" w:type="dxa"/>
            <w:tcBorders>
              <w:top w:val="single" w:sz="4" w:space="0" w:color="auto"/>
              <w:left w:val="single" w:sz="4" w:space="0" w:color="auto"/>
              <w:bottom w:val="single" w:sz="4" w:space="0" w:color="auto"/>
              <w:right w:val="single" w:sz="4" w:space="0" w:color="auto"/>
            </w:tcBorders>
            <w:hideMark/>
          </w:tcPr>
          <w:p w14:paraId="28E35808"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Title</w:t>
            </w:r>
          </w:p>
        </w:tc>
        <w:tc>
          <w:tcPr>
            <w:tcW w:w="5138" w:type="dxa"/>
            <w:tcBorders>
              <w:top w:val="single" w:sz="4" w:space="0" w:color="auto"/>
              <w:left w:val="single" w:sz="4" w:space="0" w:color="auto"/>
              <w:bottom w:val="single" w:sz="4" w:space="0" w:color="auto"/>
              <w:right w:val="single" w:sz="4" w:space="0" w:color="auto"/>
            </w:tcBorders>
            <w:hideMark/>
          </w:tcPr>
          <w:p w14:paraId="34B4FE61"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 xml:space="preserve">Assessment Component : Individual Report </w:t>
            </w:r>
          </w:p>
        </w:tc>
      </w:tr>
      <w:tr w:rsidR="00065D7D" w:rsidRPr="00065D7D" w14:paraId="1C03FFF3" w14:textId="77777777" w:rsidTr="00065D7D">
        <w:trPr>
          <w:trHeight w:val="1358"/>
        </w:trPr>
        <w:tc>
          <w:tcPr>
            <w:tcW w:w="5137" w:type="dxa"/>
            <w:tcBorders>
              <w:top w:val="single" w:sz="4" w:space="0" w:color="auto"/>
              <w:left w:val="single" w:sz="4" w:space="0" w:color="auto"/>
              <w:bottom w:val="single" w:sz="4" w:space="0" w:color="auto"/>
              <w:right w:val="single" w:sz="4" w:space="0" w:color="auto"/>
            </w:tcBorders>
          </w:tcPr>
          <w:p w14:paraId="064F5D49" w14:textId="77777777" w:rsidR="00065D7D" w:rsidRPr="00065D7D" w:rsidRDefault="00065D7D" w:rsidP="00065D7D">
            <w:pPr>
              <w:spacing w:line="360" w:lineRule="auto"/>
              <w:jc w:val="center"/>
              <w:rPr>
                <w:b/>
                <w:bCs/>
                <w:sz w:val="32"/>
                <w:szCs w:val="32"/>
                <w:lang w:val="en-IN"/>
              </w:rPr>
            </w:pPr>
          </w:p>
          <w:p w14:paraId="2DBA6850"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 xml:space="preserve">Company Name </w:t>
            </w:r>
          </w:p>
        </w:tc>
        <w:tc>
          <w:tcPr>
            <w:tcW w:w="5138" w:type="dxa"/>
            <w:tcBorders>
              <w:top w:val="single" w:sz="4" w:space="0" w:color="auto"/>
              <w:left w:val="single" w:sz="4" w:space="0" w:color="auto"/>
              <w:bottom w:val="single" w:sz="4" w:space="0" w:color="auto"/>
              <w:right w:val="single" w:sz="4" w:space="0" w:color="auto"/>
            </w:tcBorders>
          </w:tcPr>
          <w:p w14:paraId="7F9EA41E" w14:textId="77777777" w:rsidR="00065D7D" w:rsidRDefault="00065D7D" w:rsidP="00065D7D">
            <w:pPr>
              <w:spacing w:line="360" w:lineRule="auto"/>
              <w:rPr>
                <w:b/>
                <w:bCs/>
                <w:sz w:val="32"/>
                <w:szCs w:val="32"/>
                <w:lang w:val="en-IN"/>
              </w:rPr>
            </w:pPr>
          </w:p>
          <w:p w14:paraId="40BC89EC" w14:textId="688B6BBE" w:rsidR="00065D7D" w:rsidRPr="00065D7D" w:rsidRDefault="00065D7D" w:rsidP="00065D7D">
            <w:pPr>
              <w:spacing w:line="360" w:lineRule="auto"/>
              <w:jc w:val="center"/>
              <w:rPr>
                <w:b/>
                <w:bCs/>
                <w:sz w:val="32"/>
                <w:szCs w:val="32"/>
                <w:lang w:val="en-IN"/>
              </w:rPr>
            </w:pPr>
            <w:r>
              <w:rPr>
                <w:b/>
                <w:bCs/>
                <w:sz w:val="32"/>
                <w:szCs w:val="32"/>
                <w:lang w:val="en-IN"/>
              </w:rPr>
              <w:t>Unilever</w:t>
            </w:r>
          </w:p>
        </w:tc>
      </w:tr>
      <w:tr w:rsidR="00065D7D" w:rsidRPr="00065D7D" w14:paraId="25271B99" w14:textId="77777777" w:rsidTr="00065D7D">
        <w:trPr>
          <w:trHeight w:val="685"/>
        </w:trPr>
        <w:tc>
          <w:tcPr>
            <w:tcW w:w="5137" w:type="dxa"/>
            <w:tcBorders>
              <w:top w:val="single" w:sz="4" w:space="0" w:color="auto"/>
              <w:left w:val="single" w:sz="4" w:space="0" w:color="auto"/>
              <w:bottom w:val="single" w:sz="4" w:space="0" w:color="auto"/>
              <w:right w:val="single" w:sz="4" w:space="0" w:color="auto"/>
            </w:tcBorders>
            <w:hideMark/>
          </w:tcPr>
          <w:p w14:paraId="607EBF41"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Lecturer</w:t>
            </w:r>
          </w:p>
        </w:tc>
        <w:tc>
          <w:tcPr>
            <w:tcW w:w="5138" w:type="dxa"/>
            <w:tcBorders>
              <w:top w:val="single" w:sz="4" w:space="0" w:color="auto"/>
              <w:left w:val="single" w:sz="4" w:space="0" w:color="auto"/>
              <w:bottom w:val="single" w:sz="4" w:space="0" w:color="auto"/>
              <w:right w:val="single" w:sz="4" w:space="0" w:color="auto"/>
            </w:tcBorders>
            <w:hideMark/>
          </w:tcPr>
          <w:p w14:paraId="797C005E"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Jia Miao</w:t>
            </w:r>
          </w:p>
        </w:tc>
      </w:tr>
      <w:tr w:rsidR="00065D7D" w:rsidRPr="00065D7D" w14:paraId="12B95372" w14:textId="77777777" w:rsidTr="00065D7D">
        <w:trPr>
          <w:trHeight w:val="685"/>
        </w:trPr>
        <w:tc>
          <w:tcPr>
            <w:tcW w:w="5137" w:type="dxa"/>
            <w:tcBorders>
              <w:top w:val="single" w:sz="4" w:space="0" w:color="auto"/>
              <w:left w:val="single" w:sz="4" w:space="0" w:color="auto"/>
              <w:bottom w:val="single" w:sz="4" w:space="0" w:color="auto"/>
              <w:right w:val="single" w:sz="4" w:space="0" w:color="auto"/>
            </w:tcBorders>
            <w:hideMark/>
          </w:tcPr>
          <w:p w14:paraId="685A8363"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Student Name</w:t>
            </w:r>
          </w:p>
        </w:tc>
        <w:tc>
          <w:tcPr>
            <w:tcW w:w="5138" w:type="dxa"/>
            <w:tcBorders>
              <w:top w:val="single" w:sz="4" w:space="0" w:color="auto"/>
              <w:left w:val="single" w:sz="4" w:space="0" w:color="auto"/>
              <w:bottom w:val="single" w:sz="4" w:space="0" w:color="auto"/>
              <w:right w:val="single" w:sz="4" w:space="0" w:color="auto"/>
            </w:tcBorders>
            <w:hideMark/>
          </w:tcPr>
          <w:p w14:paraId="736F5FC1" w14:textId="4E848537" w:rsidR="00065D7D" w:rsidRPr="00065D7D" w:rsidRDefault="00065D7D" w:rsidP="00065D7D">
            <w:pPr>
              <w:spacing w:line="360" w:lineRule="auto"/>
              <w:rPr>
                <w:b/>
                <w:bCs/>
                <w:sz w:val="32"/>
                <w:szCs w:val="32"/>
                <w:lang w:val="en-IN"/>
              </w:rPr>
            </w:pPr>
            <w:r>
              <w:rPr>
                <w:b/>
                <w:bCs/>
                <w:sz w:val="32"/>
                <w:szCs w:val="32"/>
                <w:lang w:val="en-IN"/>
              </w:rPr>
              <w:t xml:space="preserve"> Arth Bhaveshkumar Patel</w:t>
            </w:r>
          </w:p>
        </w:tc>
      </w:tr>
      <w:tr w:rsidR="00065D7D" w:rsidRPr="00065D7D" w14:paraId="41E88EA5" w14:textId="77777777" w:rsidTr="00065D7D">
        <w:trPr>
          <w:trHeight w:val="670"/>
        </w:trPr>
        <w:tc>
          <w:tcPr>
            <w:tcW w:w="5137" w:type="dxa"/>
            <w:tcBorders>
              <w:top w:val="single" w:sz="4" w:space="0" w:color="auto"/>
              <w:left w:val="single" w:sz="4" w:space="0" w:color="auto"/>
              <w:bottom w:val="single" w:sz="4" w:space="0" w:color="auto"/>
              <w:right w:val="single" w:sz="4" w:space="0" w:color="auto"/>
            </w:tcBorders>
            <w:hideMark/>
          </w:tcPr>
          <w:p w14:paraId="6AC2F848" w14:textId="77777777" w:rsidR="00065D7D" w:rsidRPr="00065D7D" w:rsidRDefault="00065D7D" w:rsidP="00065D7D">
            <w:pPr>
              <w:spacing w:line="360" w:lineRule="auto"/>
              <w:jc w:val="center"/>
              <w:rPr>
                <w:b/>
                <w:bCs/>
                <w:sz w:val="32"/>
                <w:szCs w:val="32"/>
                <w:lang w:val="en-IN"/>
              </w:rPr>
            </w:pPr>
            <w:r w:rsidRPr="00065D7D">
              <w:rPr>
                <w:b/>
                <w:bCs/>
                <w:sz w:val="32"/>
                <w:szCs w:val="32"/>
                <w:lang w:val="en-IN"/>
              </w:rPr>
              <w:t>Student ID</w:t>
            </w:r>
          </w:p>
        </w:tc>
        <w:tc>
          <w:tcPr>
            <w:tcW w:w="5138" w:type="dxa"/>
            <w:tcBorders>
              <w:top w:val="single" w:sz="4" w:space="0" w:color="auto"/>
              <w:left w:val="single" w:sz="4" w:space="0" w:color="auto"/>
              <w:bottom w:val="single" w:sz="4" w:space="0" w:color="auto"/>
              <w:right w:val="single" w:sz="4" w:space="0" w:color="auto"/>
            </w:tcBorders>
            <w:hideMark/>
          </w:tcPr>
          <w:p w14:paraId="54BBC104" w14:textId="032C6EE9" w:rsidR="00065D7D" w:rsidRPr="00065D7D" w:rsidRDefault="00065D7D" w:rsidP="00065D7D">
            <w:pPr>
              <w:spacing w:line="360" w:lineRule="auto"/>
              <w:jc w:val="center"/>
              <w:rPr>
                <w:b/>
                <w:bCs/>
                <w:sz w:val="32"/>
                <w:szCs w:val="32"/>
                <w:lang w:val="en-IN"/>
              </w:rPr>
            </w:pPr>
            <w:r w:rsidRPr="00065D7D">
              <w:rPr>
                <w:b/>
                <w:bCs/>
                <w:sz w:val="32"/>
                <w:szCs w:val="32"/>
                <w:lang w:val="en-IN"/>
              </w:rPr>
              <w:t>243</w:t>
            </w:r>
            <w:r>
              <w:rPr>
                <w:b/>
                <w:bCs/>
                <w:sz w:val="32"/>
                <w:szCs w:val="32"/>
                <w:lang w:val="en-IN"/>
              </w:rPr>
              <w:t>6570</w:t>
            </w:r>
          </w:p>
        </w:tc>
      </w:tr>
    </w:tbl>
    <w:p w14:paraId="2175B04B" w14:textId="77777777" w:rsidR="00065D7D" w:rsidRPr="00065D7D" w:rsidRDefault="00065D7D" w:rsidP="00065D7D">
      <w:pPr>
        <w:spacing w:line="360" w:lineRule="auto"/>
        <w:jc w:val="center"/>
        <w:rPr>
          <w:b/>
          <w:bCs/>
          <w:sz w:val="32"/>
          <w:szCs w:val="32"/>
          <w:lang w:val="en-US"/>
        </w:rPr>
      </w:pPr>
    </w:p>
    <w:p w14:paraId="39B5224D" w14:textId="77777777" w:rsidR="00065D7D" w:rsidRPr="00065D7D" w:rsidRDefault="00065D7D" w:rsidP="00065D7D">
      <w:pPr>
        <w:spacing w:line="360" w:lineRule="auto"/>
        <w:jc w:val="center"/>
        <w:rPr>
          <w:b/>
          <w:bCs/>
          <w:sz w:val="32"/>
          <w:szCs w:val="32"/>
          <w:lang w:val="en-IN"/>
        </w:rPr>
      </w:pPr>
    </w:p>
    <w:p w14:paraId="30309DA2" w14:textId="1250A330" w:rsidR="00396184" w:rsidRDefault="00396184">
      <w:pPr>
        <w:spacing w:line="360" w:lineRule="auto"/>
        <w:jc w:val="center"/>
        <w:rPr>
          <w:b/>
          <w:bCs/>
          <w:sz w:val="32"/>
          <w:szCs w:val="32"/>
        </w:rPr>
      </w:pPr>
    </w:p>
    <w:p w14:paraId="541C29FD" w14:textId="77777777" w:rsidR="00396184" w:rsidRDefault="0010505D">
      <w:pPr>
        <w:spacing w:line="360" w:lineRule="auto"/>
        <w:jc w:val="center"/>
        <w:rPr>
          <w:b/>
          <w:bCs/>
          <w:sz w:val="28"/>
          <w:szCs w:val="28"/>
        </w:rPr>
      </w:pPr>
      <w:r>
        <w:rPr>
          <w:b/>
          <w:bCs/>
          <w:sz w:val="28"/>
          <w:szCs w:val="28"/>
        </w:rPr>
        <w:lastRenderedPageBreak/>
        <w:t>Table of Content</w:t>
      </w:r>
    </w:p>
    <w:sdt>
      <w:sdtPr>
        <w:id w:val="-2083143679"/>
        <w:docPartObj>
          <w:docPartGallery w:val="Table of Contents"/>
          <w:docPartUnique/>
        </w:docPartObj>
      </w:sdtPr>
      <w:sdtContent>
        <w:p w14:paraId="5783BC74" w14:textId="77777777" w:rsidR="00396184" w:rsidRDefault="0010505D">
          <w:pPr>
            <w:widowControl w:val="0"/>
            <w:tabs>
              <w:tab w:val="right" w:leader="dot" w:pos="12000"/>
            </w:tabs>
            <w:spacing w:before="60" w:line="360" w:lineRule="auto"/>
            <w:jc w:val="both"/>
            <w:rPr>
              <w:b/>
              <w:bCs/>
              <w:color w:val="000000"/>
              <w:sz w:val="24"/>
              <w:szCs w:val="24"/>
            </w:rPr>
          </w:pPr>
          <w:r>
            <w:fldChar w:fldCharType="begin"/>
          </w:r>
          <w:r>
            <w:instrText xml:space="preserve"> TOC \h \u \z \t "Heading 1,1,Heading 2,2,Heading 3,3,Heading 4,4,Heading 5,5,Heading 6,6,"</w:instrText>
          </w:r>
          <w:r>
            <w:fldChar w:fldCharType="separate"/>
          </w:r>
          <w:hyperlink w:anchor="_i5gnwhx54xcq">
            <w:r>
              <w:rPr>
                <w:b/>
                <w:bCs/>
                <w:color w:val="000000"/>
                <w:sz w:val="24"/>
                <w:szCs w:val="24"/>
              </w:rPr>
              <w:t>1. Introduction</w:t>
            </w:r>
            <w:r>
              <w:rPr>
                <w:b/>
                <w:bCs/>
                <w:color w:val="000000"/>
                <w:sz w:val="24"/>
                <w:szCs w:val="24"/>
              </w:rPr>
              <w:tab/>
              <w:t>3</w:t>
            </w:r>
          </w:hyperlink>
        </w:p>
        <w:p w14:paraId="73E19D68" w14:textId="77777777" w:rsidR="00396184" w:rsidRDefault="0010505D">
          <w:pPr>
            <w:widowControl w:val="0"/>
            <w:tabs>
              <w:tab w:val="right" w:leader="dot" w:pos="12000"/>
            </w:tabs>
            <w:spacing w:before="60" w:line="360" w:lineRule="auto"/>
            <w:jc w:val="both"/>
            <w:rPr>
              <w:b/>
              <w:bCs/>
              <w:color w:val="000000"/>
              <w:sz w:val="24"/>
              <w:szCs w:val="24"/>
            </w:rPr>
          </w:pPr>
          <w:hyperlink w:anchor="_jkps0jdc6kdc">
            <w:r>
              <w:rPr>
                <w:b/>
                <w:bCs/>
                <w:color w:val="000000"/>
                <w:sz w:val="24"/>
                <w:szCs w:val="24"/>
              </w:rPr>
              <w:t>2. Selection of organisation and target market</w:t>
            </w:r>
            <w:r>
              <w:rPr>
                <w:b/>
                <w:bCs/>
                <w:color w:val="000000"/>
                <w:sz w:val="24"/>
                <w:szCs w:val="24"/>
              </w:rPr>
              <w:tab/>
              <w:t>3</w:t>
            </w:r>
          </w:hyperlink>
        </w:p>
        <w:p w14:paraId="316094DF" w14:textId="77777777" w:rsidR="00396184" w:rsidRDefault="0010505D">
          <w:pPr>
            <w:widowControl w:val="0"/>
            <w:tabs>
              <w:tab w:val="right" w:leader="dot" w:pos="12000"/>
            </w:tabs>
            <w:spacing w:before="60" w:line="360" w:lineRule="auto"/>
            <w:ind w:left="360"/>
            <w:jc w:val="both"/>
            <w:rPr>
              <w:color w:val="000000"/>
              <w:sz w:val="24"/>
              <w:szCs w:val="24"/>
            </w:rPr>
          </w:pPr>
          <w:hyperlink w:anchor="_bilhrj3na8il">
            <w:r>
              <w:rPr>
                <w:color w:val="000000"/>
                <w:sz w:val="24"/>
                <w:szCs w:val="24"/>
              </w:rPr>
              <w:t>2.1 Overview of Unilever</w:t>
            </w:r>
            <w:r>
              <w:rPr>
                <w:color w:val="000000"/>
                <w:sz w:val="24"/>
                <w:szCs w:val="24"/>
              </w:rPr>
              <w:tab/>
              <w:t>3</w:t>
            </w:r>
          </w:hyperlink>
        </w:p>
        <w:p w14:paraId="613BECAD" w14:textId="77777777" w:rsidR="00396184" w:rsidRDefault="0010505D">
          <w:pPr>
            <w:widowControl w:val="0"/>
            <w:tabs>
              <w:tab w:val="right" w:leader="dot" w:pos="12000"/>
            </w:tabs>
            <w:spacing w:before="60" w:line="360" w:lineRule="auto"/>
            <w:ind w:left="360"/>
            <w:jc w:val="both"/>
            <w:rPr>
              <w:color w:val="000000"/>
              <w:sz w:val="24"/>
              <w:szCs w:val="24"/>
            </w:rPr>
          </w:pPr>
          <w:hyperlink w:anchor="_f4iidla3obww">
            <w:r>
              <w:rPr>
                <w:color w:val="000000"/>
                <w:sz w:val="24"/>
                <w:szCs w:val="24"/>
              </w:rPr>
              <w:t>2.2 Rationale for Selecting Syria</w:t>
            </w:r>
            <w:r>
              <w:rPr>
                <w:color w:val="000000"/>
                <w:sz w:val="24"/>
                <w:szCs w:val="24"/>
              </w:rPr>
              <w:tab/>
              <w:t>4</w:t>
            </w:r>
          </w:hyperlink>
        </w:p>
        <w:p w14:paraId="52F3957E" w14:textId="77777777" w:rsidR="00396184" w:rsidRDefault="0010505D">
          <w:pPr>
            <w:widowControl w:val="0"/>
            <w:tabs>
              <w:tab w:val="right" w:leader="dot" w:pos="12000"/>
            </w:tabs>
            <w:spacing w:before="60" w:line="360" w:lineRule="auto"/>
            <w:jc w:val="both"/>
            <w:rPr>
              <w:b/>
              <w:bCs/>
              <w:color w:val="000000"/>
              <w:sz w:val="24"/>
              <w:szCs w:val="24"/>
            </w:rPr>
          </w:pPr>
          <w:hyperlink w:anchor="_w2zs2mwg709f">
            <w:r>
              <w:rPr>
                <w:b/>
                <w:bCs/>
                <w:color w:val="000000"/>
                <w:sz w:val="24"/>
                <w:szCs w:val="24"/>
              </w:rPr>
              <w:t>3. Comprehensive strategic analysis</w:t>
            </w:r>
            <w:r>
              <w:rPr>
                <w:b/>
                <w:bCs/>
                <w:color w:val="000000"/>
                <w:sz w:val="24"/>
                <w:szCs w:val="24"/>
              </w:rPr>
              <w:tab/>
              <w:t>4</w:t>
            </w:r>
          </w:hyperlink>
        </w:p>
        <w:p w14:paraId="65BAEB26" w14:textId="77777777" w:rsidR="00396184" w:rsidRDefault="0010505D">
          <w:pPr>
            <w:widowControl w:val="0"/>
            <w:tabs>
              <w:tab w:val="right" w:leader="dot" w:pos="12000"/>
            </w:tabs>
            <w:spacing w:before="60" w:line="360" w:lineRule="auto"/>
            <w:ind w:left="360"/>
            <w:jc w:val="both"/>
            <w:rPr>
              <w:color w:val="000000"/>
              <w:sz w:val="24"/>
              <w:szCs w:val="24"/>
            </w:rPr>
          </w:pPr>
          <w:hyperlink w:anchor="_kdpcsqr671a9">
            <w:r>
              <w:rPr>
                <w:color w:val="000000"/>
                <w:sz w:val="24"/>
                <w:szCs w:val="24"/>
              </w:rPr>
              <w:t>3.1 Macro-environmental analysis</w:t>
            </w:r>
            <w:r>
              <w:rPr>
                <w:color w:val="000000"/>
                <w:sz w:val="24"/>
                <w:szCs w:val="24"/>
              </w:rPr>
              <w:tab/>
              <w:t>4</w:t>
            </w:r>
          </w:hyperlink>
        </w:p>
        <w:p w14:paraId="4EDBEB9E" w14:textId="77777777" w:rsidR="00396184" w:rsidRDefault="0010505D">
          <w:pPr>
            <w:widowControl w:val="0"/>
            <w:tabs>
              <w:tab w:val="right" w:leader="dot" w:pos="12000"/>
            </w:tabs>
            <w:spacing w:before="60" w:line="360" w:lineRule="auto"/>
            <w:ind w:left="360"/>
            <w:jc w:val="both"/>
            <w:rPr>
              <w:color w:val="000000"/>
              <w:sz w:val="24"/>
              <w:szCs w:val="24"/>
            </w:rPr>
          </w:pPr>
          <w:hyperlink w:anchor="_ugk5aslmmcp7">
            <w:r>
              <w:rPr>
                <w:color w:val="000000"/>
                <w:sz w:val="24"/>
                <w:szCs w:val="24"/>
              </w:rPr>
              <w:t>3.2 Industry analysis</w:t>
            </w:r>
            <w:r>
              <w:rPr>
                <w:color w:val="000000"/>
                <w:sz w:val="24"/>
                <w:szCs w:val="24"/>
              </w:rPr>
              <w:tab/>
              <w:t>6</w:t>
            </w:r>
          </w:hyperlink>
        </w:p>
        <w:p w14:paraId="65EAEBEE" w14:textId="77777777" w:rsidR="00396184" w:rsidRDefault="0010505D">
          <w:pPr>
            <w:widowControl w:val="0"/>
            <w:tabs>
              <w:tab w:val="right" w:leader="dot" w:pos="12000"/>
            </w:tabs>
            <w:spacing w:before="60" w:line="360" w:lineRule="auto"/>
            <w:ind w:left="360"/>
            <w:jc w:val="both"/>
            <w:rPr>
              <w:color w:val="000000"/>
              <w:sz w:val="24"/>
              <w:szCs w:val="24"/>
            </w:rPr>
          </w:pPr>
          <w:hyperlink w:anchor="_p8dwasayr8s3">
            <w:r>
              <w:rPr>
                <w:color w:val="000000"/>
                <w:sz w:val="24"/>
                <w:szCs w:val="24"/>
              </w:rPr>
              <w:t>3.3 Internal analysis of Unilever</w:t>
            </w:r>
            <w:r>
              <w:rPr>
                <w:color w:val="000000"/>
                <w:sz w:val="24"/>
                <w:szCs w:val="24"/>
              </w:rPr>
              <w:tab/>
              <w:t>8</w:t>
            </w:r>
          </w:hyperlink>
        </w:p>
        <w:p w14:paraId="0069FA02" w14:textId="77777777" w:rsidR="00396184" w:rsidRDefault="0010505D">
          <w:pPr>
            <w:widowControl w:val="0"/>
            <w:tabs>
              <w:tab w:val="right" w:leader="dot" w:pos="12000"/>
            </w:tabs>
            <w:spacing w:before="60" w:line="360" w:lineRule="auto"/>
            <w:jc w:val="both"/>
            <w:rPr>
              <w:b/>
              <w:bCs/>
              <w:color w:val="000000"/>
              <w:sz w:val="24"/>
              <w:szCs w:val="24"/>
            </w:rPr>
          </w:pPr>
          <w:hyperlink w:anchor="_axckagkmy7b2">
            <w:r>
              <w:rPr>
                <w:b/>
                <w:bCs/>
                <w:color w:val="000000"/>
                <w:sz w:val="24"/>
                <w:szCs w:val="24"/>
              </w:rPr>
              <w:t>4. Strategy development and formulation</w:t>
            </w:r>
            <w:r>
              <w:rPr>
                <w:b/>
                <w:bCs/>
                <w:color w:val="000000"/>
                <w:sz w:val="24"/>
                <w:szCs w:val="24"/>
              </w:rPr>
              <w:tab/>
              <w:t>9</w:t>
            </w:r>
          </w:hyperlink>
        </w:p>
        <w:p w14:paraId="7CA8CB75" w14:textId="77777777" w:rsidR="00396184" w:rsidRDefault="0010505D">
          <w:pPr>
            <w:widowControl w:val="0"/>
            <w:tabs>
              <w:tab w:val="right" w:leader="dot" w:pos="12000"/>
            </w:tabs>
            <w:spacing w:before="60" w:line="360" w:lineRule="auto"/>
            <w:ind w:left="360"/>
            <w:jc w:val="both"/>
            <w:rPr>
              <w:color w:val="000000"/>
              <w:sz w:val="24"/>
              <w:szCs w:val="24"/>
            </w:rPr>
          </w:pPr>
          <w:hyperlink w:anchor="_mj2pzy3m3a7z">
            <w:r>
              <w:rPr>
                <w:color w:val="000000"/>
                <w:sz w:val="24"/>
                <w:szCs w:val="24"/>
              </w:rPr>
              <w:t>4.1 Ansoff matrix</w:t>
            </w:r>
            <w:r>
              <w:rPr>
                <w:color w:val="000000"/>
                <w:sz w:val="24"/>
                <w:szCs w:val="24"/>
              </w:rPr>
              <w:tab/>
              <w:t>9</w:t>
            </w:r>
          </w:hyperlink>
        </w:p>
        <w:p w14:paraId="72923233" w14:textId="77777777" w:rsidR="00396184" w:rsidRDefault="0010505D">
          <w:pPr>
            <w:widowControl w:val="0"/>
            <w:tabs>
              <w:tab w:val="right" w:leader="dot" w:pos="12000"/>
            </w:tabs>
            <w:spacing w:before="60" w:line="360" w:lineRule="auto"/>
            <w:ind w:left="360"/>
            <w:jc w:val="both"/>
            <w:rPr>
              <w:color w:val="000000"/>
              <w:sz w:val="24"/>
              <w:szCs w:val="24"/>
            </w:rPr>
          </w:pPr>
          <w:hyperlink w:anchor="_lcfydx8wm1ue">
            <w:r>
              <w:rPr>
                <w:color w:val="000000"/>
                <w:sz w:val="24"/>
                <w:szCs w:val="24"/>
              </w:rPr>
              <w:t>4.2 Porter’s generic strategy choice</w:t>
            </w:r>
            <w:r>
              <w:rPr>
                <w:color w:val="000000"/>
                <w:sz w:val="24"/>
                <w:szCs w:val="24"/>
              </w:rPr>
              <w:tab/>
              <w:t>10</w:t>
            </w:r>
          </w:hyperlink>
        </w:p>
        <w:p w14:paraId="6D9CCFED" w14:textId="77777777" w:rsidR="00396184" w:rsidRDefault="0010505D">
          <w:pPr>
            <w:widowControl w:val="0"/>
            <w:tabs>
              <w:tab w:val="right" w:leader="dot" w:pos="12000"/>
            </w:tabs>
            <w:spacing w:before="60" w:line="360" w:lineRule="auto"/>
            <w:ind w:left="360"/>
            <w:jc w:val="both"/>
            <w:rPr>
              <w:color w:val="000000"/>
              <w:sz w:val="24"/>
              <w:szCs w:val="24"/>
            </w:rPr>
          </w:pPr>
          <w:hyperlink w:anchor="_3i6wmtuoja7l">
            <w:r>
              <w:rPr>
                <w:color w:val="000000"/>
                <w:sz w:val="24"/>
                <w:szCs w:val="24"/>
              </w:rPr>
              <w:t>4.3 International strategy selection</w:t>
            </w:r>
            <w:r>
              <w:rPr>
                <w:color w:val="000000"/>
                <w:sz w:val="24"/>
                <w:szCs w:val="24"/>
              </w:rPr>
              <w:tab/>
              <w:t>11</w:t>
            </w:r>
          </w:hyperlink>
        </w:p>
        <w:p w14:paraId="33E1AB9D" w14:textId="77777777" w:rsidR="00396184" w:rsidRDefault="0010505D">
          <w:pPr>
            <w:widowControl w:val="0"/>
            <w:tabs>
              <w:tab w:val="right" w:leader="dot" w:pos="12000"/>
            </w:tabs>
            <w:spacing w:before="60" w:line="360" w:lineRule="auto"/>
            <w:ind w:left="360"/>
            <w:jc w:val="both"/>
            <w:rPr>
              <w:color w:val="000000"/>
              <w:sz w:val="24"/>
              <w:szCs w:val="24"/>
            </w:rPr>
          </w:pPr>
          <w:hyperlink w:anchor="_uh31dufyy5fw">
            <w:r>
              <w:rPr>
                <w:color w:val="000000"/>
                <w:sz w:val="24"/>
                <w:szCs w:val="24"/>
              </w:rPr>
              <w:t>4.4 Entry mode decision</w:t>
            </w:r>
            <w:r>
              <w:rPr>
                <w:color w:val="000000"/>
                <w:sz w:val="24"/>
                <w:szCs w:val="24"/>
              </w:rPr>
              <w:tab/>
              <w:t>12</w:t>
            </w:r>
          </w:hyperlink>
        </w:p>
        <w:p w14:paraId="73816AE4" w14:textId="77777777" w:rsidR="00396184" w:rsidRDefault="0010505D">
          <w:pPr>
            <w:widowControl w:val="0"/>
            <w:tabs>
              <w:tab w:val="right" w:leader="dot" w:pos="12000"/>
            </w:tabs>
            <w:spacing w:before="60" w:line="360" w:lineRule="auto"/>
            <w:ind w:left="360"/>
            <w:jc w:val="both"/>
            <w:rPr>
              <w:color w:val="000000"/>
              <w:sz w:val="24"/>
              <w:szCs w:val="24"/>
            </w:rPr>
          </w:pPr>
          <w:hyperlink w:anchor="_df2tgxe3h9ql">
            <w:r>
              <w:rPr>
                <w:color w:val="000000"/>
                <w:sz w:val="24"/>
                <w:szCs w:val="24"/>
              </w:rPr>
              <w:t>4.5 SAFe evaluation</w:t>
            </w:r>
            <w:r>
              <w:rPr>
                <w:color w:val="000000"/>
                <w:sz w:val="24"/>
                <w:szCs w:val="24"/>
              </w:rPr>
              <w:tab/>
              <w:t>13</w:t>
            </w:r>
          </w:hyperlink>
        </w:p>
        <w:p w14:paraId="46EEAA42" w14:textId="77777777" w:rsidR="00396184" w:rsidRDefault="0010505D">
          <w:pPr>
            <w:widowControl w:val="0"/>
            <w:tabs>
              <w:tab w:val="right" w:leader="dot" w:pos="12000"/>
            </w:tabs>
            <w:spacing w:before="60" w:line="360" w:lineRule="auto"/>
            <w:jc w:val="both"/>
            <w:rPr>
              <w:b/>
              <w:bCs/>
              <w:color w:val="000000"/>
              <w:sz w:val="24"/>
              <w:szCs w:val="24"/>
            </w:rPr>
          </w:pPr>
          <w:hyperlink w:anchor="_smwm2n6rrpka">
            <w:r>
              <w:rPr>
                <w:b/>
                <w:bCs/>
                <w:color w:val="000000"/>
                <w:sz w:val="24"/>
                <w:szCs w:val="24"/>
              </w:rPr>
              <w:t>5. Performance evaluation framework</w:t>
            </w:r>
            <w:r>
              <w:rPr>
                <w:b/>
                <w:bCs/>
                <w:color w:val="000000"/>
                <w:sz w:val="24"/>
                <w:szCs w:val="24"/>
              </w:rPr>
              <w:tab/>
              <w:t>15</w:t>
            </w:r>
          </w:hyperlink>
        </w:p>
        <w:p w14:paraId="4D068283" w14:textId="77777777" w:rsidR="00396184" w:rsidRDefault="0010505D">
          <w:pPr>
            <w:widowControl w:val="0"/>
            <w:tabs>
              <w:tab w:val="right" w:leader="dot" w:pos="12000"/>
            </w:tabs>
            <w:spacing w:before="60" w:line="360" w:lineRule="auto"/>
            <w:ind w:left="360"/>
            <w:jc w:val="both"/>
            <w:rPr>
              <w:color w:val="000000"/>
              <w:sz w:val="24"/>
              <w:szCs w:val="24"/>
            </w:rPr>
          </w:pPr>
          <w:hyperlink w:anchor="_oeb3xj59cifq">
            <w:r>
              <w:rPr>
                <w:color w:val="000000"/>
                <w:sz w:val="24"/>
                <w:szCs w:val="24"/>
              </w:rPr>
              <w:t>5.1 Balanced scorecard for Unilever Syria</w:t>
            </w:r>
            <w:r>
              <w:rPr>
                <w:color w:val="000000"/>
                <w:sz w:val="24"/>
                <w:szCs w:val="24"/>
              </w:rPr>
              <w:tab/>
              <w:t>15</w:t>
            </w:r>
          </w:hyperlink>
        </w:p>
        <w:p w14:paraId="0DC9C1F2" w14:textId="77777777" w:rsidR="00396184" w:rsidRDefault="0010505D">
          <w:pPr>
            <w:widowControl w:val="0"/>
            <w:tabs>
              <w:tab w:val="right" w:leader="dot" w:pos="12000"/>
            </w:tabs>
            <w:spacing w:before="60" w:line="360" w:lineRule="auto"/>
            <w:ind w:left="360"/>
            <w:jc w:val="both"/>
            <w:rPr>
              <w:color w:val="000000"/>
              <w:sz w:val="24"/>
              <w:szCs w:val="24"/>
            </w:rPr>
          </w:pPr>
          <w:hyperlink w:anchor="_8ttidlxfsp84">
            <w:r>
              <w:rPr>
                <w:color w:val="000000"/>
                <w:sz w:val="24"/>
                <w:szCs w:val="24"/>
              </w:rPr>
              <w:t>5.2 Triple Bottom Line</w:t>
            </w:r>
            <w:r>
              <w:rPr>
                <w:color w:val="000000"/>
                <w:sz w:val="24"/>
                <w:szCs w:val="24"/>
              </w:rPr>
              <w:tab/>
              <w:t>17</w:t>
            </w:r>
          </w:hyperlink>
        </w:p>
        <w:p w14:paraId="1022190A" w14:textId="77777777" w:rsidR="00396184" w:rsidRDefault="0010505D">
          <w:pPr>
            <w:widowControl w:val="0"/>
            <w:tabs>
              <w:tab w:val="right" w:leader="dot" w:pos="12000"/>
            </w:tabs>
            <w:spacing w:before="60" w:line="360" w:lineRule="auto"/>
            <w:jc w:val="both"/>
            <w:rPr>
              <w:b/>
              <w:bCs/>
              <w:color w:val="000000"/>
              <w:sz w:val="24"/>
              <w:szCs w:val="24"/>
            </w:rPr>
          </w:pPr>
          <w:hyperlink w:anchor="_c34eu4rgylrr">
            <w:r>
              <w:rPr>
                <w:b/>
                <w:bCs/>
                <w:color w:val="000000"/>
                <w:sz w:val="24"/>
                <w:szCs w:val="24"/>
              </w:rPr>
              <w:t>6. Strategic recommendations</w:t>
            </w:r>
            <w:r>
              <w:rPr>
                <w:b/>
                <w:bCs/>
                <w:color w:val="000000"/>
                <w:sz w:val="24"/>
                <w:szCs w:val="24"/>
              </w:rPr>
              <w:tab/>
              <w:t>18</w:t>
            </w:r>
          </w:hyperlink>
        </w:p>
        <w:p w14:paraId="072749FC" w14:textId="77777777" w:rsidR="00396184" w:rsidRDefault="0010505D">
          <w:pPr>
            <w:widowControl w:val="0"/>
            <w:tabs>
              <w:tab w:val="right" w:leader="dot" w:pos="12000"/>
            </w:tabs>
            <w:spacing w:before="60" w:line="360" w:lineRule="auto"/>
            <w:jc w:val="both"/>
            <w:rPr>
              <w:b/>
              <w:bCs/>
              <w:color w:val="000000"/>
              <w:sz w:val="24"/>
              <w:szCs w:val="24"/>
            </w:rPr>
          </w:pPr>
          <w:hyperlink w:anchor="_mnke0ghnmbau">
            <w:r>
              <w:rPr>
                <w:b/>
                <w:bCs/>
                <w:color w:val="000000"/>
                <w:sz w:val="24"/>
                <w:szCs w:val="24"/>
              </w:rPr>
              <w:t>7. Conclusion</w:t>
            </w:r>
            <w:r>
              <w:rPr>
                <w:b/>
                <w:bCs/>
                <w:color w:val="000000"/>
                <w:sz w:val="24"/>
                <w:szCs w:val="24"/>
              </w:rPr>
              <w:tab/>
              <w:t>19</w:t>
            </w:r>
          </w:hyperlink>
        </w:p>
        <w:p w14:paraId="094E089D" w14:textId="77777777" w:rsidR="00396184" w:rsidRDefault="0010505D">
          <w:pPr>
            <w:widowControl w:val="0"/>
            <w:tabs>
              <w:tab w:val="right" w:leader="dot" w:pos="12000"/>
            </w:tabs>
            <w:spacing w:before="60" w:line="360" w:lineRule="auto"/>
            <w:jc w:val="both"/>
            <w:rPr>
              <w:b/>
              <w:bCs/>
              <w:color w:val="000000"/>
              <w:sz w:val="24"/>
              <w:szCs w:val="24"/>
            </w:rPr>
          </w:pPr>
          <w:hyperlink w:anchor="_7jlt12omu7x3">
            <w:r>
              <w:rPr>
                <w:b/>
                <w:bCs/>
                <w:color w:val="000000"/>
                <w:sz w:val="24"/>
                <w:szCs w:val="24"/>
              </w:rPr>
              <w:t>References</w:t>
            </w:r>
            <w:r>
              <w:rPr>
                <w:b/>
                <w:bCs/>
                <w:color w:val="000000"/>
                <w:sz w:val="24"/>
                <w:szCs w:val="24"/>
              </w:rPr>
              <w:tab/>
              <w:t>21</w:t>
            </w:r>
          </w:hyperlink>
          <w:r>
            <w:fldChar w:fldCharType="end"/>
          </w:r>
        </w:p>
      </w:sdtContent>
    </w:sdt>
    <w:p w14:paraId="11AD2E21" w14:textId="77777777" w:rsidR="00396184" w:rsidRDefault="00396184">
      <w:pPr>
        <w:spacing w:line="360" w:lineRule="auto"/>
        <w:rPr>
          <w:b/>
          <w:bCs/>
          <w:sz w:val="28"/>
          <w:szCs w:val="28"/>
        </w:rPr>
      </w:pPr>
    </w:p>
    <w:p w14:paraId="3BCF5937" w14:textId="77777777" w:rsidR="00396184" w:rsidRDefault="00396184">
      <w:pPr>
        <w:spacing w:line="360" w:lineRule="auto"/>
        <w:jc w:val="center"/>
        <w:rPr>
          <w:b/>
          <w:bCs/>
          <w:sz w:val="32"/>
          <w:szCs w:val="32"/>
        </w:rPr>
      </w:pPr>
    </w:p>
    <w:p w14:paraId="1C9E79C9" w14:textId="77777777" w:rsidR="00396184" w:rsidRDefault="0010505D">
      <w:pPr>
        <w:spacing w:line="360" w:lineRule="auto"/>
        <w:jc w:val="center"/>
        <w:rPr>
          <w:b/>
          <w:bCs/>
          <w:sz w:val="32"/>
          <w:szCs w:val="32"/>
        </w:rPr>
      </w:pPr>
      <w:r>
        <w:br w:type="page"/>
      </w:r>
    </w:p>
    <w:p w14:paraId="06B2CF97" w14:textId="77777777" w:rsidR="00396184" w:rsidRDefault="0010505D">
      <w:pPr>
        <w:pStyle w:val="Heading1"/>
        <w:rPr>
          <w:rFonts w:ascii="Arial" w:eastAsia="Arial" w:hAnsi="Arial" w:cs="Arial"/>
        </w:rPr>
      </w:pPr>
      <w:bookmarkStart w:id="0" w:name="_i5gnwhx54xcq" w:colFirst="0" w:colLast="0"/>
      <w:bookmarkEnd w:id="0"/>
      <w:r>
        <w:rPr>
          <w:rFonts w:ascii="Arial" w:eastAsia="Arial" w:hAnsi="Arial" w:cs="Arial"/>
        </w:rPr>
        <w:lastRenderedPageBreak/>
        <w:t>1. Introduction</w:t>
      </w:r>
    </w:p>
    <w:p w14:paraId="14D296D8" w14:textId="77777777" w:rsidR="00396184" w:rsidRDefault="0010505D">
      <w:pPr>
        <w:spacing w:line="360" w:lineRule="auto"/>
        <w:jc w:val="both"/>
        <w:rPr>
          <w:sz w:val="24"/>
          <w:szCs w:val="24"/>
        </w:rPr>
      </w:pPr>
      <w:r>
        <w:rPr>
          <w:sz w:val="24"/>
          <w:szCs w:val="24"/>
        </w:rPr>
        <w:t>The present report attempts to conduct a strategic assessment of Unilever's potential expansion into the Syrian market through the use of advanced strategic management frameworks, which will be employed to evaluate the viability and decision-making process of the said expansion. Given the contemporary international environment characterised by geopolitical volatility, changing consumer patterns and aggressive competitive pressures, the entry in an emerging and conflict affected economy requires rigorous analysis. Unilever's global capabilities, established brand architecture and operational resiliency serve as a strong base from which to explore opportunities in the reconstructing consumer goods sector in Syria. Accordingly, the analysis combines the following elements: macro-environment scanning, industry appraisal, internal capability appraisal and entry-mode formulation, all culminating in an integrated and evidence-based international expansion strategy for sustainable competitive advantage.</w:t>
      </w:r>
    </w:p>
    <w:p w14:paraId="6DF19EC7" w14:textId="77777777" w:rsidR="00396184" w:rsidRDefault="0010505D">
      <w:pPr>
        <w:pStyle w:val="Heading1"/>
        <w:rPr>
          <w:rFonts w:ascii="Arial" w:eastAsia="Arial" w:hAnsi="Arial" w:cs="Arial"/>
        </w:rPr>
      </w:pPr>
      <w:bookmarkStart w:id="1" w:name="_jkps0jdc6kdc" w:colFirst="0" w:colLast="0"/>
      <w:bookmarkEnd w:id="1"/>
      <w:r>
        <w:rPr>
          <w:rFonts w:ascii="Arial" w:eastAsia="Arial" w:hAnsi="Arial" w:cs="Arial"/>
        </w:rPr>
        <w:t>2. Selection of organisation and target market</w:t>
      </w:r>
    </w:p>
    <w:p w14:paraId="69652EFA" w14:textId="77777777" w:rsidR="00396184" w:rsidRDefault="0010505D">
      <w:pPr>
        <w:pStyle w:val="Heading2"/>
        <w:rPr>
          <w:rFonts w:ascii="Arial" w:eastAsia="Arial" w:hAnsi="Arial" w:cs="Arial"/>
        </w:rPr>
      </w:pPr>
      <w:bookmarkStart w:id="2" w:name="_bilhrj3na8il" w:colFirst="0" w:colLast="0"/>
      <w:bookmarkEnd w:id="2"/>
      <w:r>
        <w:rPr>
          <w:rFonts w:ascii="Arial" w:eastAsia="Arial" w:hAnsi="Arial" w:cs="Arial"/>
        </w:rPr>
        <w:t>2.1 Overview of Unilever</w:t>
      </w:r>
    </w:p>
    <w:p w14:paraId="69C8223B" w14:textId="77777777" w:rsidR="00396184" w:rsidRDefault="0010505D">
      <w:pPr>
        <w:spacing w:line="360" w:lineRule="auto"/>
        <w:jc w:val="both"/>
        <w:rPr>
          <w:sz w:val="24"/>
          <w:szCs w:val="24"/>
        </w:rPr>
      </w:pPr>
      <w:r>
        <w:rPr>
          <w:sz w:val="24"/>
          <w:szCs w:val="24"/>
        </w:rPr>
        <w:t>Unilever is one of the world's leading fast-moving consumer goods corporations, with operations in much of the world's 190 countries, and a diversified portfolio, with a focus on home care, beauty and wellbeing and nutrition (Unilever, 2025b). Its globally recognised brands - including Dove, Lifebuoy, Lux, Sunsilk, Surf Excel and Knorr - allow the organisation to reach over three billion customers every day, indicating an outstanding extent of market reach. Unilever's business model is supported by the following: Large-scale manufacturing capability; Broad distribution capabilities and a deeply embedded commitment to sustainability as defined through its Compass Strategy (Unilever, 2025a). The strategic strength in this company is that they can use global efficiencies along with local responsiveness, backed by sophisticated marketing systems, research and development based on innovation, and long-standing supplier relationships. This combination of tangible and intangible assets gives Unilever the sustainable competitive advantage, thus allowing Unilever to enter into complex and emerging markets with relative agility. Is resilience, brand equity and operational sophistication which collectively justifies its choice for an international expansion strategy.</w:t>
      </w:r>
    </w:p>
    <w:p w14:paraId="3DD6237A" w14:textId="77777777" w:rsidR="00396184" w:rsidRDefault="0010505D">
      <w:pPr>
        <w:pStyle w:val="Heading2"/>
        <w:rPr>
          <w:rFonts w:ascii="Arial" w:eastAsia="Arial" w:hAnsi="Arial" w:cs="Arial"/>
        </w:rPr>
      </w:pPr>
      <w:bookmarkStart w:id="3" w:name="_f4iidla3obww" w:colFirst="0" w:colLast="0"/>
      <w:bookmarkEnd w:id="3"/>
      <w:r>
        <w:rPr>
          <w:rFonts w:ascii="Arial" w:eastAsia="Arial" w:hAnsi="Arial" w:cs="Arial"/>
        </w:rPr>
        <w:lastRenderedPageBreak/>
        <w:t>2.2 Rationale for Selecting Syria</w:t>
      </w:r>
    </w:p>
    <w:p w14:paraId="5B1BC454" w14:textId="77777777" w:rsidR="00396184" w:rsidRDefault="0010505D">
      <w:pPr>
        <w:spacing w:line="360" w:lineRule="auto"/>
        <w:jc w:val="both"/>
        <w:rPr>
          <w:sz w:val="24"/>
          <w:szCs w:val="24"/>
        </w:rPr>
      </w:pPr>
      <w:r>
        <w:rPr>
          <w:sz w:val="24"/>
          <w:szCs w:val="24"/>
        </w:rPr>
        <w:t>Syria will offer a unique yet important opportunity in particular for Unilever, as the country progresses further into reconstruction and economic re-stabilisation (UN News, 2025). Despite continuing geopolitical volatility, however, Syria will continue to show high levels of consumer demand for affordable hygiene, home care and nutrition products - sectors in which Unilever will be able to tap into substantial global knowledge. The dominance of informal markets and the low penetration of multinational FMCG companies will help Unilever gain early mover advantage and create brand positioning over the long term. Infrastructure improvements with better distribution and retail access will continue through reconstruction. From a strategic management standpoint, Syria will provide opportunities in line with key internationalisation drivers - unmet consumer needs, cost efficiencies through local partnerships and favourable demographic trends (Enab Baladi, 2025). Furthermore, by entering Syria, it will allow the company to support Unilever's purpose driven agenda as it will allow future contribution in hygiene awareness and sustainable consumption. Even though the risks will be considerable, the emerging opportunities will make Syria a worthwhile and high-potential expansion destination.</w:t>
      </w:r>
    </w:p>
    <w:p w14:paraId="5347AF85" w14:textId="77777777" w:rsidR="00396184" w:rsidRDefault="0010505D">
      <w:pPr>
        <w:pStyle w:val="Heading1"/>
        <w:rPr>
          <w:rFonts w:ascii="Arial" w:eastAsia="Arial" w:hAnsi="Arial" w:cs="Arial"/>
        </w:rPr>
      </w:pPr>
      <w:bookmarkStart w:id="4" w:name="_w2zs2mwg709f" w:colFirst="0" w:colLast="0"/>
      <w:bookmarkEnd w:id="4"/>
      <w:r>
        <w:rPr>
          <w:rFonts w:ascii="Arial" w:eastAsia="Arial" w:hAnsi="Arial" w:cs="Arial"/>
        </w:rPr>
        <w:t>3. Comprehensive strategic analysis</w:t>
      </w:r>
    </w:p>
    <w:p w14:paraId="00255577" w14:textId="77777777" w:rsidR="00396184" w:rsidRDefault="0010505D">
      <w:pPr>
        <w:pStyle w:val="Heading2"/>
        <w:rPr>
          <w:rFonts w:ascii="Arial" w:eastAsia="Arial" w:hAnsi="Arial" w:cs="Arial"/>
        </w:rPr>
      </w:pPr>
      <w:bookmarkStart w:id="5" w:name="_kdpcsqr671a9" w:colFirst="0" w:colLast="0"/>
      <w:bookmarkEnd w:id="5"/>
      <w:r>
        <w:rPr>
          <w:rFonts w:ascii="Arial" w:eastAsia="Arial" w:hAnsi="Arial" w:cs="Arial"/>
        </w:rPr>
        <w:t>3.1 Macro-environmental analysis</w:t>
      </w:r>
    </w:p>
    <w:p w14:paraId="334C6908" w14:textId="77777777" w:rsidR="00396184" w:rsidRDefault="0010505D">
      <w:pPr>
        <w:spacing w:line="360" w:lineRule="auto"/>
        <w:jc w:val="both"/>
        <w:rPr>
          <w:sz w:val="24"/>
          <w:szCs w:val="24"/>
        </w:rPr>
      </w:pPr>
      <w:r>
        <w:rPr>
          <w:noProof/>
          <w:sz w:val="24"/>
          <w:szCs w:val="24"/>
        </w:rPr>
        <w:drawing>
          <wp:inline distT="114300" distB="114300" distL="114300" distR="114300" wp14:anchorId="34AA28E2" wp14:editId="7EEF2723">
            <wp:extent cx="5943600" cy="28575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2857500"/>
                    </a:xfrm>
                    <a:prstGeom prst="rect">
                      <a:avLst/>
                    </a:prstGeom>
                    <a:ln w="12700">
                      <a:solidFill>
                        <a:srgbClr val="000000"/>
                      </a:solidFill>
                      <a:prstDash val="solid"/>
                    </a:ln>
                  </pic:spPr>
                </pic:pic>
              </a:graphicData>
            </a:graphic>
          </wp:inline>
        </w:drawing>
      </w:r>
    </w:p>
    <w:p w14:paraId="15663798" w14:textId="77777777" w:rsidR="00396184" w:rsidRDefault="0010505D">
      <w:pPr>
        <w:spacing w:line="360" w:lineRule="auto"/>
        <w:jc w:val="center"/>
        <w:rPr>
          <w:sz w:val="24"/>
          <w:szCs w:val="24"/>
        </w:rPr>
      </w:pPr>
      <w:r>
        <w:rPr>
          <w:sz w:val="24"/>
          <w:szCs w:val="24"/>
        </w:rPr>
        <w:t>Figure 1: Macro environment (PESTLE) analysis</w:t>
      </w:r>
    </w:p>
    <w:p w14:paraId="0D6F825C" w14:textId="77777777" w:rsidR="00396184" w:rsidRDefault="0010505D">
      <w:pPr>
        <w:spacing w:line="360" w:lineRule="auto"/>
        <w:jc w:val="center"/>
        <w:rPr>
          <w:sz w:val="24"/>
          <w:szCs w:val="24"/>
        </w:rPr>
      </w:pPr>
      <w:r>
        <w:rPr>
          <w:sz w:val="24"/>
          <w:szCs w:val="24"/>
        </w:rPr>
        <w:t>(Self-developed)</w:t>
      </w:r>
    </w:p>
    <w:p w14:paraId="09E8C97C" w14:textId="77777777" w:rsidR="00396184" w:rsidRDefault="0010505D">
      <w:pPr>
        <w:spacing w:line="360" w:lineRule="auto"/>
        <w:jc w:val="both"/>
        <w:rPr>
          <w:sz w:val="24"/>
          <w:szCs w:val="24"/>
        </w:rPr>
      </w:pPr>
      <w:r>
        <w:rPr>
          <w:sz w:val="24"/>
          <w:szCs w:val="24"/>
        </w:rPr>
        <w:lastRenderedPageBreak/>
        <w:t>A strong impact will be felt on Unilever's expansion plan in Syria because of the prevailing political environment. The current sanctions and institutional modelling and disintegration through fragmentation of regulations will keep on augmenting operation risks and expense of compliance in Syria (Raynor, 2022). Nevertheless, normalisation on a regional basis and humanitarian exemptions of trade will permit essential consumer goods to enter the market on legal basis, especially the hygiene and food products. In the case of Unilever, that will involve careful involvement in terms of compliant mode of entry and direct coordination with the international regulations, which will directly influence the pace of market penetration and governance frameworks (Shaoping, 2023).</w:t>
      </w:r>
    </w:p>
    <w:p w14:paraId="42864727" w14:textId="77777777" w:rsidR="00396184" w:rsidRDefault="0010505D">
      <w:pPr>
        <w:spacing w:line="360" w:lineRule="auto"/>
        <w:jc w:val="both"/>
        <w:rPr>
          <w:sz w:val="24"/>
          <w:szCs w:val="24"/>
        </w:rPr>
      </w:pPr>
      <w:r>
        <w:rPr>
          <w:sz w:val="24"/>
          <w:szCs w:val="24"/>
        </w:rPr>
        <w:t>Economically, Syria will continue to be a low-income, inflationary economy considering that the World Bank once estimated that more than 90 percent of the population lives below the poverty threshold (Trading Economics, 2025). Though this will limit the purchasing power it will also result in heightened demand of low-unit-price FMCG necessities (Alemayehu Hido et al., 2025). This means that Unilever will be forced to consider value pricing and mini-packing approaches in a bid to reach volume-based growth, where the cost efficiency will be regarded as a decisive factor of profitability. Socially, the Syrian population of some 22 million people will display high demand in terms of basic hygiene, nutrition and household products, as they have high family sizes, and increased awareness on health issues (Wardeh and Marques, 2023). When familiarised with soap, detergents and packaged food culture, the already established product categories at Unilever will be favoured and this will have a positive influence on brand acceptance and repeat purchase behaviour.</w:t>
      </w:r>
    </w:p>
    <w:p w14:paraId="34648A58" w14:textId="77777777" w:rsidR="00396184" w:rsidRDefault="0010505D">
      <w:pPr>
        <w:spacing w:line="360" w:lineRule="auto"/>
        <w:jc w:val="both"/>
        <w:rPr>
          <w:sz w:val="24"/>
          <w:szCs w:val="24"/>
        </w:rPr>
      </w:pPr>
      <w:r>
        <w:rPr>
          <w:sz w:val="24"/>
          <w:szCs w:val="24"/>
        </w:rPr>
        <w:t xml:space="preserve">There will still be an uneven technological situation, where internet penetration is at a level of below 40 percent, and e-commerce infrastructure is limited (Wang, Wang and Yuan, 2021). As such, Unilever will depend on conventional distribution methods with local distributors and wholesalers at the local level, and implement mobile-based marketing over time to access urban consumers. The environmental aspects will have a greater impact on operational choices, since waste processing and the lack of water will remain a national problem. This will improve the legitimacy of the brands based on sustainable preservation of packaging and water efficiency in manufacturing, as these factors align with the regulations at Unilever. Laws There will be changing import controls </w:t>
      </w:r>
      <w:r>
        <w:rPr>
          <w:sz w:val="24"/>
          <w:szCs w:val="24"/>
        </w:rPr>
        <w:lastRenderedPageBreak/>
        <w:t>and licensing policies that will need flexible compliance responses. In general, the PESTLE factors will influence the careful, regionally sensitive development strategy with the direct reference to the risk management, cost structure, and long-term market sustainability.</w:t>
      </w:r>
    </w:p>
    <w:p w14:paraId="101C3062" w14:textId="77777777" w:rsidR="00396184" w:rsidRDefault="0010505D">
      <w:pPr>
        <w:pStyle w:val="Heading2"/>
        <w:rPr>
          <w:rFonts w:ascii="Arial" w:eastAsia="Arial" w:hAnsi="Arial" w:cs="Arial"/>
        </w:rPr>
      </w:pPr>
      <w:bookmarkStart w:id="6" w:name="_ugk5aslmmcp7" w:colFirst="0" w:colLast="0"/>
      <w:bookmarkEnd w:id="6"/>
      <w:r>
        <w:rPr>
          <w:rFonts w:ascii="Arial" w:eastAsia="Arial" w:hAnsi="Arial" w:cs="Arial"/>
        </w:rPr>
        <w:t>3.2 Industry analysis</w:t>
      </w:r>
    </w:p>
    <w:p w14:paraId="2478CDFC" w14:textId="77777777" w:rsidR="00396184" w:rsidRDefault="0010505D">
      <w:pPr>
        <w:spacing w:line="360" w:lineRule="auto"/>
        <w:jc w:val="center"/>
        <w:rPr>
          <w:sz w:val="24"/>
          <w:szCs w:val="24"/>
        </w:rPr>
      </w:pPr>
      <w:r>
        <w:rPr>
          <w:noProof/>
          <w:sz w:val="24"/>
          <w:szCs w:val="24"/>
        </w:rPr>
        <w:drawing>
          <wp:inline distT="114300" distB="114300" distL="114300" distR="114300" wp14:anchorId="37BD5D08" wp14:editId="76A6C45C">
            <wp:extent cx="5068883" cy="3488168"/>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68883" cy="3488168"/>
                    </a:xfrm>
                    <a:prstGeom prst="rect">
                      <a:avLst/>
                    </a:prstGeom>
                    <a:ln w="12700">
                      <a:solidFill>
                        <a:srgbClr val="000000"/>
                      </a:solidFill>
                      <a:prstDash val="solid"/>
                    </a:ln>
                  </pic:spPr>
                </pic:pic>
              </a:graphicData>
            </a:graphic>
          </wp:inline>
        </w:drawing>
      </w:r>
    </w:p>
    <w:p w14:paraId="498300BB" w14:textId="77777777" w:rsidR="00396184" w:rsidRDefault="0010505D">
      <w:pPr>
        <w:spacing w:line="360" w:lineRule="auto"/>
        <w:jc w:val="center"/>
        <w:rPr>
          <w:b/>
          <w:bCs/>
          <w:i/>
          <w:iCs/>
          <w:sz w:val="24"/>
          <w:szCs w:val="24"/>
        </w:rPr>
      </w:pPr>
      <w:r>
        <w:rPr>
          <w:b/>
          <w:bCs/>
          <w:i/>
          <w:iCs/>
          <w:sz w:val="24"/>
          <w:szCs w:val="24"/>
        </w:rPr>
        <w:t>Figure 2: Porter’s 5 forces for industry analysis</w:t>
      </w:r>
    </w:p>
    <w:p w14:paraId="41BFEB03" w14:textId="77777777" w:rsidR="00396184" w:rsidRDefault="0010505D">
      <w:pPr>
        <w:spacing w:line="360" w:lineRule="auto"/>
        <w:jc w:val="center"/>
        <w:rPr>
          <w:sz w:val="24"/>
          <w:szCs w:val="24"/>
        </w:rPr>
      </w:pPr>
      <w:r>
        <w:rPr>
          <w:sz w:val="24"/>
          <w:szCs w:val="24"/>
        </w:rPr>
        <w:t>(Self-developed)</w:t>
      </w:r>
    </w:p>
    <w:p w14:paraId="7AA7AD33" w14:textId="77777777" w:rsidR="00396184" w:rsidRDefault="0010505D">
      <w:pPr>
        <w:spacing w:line="360" w:lineRule="auto"/>
        <w:jc w:val="both"/>
        <w:rPr>
          <w:sz w:val="24"/>
          <w:szCs w:val="24"/>
        </w:rPr>
      </w:pPr>
      <w:r>
        <w:rPr>
          <w:sz w:val="24"/>
          <w:szCs w:val="24"/>
        </w:rPr>
        <w:t xml:space="preserve">The industry of fast-moving consumer goods in Syria will be in terms of moderate but not balanced competitive rivalry, characterised mostly by fragmented local manufacturers and informal-market players and not of established multinational rivals. Although the competition of prices in the market will be stiff in the basic product categories, minimal brand differentiation and low-quality consistency among the domestic companies will see Unilever use its global brand recognition to be able to have a competitive positioning. This means rivalry will have an impact on margins, but will also offer space to drive leaders in the market with a brand. Formal segments of the industry will have relatively low threat of new entrants. Even though large foreign companies might be divided by entry obstacles like capital demands and regulatory risk, informal manufacturers will persist in providing </w:t>
      </w:r>
      <w:r>
        <w:rPr>
          <w:sz w:val="24"/>
          <w:szCs w:val="24"/>
        </w:rPr>
        <w:lastRenderedPageBreak/>
        <w:t>products with very little scale and technological advancement. In the case of Unilever, it will diminish the immediate competition posed by well-funded entrants, although this will require them to be careful of low budget imitated products (Formica, 2020).</w:t>
      </w:r>
    </w:p>
    <w:p w14:paraId="0DAC78F0" w14:textId="77777777" w:rsidR="00396184" w:rsidRDefault="0010505D">
      <w:pPr>
        <w:spacing w:line="360" w:lineRule="auto"/>
        <w:jc w:val="both"/>
        <w:rPr>
          <w:sz w:val="24"/>
          <w:szCs w:val="24"/>
        </w:rPr>
      </w:pPr>
      <w:r>
        <w:rPr>
          <w:sz w:val="24"/>
          <w:szCs w:val="24"/>
        </w:rPr>
        <w:t>The bargaining power of purchasers will be high because of the prevalence of price sensitivity and the low switching costs. Affordability and availability will become the main concerns of consumers, forcing Unilever to implement the competitive pricing policy and smaller packaging. The buyer power will have a direct impact on flexibility of pricing and profit margins. Supplier power will also be moderate, where Unilever would first rely on local distributors, logistics providers and raw material suppliers who will be in unstable economic situations. Nevertheless, the global procurement excellence and long-term supplier management experience of Unilever will reduce the impact of changes in costs and supply instability in the long run. The risk of substitutes will be moderate, as the traditional substitutes, as well as goods produced locally in non-brand forms are the causes. However, the risk of substitution will be mitigated by the focus of Unilever to enhance product quality, hygiene measures and authentic branding. All in all, the Five Forces environment will create an environment of a carefully measured though manageable industry that Unilever must be able to compete based on cost reasons, dependability and brand loyalty to gain entrance into the market sustainably.</w:t>
      </w:r>
    </w:p>
    <w:p w14:paraId="2CA848F5" w14:textId="77777777" w:rsidR="00396184" w:rsidRDefault="0010505D">
      <w:pPr>
        <w:pStyle w:val="Heading2"/>
        <w:rPr>
          <w:rFonts w:ascii="Arial" w:eastAsia="Arial" w:hAnsi="Arial" w:cs="Arial"/>
        </w:rPr>
      </w:pPr>
      <w:bookmarkStart w:id="7" w:name="_p8dwasayr8s3" w:colFirst="0" w:colLast="0"/>
      <w:bookmarkEnd w:id="7"/>
      <w:r>
        <w:rPr>
          <w:rFonts w:ascii="Arial" w:eastAsia="Arial" w:hAnsi="Arial" w:cs="Arial"/>
        </w:rPr>
        <w:t>3.3 Internal analysis of Unilever</w:t>
      </w:r>
    </w:p>
    <w:p w14:paraId="4F03BA91" w14:textId="77777777" w:rsidR="00396184" w:rsidRDefault="0010505D">
      <w:pPr>
        <w:spacing w:line="360" w:lineRule="auto"/>
        <w:jc w:val="both"/>
        <w:rPr>
          <w:sz w:val="24"/>
          <w:szCs w:val="24"/>
        </w:rPr>
      </w:pPr>
      <w:r>
        <w:rPr>
          <w:noProof/>
          <w:sz w:val="24"/>
          <w:szCs w:val="24"/>
        </w:rPr>
        <w:drawing>
          <wp:inline distT="114300" distB="114300" distL="114300" distR="114300" wp14:anchorId="76C7F00F" wp14:editId="6F516C5A">
            <wp:extent cx="5943600" cy="264160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2641600"/>
                    </a:xfrm>
                    <a:prstGeom prst="rect">
                      <a:avLst/>
                    </a:prstGeom>
                    <a:ln w="12700">
                      <a:solidFill>
                        <a:srgbClr val="000000"/>
                      </a:solidFill>
                      <a:prstDash val="solid"/>
                    </a:ln>
                  </pic:spPr>
                </pic:pic>
              </a:graphicData>
            </a:graphic>
          </wp:inline>
        </w:drawing>
      </w:r>
    </w:p>
    <w:p w14:paraId="5D19252A" w14:textId="77777777" w:rsidR="00396184" w:rsidRDefault="0010505D">
      <w:pPr>
        <w:spacing w:line="360" w:lineRule="auto"/>
        <w:jc w:val="center"/>
        <w:rPr>
          <w:b/>
          <w:bCs/>
          <w:i/>
          <w:iCs/>
          <w:sz w:val="24"/>
          <w:szCs w:val="24"/>
        </w:rPr>
      </w:pPr>
      <w:r>
        <w:rPr>
          <w:b/>
          <w:bCs/>
          <w:i/>
          <w:iCs/>
          <w:sz w:val="24"/>
          <w:szCs w:val="24"/>
        </w:rPr>
        <w:t>Figure 3: VRIO analysis</w:t>
      </w:r>
    </w:p>
    <w:p w14:paraId="28B3A9F4" w14:textId="77777777" w:rsidR="00396184" w:rsidRDefault="0010505D">
      <w:pPr>
        <w:spacing w:line="360" w:lineRule="auto"/>
        <w:jc w:val="center"/>
        <w:rPr>
          <w:sz w:val="24"/>
          <w:szCs w:val="24"/>
        </w:rPr>
      </w:pPr>
      <w:r>
        <w:rPr>
          <w:sz w:val="24"/>
          <w:szCs w:val="24"/>
        </w:rPr>
        <w:t>(Self-developed)</w:t>
      </w:r>
    </w:p>
    <w:p w14:paraId="0F8BCC7C" w14:textId="77777777" w:rsidR="00396184" w:rsidRDefault="0010505D">
      <w:pPr>
        <w:spacing w:line="360" w:lineRule="auto"/>
        <w:jc w:val="both"/>
        <w:rPr>
          <w:sz w:val="24"/>
          <w:szCs w:val="24"/>
        </w:rPr>
      </w:pPr>
      <w:r>
        <w:rPr>
          <w:sz w:val="24"/>
          <w:szCs w:val="24"/>
        </w:rPr>
        <w:lastRenderedPageBreak/>
        <w:t>According to the VRIO analysis, Unilever will have a high and sustainable strategic position to promote its intended expansion in Syria. The global brand portfolio, vast supply chain/procurement chain, and previous experience in new markets and emerging markets (high-risk markets) meet all the four VRIO criteria. Such strengths will be beneficial in supporting key consumer demands, as is unusual in the Syrian FMCG environment, hard to copy by local rivals, and is wholly sponsored by the organisational structures of Unilever (Bateh, 2024). Thereby, these will produce competitive advantage that is long term and Unilever will beat institutional uncertainty, create consumer trust and command early market leadership.</w:t>
      </w:r>
    </w:p>
    <w:p w14:paraId="01307888" w14:textId="77777777" w:rsidR="00396184" w:rsidRDefault="0010505D">
      <w:pPr>
        <w:spacing w:line="360" w:lineRule="auto"/>
        <w:jc w:val="both"/>
        <w:rPr>
          <w:sz w:val="24"/>
          <w:szCs w:val="24"/>
        </w:rPr>
      </w:pPr>
      <w:r>
        <w:rPr>
          <w:sz w:val="24"/>
          <w:szCs w:val="24"/>
        </w:rPr>
        <w:t>The research and development can only be considered as worth retaining and hard to replicate because of the technological expertise and innovation processes. Nevertheless, since these capabilities are not unique to the multinational firms, they will provide an intense though possibly transient competitive edge. The success of their use in Syria will be based on the capacity of the firm to convert the products to the local low-cost and consumption trends and not the level of technology (Sonebi et al., 2022). The financial strengths, sustainability and CSR frameworks, and the decentralised organisational structure will also be useful and well managed and will ease the investment capacity, stakeholder legitimacy and flexibility to operate. However, no one will find these resources unusual and unique because other multinational companies can, in theory, implement such assets. Consequently, they will mainly guarantee competitive equality as opposed to long term dominance. Comprehensively, the VRIO analysis shows that the strengths of Unilever are centred around the brand equity, integrating its supply chains and gaining an experience of complex markets. They will play a central role in reducing risks, overcoming the local competition and helping in sustaining a sound and strategically viable entry into the Syrian market.</w:t>
      </w:r>
    </w:p>
    <w:p w14:paraId="3B8CB7D2" w14:textId="77777777" w:rsidR="00396184" w:rsidRDefault="0010505D">
      <w:pPr>
        <w:pStyle w:val="Heading1"/>
        <w:rPr>
          <w:rFonts w:ascii="Arial" w:eastAsia="Arial" w:hAnsi="Arial" w:cs="Arial"/>
        </w:rPr>
      </w:pPr>
      <w:bookmarkStart w:id="8" w:name="_axckagkmy7b2" w:colFirst="0" w:colLast="0"/>
      <w:bookmarkEnd w:id="8"/>
      <w:r>
        <w:rPr>
          <w:rFonts w:ascii="Arial" w:eastAsia="Arial" w:hAnsi="Arial" w:cs="Arial"/>
        </w:rPr>
        <w:t>4. Strategy development and formulation</w:t>
      </w:r>
    </w:p>
    <w:p w14:paraId="2074D8E5" w14:textId="77777777" w:rsidR="00396184" w:rsidRDefault="0010505D">
      <w:pPr>
        <w:pStyle w:val="Heading2"/>
        <w:rPr>
          <w:rFonts w:ascii="Arial" w:eastAsia="Arial" w:hAnsi="Arial" w:cs="Arial"/>
        </w:rPr>
      </w:pPr>
      <w:bookmarkStart w:id="9" w:name="_mj2pzy3m3a7z" w:colFirst="0" w:colLast="0"/>
      <w:bookmarkEnd w:id="9"/>
      <w:r>
        <w:rPr>
          <w:rFonts w:ascii="Arial" w:eastAsia="Arial" w:hAnsi="Arial" w:cs="Arial"/>
        </w:rPr>
        <w:t>4.1 Ansoff matrix</w:t>
      </w:r>
    </w:p>
    <w:p w14:paraId="3DB193D2" w14:textId="77777777" w:rsidR="00396184" w:rsidRDefault="0010505D">
      <w:pPr>
        <w:spacing w:line="360" w:lineRule="auto"/>
        <w:jc w:val="both"/>
        <w:rPr>
          <w:sz w:val="24"/>
          <w:szCs w:val="24"/>
        </w:rPr>
      </w:pPr>
      <w:r>
        <w:rPr>
          <w:sz w:val="24"/>
          <w:szCs w:val="24"/>
        </w:rPr>
        <w:t xml:space="preserve">The Matrix by Ansoff will offer a systematic approach in analysing the strategic growth alternative of Unilever as it attempts to implement its expansion strategy in Syria. In the given matrix, market development which occurs when Unilever will carry its current portfolio of fast-moving consumer goods into a new geographic market will be the most </w:t>
      </w:r>
      <w:r>
        <w:rPr>
          <w:sz w:val="24"/>
          <w:szCs w:val="24"/>
        </w:rPr>
        <w:lastRenderedPageBreak/>
        <w:t>suitable strategic option (Tsey, Boachie-Mensah and Agyapong, 2023). The strategy will enable the company to ride on the already established product lines, which include hygiene, home care and basic nutrition whilst reducing the risk of the product in a new setting.</w:t>
      </w:r>
    </w:p>
    <w:p w14:paraId="6080B5D4" w14:textId="77777777" w:rsidR="00396184" w:rsidRDefault="0010505D">
      <w:pPr>
        <w:spacing w:line="360" w:lineRule="auto"/>
        <w:jc w:val="both"/>
        <w:rPr>
          <w:sz w:val="24"/>
          <w:szCs w:val="24"/>
        </w:rPr>
      </w:pPr>
      <w:r>
        <w:rPr>
          <w:sz w:val="24"/>
          <w:szCs w:val="24"/>
        </w:rPr>
        <w:t>Market penetration will fall out of relevance, since Unilever is not currently operating in Syria and thus cannot count on rising share of an existing market. The development of products will also not be appropriate during the first phase of entry, as the unpredictability of consumer buying power and the lack of infrastructure base will demand un-innovative, less expensive goods instead of goods that demand high levels of innovation. The riskiest strategy will be diversification, which will not be applicable in the risk management priorities of Unilever in a conflict-affected economy.</w:t>
      </w:r>
    </w:p>
    <w:p w14:paraId="44CC7E5A" w14:textId="77777777" w:rsidR="00396184" w:rsidRDefault="0010505D">
      <w:pPr>
        <w:spacing w:line="360" w:lineRule="auto"/>
        <w:jc w:val="both"/>
        <w:rPr>
          <w:sz w:val="24"/>
          <w:szCs w:val="24"/>
        </w:rPr>
      </w:pPr>
      <w:r>
        <w:rPr>
          <w:sz w:val="24"/>
          <w:szCs w:val="24"/>
        </w:rPr>
        <w:t>Unilever, through a market development strategy, will be in a position to utilise available brand equity, manufacturing scalability and underlying supply chain efficiencies and adjust pricing, packaging sizes and distribution channel to local circumstances (Moshood, 2025). This strategic option will help Unilever to balance opportunity and risk to commit resources gradual in line with the improvement of the market stability. As such, the Matrix designed by Ansoff will facilitate a prudent but ambitious course of expansion that suits the long-term internationalisation goals and strength foundation of Unilever.</w:t>
      </w:r>
    </w:p>
    <w:p w14:paraId="74181198" w14:textId="77777777" w:rsidR="00396184" w:rsidRDefault="0010505D">
      <w:pPr>
        <w:pStyle w:val="Heading2"/>
        <w:rPr>
          <w:rFonts w:ascii="Arial" w:eastAsia="Arial" w:hAnsi="Arial" w:cs="Arial"/>
        </w:rPr>
      </w:pPr>
      <w:bookmarkStart w:id="10" w:name="_lcfydx8wm1ue" w:colFirst="0" w:colLast="0"/>
      <w:bookmarkEnd w:id="10"/>
      <w:r>
        <w:rPr>
          <w:rFonts w:ascii="Arial" w:eastAsia="Arial" w:hAnsi="Arial" w:cs="Arial"/>
        </w:rPr>
        <w:t>4.2 Porter’s generic strategy choice</w:t>
      </w:r>
    </w:p>
    <w:p w14:paraId="5A67D852" w14:textId="77777777" w:rsidR="00396184" w:rsidRDefault="0010505D">
      <w:pPr>
        <w:spacing w:line="360" w:lineRule="auto"/>
        <w:jc w:val="both"/>
        <w:rPr>
          <w:sz w:val="24"/>
          <w:szCs w:val="24"/>
        </w:rPr>
      </w:pPr>
      <w:r>
        <w:rPr>
          <w:sz w:val="24"/>
          <w:szCs w:val="24"/>
        </w:rPr>
        <w:t xml:space="preserve">The analysis of the Syrian fast-moving consumer goods market using Porters Generic Strategies will present a critical basis through which Unilever needs to compete in the market. Considering the current economic conditions, the competitive environment that is characterised by high price sensitivity and discontinuity, the pure differentiation approach will not be feasible at the entry point (Obradovits and Philipp Plaickner, 2023). Similarly the tight focus of cost leadership approach will put the firm at risk of shrinking margins hence a result of inflationary pressure, logistical inefficiency and exchange rate instability. As a result, the hybrid strategy will be the most suitable strategic decision as it will be a combination of cost efficiency and selective differentiation. In this strategy, Unilever will focus on cost leadership in the core product lines like soaps, detergents and basic food stuffs through the economies of scales, global purchase scale and simplification of product formulations (Hul, 2024). This will afford the firm to provide low pricing and </w:t>
      </w:r>
      <w:r>
        <w:rPr>
          <w:sz w:val="24"/>
          <w:szCs w:val="24"/>
        </w:rPr>
        <w:lastRenderedPageBreak/>
        <w:t>reduced pack sizes that will be in line with decreasing consumer buying power hence precipitating volume driven demand and market penetration. Efficiency of costs shall be a determining element in attaining competitiveness in the face of low price local and informal producers.</w:t>
      </w:r>
    </w:p>
    <w:p w14:paraId="5CE2B567" w14:textId="77777777" w:rsidR="00396184" w:rsidRDefault="0010505D">
      <w:pPr>
        <w:spacing w:line="360" w:lineRule="auto"/>
        <w:jc w:val="both"/>
        <w:rPr>
          <w:sz w:val="24"/>
          <w:szCs w:val="24"/>
        </w:rPr>
      </w:pPr>
      <w:r>
        <w:rPr>
          <w:sz w:val="24"/>
          <w:szCs w:val="24"/>
        </w:rPr>
        <w:t>At the same time, Unilever will follow selective differentiation by means of assurance of quality and hygiene of the product and trusted branding. Brand credibility and perceived safety will be significant areas of differentiation in a market where unstable standards and the seemingly ubiquitous presence of counterfeit goods are the norm (Calboli and Ginsburg, 2020). Lifebuoy and Lux among other products shall enable Unilever to demand relatively small price points in urban and semi-urban regions without compromising accessibility. Flexibility will also be aided by the hybrid strategy, which will enable Unilever to change competitive focus as the market conditions change. The increase in economic stability will allow the firm to add to the differentiation in an incremental fashion by offering sustainability commitment and value-added features. Comprehensively, the Porters Generic Strategy framework will steer Unilever in the creation of balanced competitive positioning that will reduce the risk factor, respond to local realities as well as create a platform of sustainable long-term benefits in the Syrian FMCG market.</w:t>
      </w:r>
    </w:p>
    <w:p w14:paraId="005614AD" w14:textId="77777777" w:rsidR="00396184" w:rsidRDefault="0010505D">
      <w:pPr>
        <w:pStyle w:val="Heading2"/>
        <w:rPr>
          <w:rFonts w:ascii="Arial" w:eastAsia="Arial" w:hAnsi="Arial" w:cs="Arial"/>
        </w:rPr>
      </w:pPr>
      <w:bookmarkStart w:id="11" w:name="_3i6wmtuoja7l" w:colFirst="0" w:colLast="0"/>
      <w:bookmarkEnd w:id="11"/>
      <w:r>
        <w:rPr>
          <w:rFonts w:ascii="Arial" w:eastAsia="Arial" w:hAnsi="Arial" w:cs="Arial"/>
        </w:rPr>
        <w:t>4.3 International strategy selection</w:t>
      </w:r>
    </w:p>
    <w:p w14:paraId="0163E5AD" w14:textId="77777777" w:rsidR="00396184" w:rsidRDefault="0010505D">
      <w:pPr>
        <w:spacing w:line="360" w:lineRule="auto"/>
        <w:jc w:val="both"/>
        <w:rPr>
          <w:sz w:val="24"/>
          <w:szCs w:val="24"/>
        </w:rPr>
      </w:pPr>
      <w:r>
        <w:rPr>
          <w:sz w:val="24"/>
          <w:szCs w:val="24"/>
        </w:rPr>
        <w:t>The approach to a suitable international strategy will play a crucial role in the proposed expansion of Unilever to Syria as it will define between the pace of global integration and local responsiveness. There are four international strategies that a company uses in an international business in the literature; these include international, global, multidomestic and transnational. The international strategy is based on the transfer of home-country capabilities with the minimum adaptation whereas the global strategy focuses on high-standardisation and centralised control to reach the cost efficiencies. In comparison, a multidomestic approach focuses on high levels of localisation to suit the country-specific consumer preferences, usually to the compromise of economies of scale. The transnational strategy aims at combining the strengths of both global and local responsiveness, but it is operationally complicated.</w:t>
      </w:r>
    </w:p>
    <w:p w14:paraId="706ED37F" w14:textId="77777777" w:rsidR="00396184" w:rsidRDefault="0010505D">
      <w:pPr>
        <w:spacing w:line="360" w:lineRule="auto"/>
        <w:jc w:val="both"/>
        <w:rPr>
          <w:sz w:val="24"/>
          <w:szCs w:val="24"/>
        </w:rPr>
      </w:pPr>
      <w:r>
        <w:rPr>
          <w:sz w:val="24"/>
          <w:szCs w:val="24"/>
        </w:rPr>
        <w:lastRenderedPageBreak/>
        <w:t>The global strategy in Syrian situation will be unsuitable because of the high level of socio-economic disparity, lack of regulatory certainty and adaptation of pricing, packaging and distribution. Canned commodities and marketing strategies will not cater to local buying capacity and consumption behaviour. Equally, a stripped international policy will provide low responsiveness, and can limit the capacity of Unilever to adapt to the changing institutional environment. Although a multidomestic approach would permit profound localization, it would decrease operational effectiveness and augment coordination expenses, which might not prove to be enduring in a dangerously exposed and resource-noisy market.</w:t>
      </w:r>
    </w:p>
    <w:p w14:paraId="66B49972" w14:textId="77777777" w:rsidR="00396184" w:rsidRDefault="0010505D">
      <w:pPr>
        <w:spacing w:line="360" w:lineRule="auto"/>
        <w:jc w:val="both"/>
        <w:rPr>
          <w:sz w:val="24"/>
          <w:szCs w:val="24"/>
        </w:rPr>
      </w:pPr>
      <w:r>
        <w:rPr>
          <w:sz w:val="24"/>
          <w:szCs w:val="24"/>
        </w:rPr>
        <w:t>Therefore, the optimal international strategy that would suit the expansion of Unilever in Syria is transnational. Such strategy will enable the firm to maintain the global connection in terms of product design, procurement and brand governance and at the same time have the local affinity in terms of the pricing structures, packaging sizes, distribution alliances and marketing communications. This dual orientation will be achieved through the current decentralised organisational model of Unilever and its emerging market experience. Furthermore, the transnational approach will increase organisational learning so that experience in Syria will be used to drive similar markets. Altogether, the transnational strategy will give Unilever the strategic flexibility, risk reduction and potential to scale over time, which makes it the best strategic international strategy to address the complex and dynamic business environment in Syria.</w:t>
      </w:r>
    </w:p>
    <w:p w14:paraId="396F95A3" w14:textId="77777777" w:rsidR="00396184" w:rsidRDefault="0010505D">
      <w:pPr>
        <w:pStyle w:val="Heading2"/>
        <w:rPr>
          <w:rFonts w:ascii="Arial" w:eastAsia="Arial" w:hAnsi="Arial" w:cs="Arial"/>
        </w:rPr>
      </w:pPr>
      <w:bookmarkStart w:id="12" w:name="_uh31dufyy5fw" w:colFirst="0" w:colLast="0"/>
      <w:bookmarkEnd w:id="12"/>
      <w:r>
        <w:rPr>
          <w:rFonts w:ascii="Arial" w:eastAsia="Arial" w:hAnsi="Arial" w:cs="Arial"/>
        </w:rPr>
        <w:t>4.4 Entry mode decision</w:t>
      </w:r>
    </w:p>
    <w:p w14:paraId="08CC6549" w14:textId="77777777" w:rsidR="00396184" w:rsidRDefault="0010505D">
      <w:pPr>
        <w:spacing w:line="360" w:lineRule="auto"/>
        <w:jc w:val="both"/>
        <w:rPr>
          <w:sz w:val="24"/>
          <w:szCs w:val="24"/>
        </w:rPr>
      </w:pPr>
      <w:r>
        <w:rPr>
          <w:sz w:val="24"/>
          <w:szCs w:val="24"/>
        </w:rPr>
        <w:t xml:space="preserve">The chosen entry mode will be a vital strategic move to the proposed expansion into Syria by Unilever since it will determine the degree of control, level of risk exposure and investment. According to the literature of international business, there are multiple major modes of entry namely exporting, licensing or franchising, joint ventures with wholly owned subsidiaries through acquisition or green field investment (Fuchs, 2022). Exporting is the best option that needs a minimum investment but has a low capability of control and sensitivity to domestic market dynamics (Gutiérrez et al., 2023). Franchising and licensing minimise capital risk, but limit the quality control and strategic integration. Wholly owned subsidiaries offer the greatest control and retention of profits but they come at a high cost in terms of financial accessibility and considerable risk of politics and operations, </w:t>
      </w:r>
      <w:r>
        <w:rPr>
          <w:sz w:val="24"/>
          <w:szCs w:val="24"/>
        </w:rPr>
        <w:lastRenderedPageBreak/>
        <w:t>especially in volatile locations (Petersen and Benito, 2024). Joint ventures are a shared ownership arrangement that is both risk equalising and control and local market equalising.</w:t>
      </w:r>
    </w:p>
    <w:p w14:paraId="2456578B" w14:textId="77777777" w:rsidR="00396184" w:rsidRDefault="0010505D">
      <w:pPr>
        <w:spacing w:line="360" w:lineRule="auto"/>
        <w:jc w:val="both"/>
        <w:rPr>
          <w:sz w:val="24"/>
          <w:szCs w:val="24"/>
        </w:rPr>
      </w:pPr>
      <w:r>
        <w:rPr>
          <w:sz w:val="24"/>
          <w:szCs w:val="24"/>
        </w:rPr>
        <w:t>According to the above macro-environmental, industry and internal capability analysis, joint venture shall be the most suitable entry mode by which Unilever will expand into Syria. The political uncertainty of a country, the changing regulatory and compliance factors related to sanctions will highly increase risks of full ownership. Therefore, greenfield investment or acquisition would subject Unilever to too many financial and reputational risks whilst exporting would restrict market penetration and responsiveness in a price-sensitive FMCG environment. The entered joint venture with a well-known local partner will help the Unilever company not only to distribute the financial risk but also use the knowledge of the local market, operating channels and regulatory experience. This will come in handy especially when going through informal retail structures and administration difficulties. Strategically speaking, the joint venture mode is quite related to the Unilever transnational strategy in that it enables global integration of the brand management, procurement and product standard as well as channel management, and enables the local responsiveness of pricing, packaging and channel management. Besides, VRIO analysis shows that the principal competitive strengths of Unilever like brand equity, supply chain experience and expertise in high-risk markets could be utilised efficiently in the environment of a collaborative structure without the need to acquire full ownership.</w:t>
      </w:r>
    </w:p>
    <w:p w14:paraId="1F6947EA" w14:textId="77777777" w:rsidR="00396184" w:rsidRDefault="0010505D">
      <w:pPr>
        <w:spacing w:line="360" w:lineRule="auto"/>
        <w:jc w:val="both"/>
        <w:rPr>
          <w:sz w:val="24"/>
          <w:szCs w:val="24"/>
        </w:rPr>
      </w:pPr>
      <w:r>
        <w:rPr>
          <w:sz w:val="24"/>
          <w:szCs w:val="24"/>
        </w:rPr>
        <w:t>Seemingly, not all is well in joint ventures, as there are also chances of misalignment of the goals and issues governing its management. Nevertheless, the rich history of Unilever in the management of partnerships at the emerging markets will prevent these risks with well-developed governance models and established performance indicators. Generally, the joint venture entry mode will offer a balanced mechanism between strategic control, corporate adaptability and risk monitoring thus best suited in entering the Syrian market by Unilever.</w:t>
      </w:r>
    </w:p>
    <w:p w14:paraId="24F89C60" w14:textId="77777777" w:rsidR="00396184" w:rsidRDefault="0010505D">
      <w:pPr>
        <w:pStyle w:val="Heading2"/>
        <w:rPr>
          <w:sz w:val="24"/>
          <w:szCs w:val="24"/>
        </w:rPr>
      </w:pPr>
      <w:bookmarkStart w:id="13" w:name="_df2tgxe3h9ql" w:colFirst="0" w:colLast="0"/>
      <w:bookmarkEnd w:id="13"/>
      <w:r>
        <w:rPr>
          <w:rFonts w:ascii="Arial" w:eastAsia="Arial" w:hAnsi="Arial" w:cs="Arial"/>
        </w:rPr>
        <w:lastRenderedPageBreak/>
        <w:t>4.5 SAFe evaluation</w:t>
      </w:r>
    </w:p>
    <w:tbl>
      <w:tblPr>
        <w:tblStyle w:val="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10"/>
        <w:gridCol w:w="1710"/>
        <w:gridCol w:w="4425"/>
        <w:gridCol w:w="1500"/>
      </w:tblGrid>
      <w:tr w:rsidR="00396184" w14:paraId="361E1879" w14:textId="77777777">
        <w:trPr>
          <w:trHeight w:val="770"/>
        </w:trPr>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3C379" w14:textId="77777777" w:rsidR="00396184" w:rsidRDefault="0010505D">
            <w:pPr>
              <w:spacing w:line="360" w:lineRule="auto"/>
              <w:jc w:val="center"/>
              <w:rPr>
                <w:sz w:val="24"/>
                <w:szCs w:val="24"/>
              </w:rPr>
            </w:pPr>
            <w:r>
              <w:rPr>
                <w:b/>
                <w:bCs/>
                <w:sz w:val="24"/>
                <w:szCs w:val="24"/>
              </w:rPr>
              <w:t>SAFe Criteria</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EE66D" w14:textId="77777777" w:rsidR="00396184" w:rsidRDefault="0010505D">
            <w:pPr>
              <w:spacing w:line="360" w:lineRule="auto"/>
              <w:jc w:val="center"/>
              <w:rPr>
                <w:sz w:val="24"/>
                <w:szCs w:val="24"/>
              </w:rPr>
            </w:pPr>
            <w:r>
              <w:rPr>
                <w:b/>
                <w:bCs/>
                <w:sz w:val="24"/>
                <w:szCs w:val="24"/>
              </w:rPr>
              <w:t>Evaluation Dimension</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9ACBFA" w14:textId="77777777" w:rsidR="00396184" w:rsidRDefault="0010505D">
            <w:pPr>
              <w:spacing w:line="360" w:lineRule="auto"/>
              <w:jc w:val="center"/>
              <w:rPr>
                <w:sz w:val="24"/>
                <w:szCs w:val="24"/>
              </w:rPr>
            </w:pPr>
            <w:r>
              <w:rPr>
                <w:b/>
                <w:bCs/>
                <w:sz w:val="24"/>
                <w:szCs w:val="24"/>
              </w:rPr>
              <w:t>Assessment in the Context of Unilever’s Expansion into Syria</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FEA59" w14:textId="77777777" w:rsidR="00396184" w:rsidRDefault="0010505D">
            <w:pPr>
              <w:spacing w:line="360" w:lineRule="auto"/>
              <w:jc w:val="center"/>
              <w:rPr>
                <w:sz w:val="24"/>
                <w:szCs w:val="24"/>
              </w:rPr>
            </w:pPr>
            <w:r>
              <w:rPr>
                <w:b/>
                <w:bCs/>
                <w:sz w:val="24"/>
                <w:szCs w:val="24"/>
              </w:rPr>
              <w:t>Overall Judgement</w:t>
            </w:r>
          </w:p>
        </w:tc>
      </w:tr>
      <w:tr w:rsidR="00396184" w14:paraId="690D12D4" w14:textId="77777777">
        <w:trPr>
          <w:trHeight w:val="2390"/>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DA004" w14:textId="77777777" w:rsidR="00396184" w:rsidRDefault="0010505D">
            <w:pPr>
              <w:spacing w:line="360" w:lineRule="auto"/>
              <w:jc w:val="both"/>
              <w:rPr>
                <w:sz w:val="24"/>
                <w:szCs w:val="24"/>
              </w:rPr>
            </w:pPr>
            <w:r>
              <w:rPr>
                <w:b/>
                <w:bCs/>
                <w:sz w:val="24"/>
                <w:szCs w:val="24"/>
              </w:rPr>
              <w:t>Suitability</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08CED" w14:textId="77777777" w:rsidR="00396184" w:rsidRDefault="0010505D">
            <w:pPr>
              <w:spacing w:line="360" w:lineRule="auto"/>
              <w:jc w:val="both"/>
              <w:rPr>
                <w:sz w:val="24"/>
                <w:szCs w:val="24"/>
              </w:rPr>
            </w:pPr>
            <w:r>
              <w:rPr>
                <w:sz w:val="24"/>
                <w:szCs w:val="24"/>
              </w:rPr>
              <w:t>Strategic fit with external environment</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FB20E8" w14:textId="77777777" w:rsidR="00396184" w:rsidRDefault="0010505D">
            <w:pPr>
              <w:spacing w:line="360" w:lineRule="auto"/>
              <w:jc w:val="both"/>
              <w:rPr>
                <w:sz w:val="24"/>
                <w:szCs w:val="24"/>
              </w:rPr>
            </w:pPr>
            <w:r>
              <w:rPr>
                <w:sz w:val="24"/>
                <w:szCs w:val="24"/>
              </w:rPr>
              <w:t>The proposed expansion strategy will align with Syria’s unmet demand for affordable hygiene, home care and nutrition products. The hybrid competitive strategy and transnational international strategy will allow Unilever to respond effectively to economic constraints, fragmented competition and institutional volatility (Sun et al., 2021).</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A690F" w14:textId="77777777" w:rsidR="00396184" w:rsidRDefault="0010505D">
            <w:pPr>
              <w:spacing w:line="360" w:lineRule="auto"/>
              <w:jc w:val="both"/>
              <w:rPr>
                <w:sz w:val="24"/>
                <w:szCs w:val="24"/>
              </w:rPr>
            </w:pPr>
            <w:r>
              <w:rPr>
                <w:sz w:val="24"/>
                <w:szCs w:val="24"/>
              </w:rPr>
              <w:t>Suitable</w:t>
            </w:r>
          </w:p>
        </w:tc>
      </w:tr>
      <w:tr w:rsidR="00396184" w14:paraId="70F961C6" w14:textId="77777777">
        <w:trPr>
          <w:trHeight w:val="185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83991" w14:textId="77777777" w:rsidR="00396184" w:rsidRDefault="00396184">
            <w:pPr>
              <w:spacing w:line="240" w:lineRule="auto"/>
              <w:jc w:val="both"/>
              <w:rPr>
                <w:sz w:val="24"/>
                <w:szCs w:val="24"/>
              </w:rPr>
            </w:pP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52E64" w14:textId="77777777" w:rsidR="00396184" w:rsidRDefault="0010505D">
            <w:pPr>
              <w:spacing w:line="360" w:lineRule="auto"/>
              <w:jc w:val="both"/>
              <w:rPr>
                <w:sz w:val="24"/>
                <w:szCs w:val="24"/>
              </w:rPr>
            </w:pPr>
            <w:r>
              <w:rPr>
                <w:sz w:val="24"/>
                <w:szCs w:val="24"/>
              </w:rPr>
              <w:t>Alignment with internal capabilities</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318D72" w14:textId="77777777" w:rsidR="00396184" w:rsidRDefault="0010505D">
            <w:pPr>
              <w:spacing w:line="360" w:lineRule="auto"/>
              <w:jc w:val="both"/>
              <w:rPr>
                <w:sz w:val="24"/>
                <w:szCs w:val="24"/>
              </w:rPr>
            </w:pPr>
            <w:r>
              <w:rPr>
                <w:sz w:val="24"/>
                <w:szCs w:val="24"/>
              </w:rPr>
              <w:t>Unilever’s brand equity, global supply chain and experience in complex emerging markets will directly support the proposed strategy, enabling exploitation of identified opportunities while mitigating external threats.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BFD19" w14:textId="77777777" w:rsidR="00396184" w:rsidRDefault="0010505D">
            <w:pPr>
              <w:spacing w:line="360" w:lineRule="auto"/>
              <w:jc w:val="both"/>
              <w:rPr>
                <w:sz w:val="24"/>
                <w:szCs w:val="24"/>
              </w:rPr>
            </w:pPr>
            <w:r>
              <w:rPr>
                <w:sz w:val="24"/>
                <w:szCs w:val="24"/>
              </w:rPr>
              <w:t>Suitable</w:t>
            </w:r>
          </w:p>
        </w:tc>
      </w:tr>
      <w:tr w:rsidR="00396184" w14:paraId="1A18BDD5" w14:textId="77777777">
        <w:trPr>
          <w:trHeight w:val="1850"/>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8E3E4" w14:textId="77777777" w:rsidR="00396184" w:rsidRDefault="0010505D">
            <w:pPr>
              <w:spacing w:line="360" w:lineRule="auto"/>
              <w:jc w:val="both"/>
              <w:rPr>
                <w:sz w:val="24"/>
                <w:szCs w:val="24"/>
              </w:rPr>
            </w:pPr>
            <w:r>
              <w:rPr>
                <w:b/>
                <w:bCs/>
                <w:sz w:val="24"/>
                <w:szCs w:val="24"/>
              </w:rPr>
              <w:t>Acceptability</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B5826" w14:textId="77777777" w:rsidR="00396184" w:rsidRDefault="0010505D">
            <w:pPr>
              <w:spacing w:line="360" w:lineRule="auto"/>
              <w:jc w:val="both"/>
              <w:rPr>
                <w:sz w:val="24"/>
                <w:szCs w:val="24"/>
              </w:rPr>
            </w:pPr>
            <w:r>
              <w:rPr>
                <w:sz w:val="24"/>
                <w:szCs w:val="24"/>
              </w:rPr>
              <w:t>Risk profile</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19E19" w14:textId="77777777" w:rsidR="00396184" w:rsidRDefault="0010505D">
            <w:pPr>
              <w:spacing w:line="360" w:lineRule="auto"/>
              <w:jc w:val="both"/>
              <w:rPr>
                <w:sz w:val="24"/>
                <w:szCs w:val="24"/>
              </w:rPr>
            </w:pPr>
            <w:r>
              <w:rPr>
                <w:sz w:val="24"/>
                <w:szCs w:val="24"/>
              </w:rPr>
              <w:t>Political instability, sanctions compliance and currency volatility will present considerable risks. However, these will be partially mitigated through a joint venture entry mode, reducing financial exposure and operational uncertainty (Aliasghar and Rose, 2023).</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AD4F6" w14:textId="77777777" w:rsidR="00396184" w:rsidRDefault="0010505D">
            <w:pPr>
              <w:spacing w:line="360" w:lineRule="auto"/>
              <w:jc w:val="both"/>
              <w:rPr>
                <w:sz w:val="24"/>
                <w:szCs w:val="24"/>
              </w:rPr>
            </w:pPr>
            <w:r>
              <w:rPr>
                <w:sz w:val="24"/>
                <w:szCs w:val="24"/>
              </w:rPr>
              <w:t>Acceptable with managed risk</w:t>
            </w:r>
          </w:p>
        </w:tc>
      </w:tr>
      <w:tr w:rsidR="00396184" w14:paraId="48BD56CC" w14:textId="77777777">
        <w:trPr>
          <w:trHeight w:val="158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74D66" w14:textId="77777777" w:rsidR="00396184" w:rsidRDefault="00396184">
            <w:pPr>
              <w:spacing w:line="240" w:lineRule="auto"/>
              <w:jc w:val="both"/>
              <w:rPr>
                <w:sz w:val="24"/>
                <w:szCs w:val="24"/>
              </w:rPr>
            </w:pP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124A9" w14:textId="77777777" w:rsidR="00396184" w:rsidRDefault="0010505D">
            <w:pPr>
              <w:spacing w:line="360" w:lineRule="auto"/>
              <w:jc w:val="both"/>
              <w:rPr>
                <w:sz w:val="24"/>
                <w:szCs w:val="24"/>
              </w:rPr>
            </w:pPr>
            <w:r>
              <w:rPr>
                <w:sz w:val="24"/>
                <w:szCs w:val="24"/>
              </w:rPr>
              <w:t>Expected returns and stakeholder reaction</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842BB" w14:textId="77777777" w:rsidR="00396184" w:rsidRDefault="0010505D">
            <w:pPr>
              <w:spacing w:line="360" w:lineRule="auto"/>
              <w:jc w:val="both"/>
              <w:rPr>
                <w:sz w:val="24"/>
                <w:szCs w:val="24"/>
              </w:rPr>
            </w:pPr>
            <w:r>
              <w:rPr>
                <w:sz w:val="24"/>
                <w:szCs w:val="24"/>
              </w:rPr>
              <w:t>While short-term financial returns may remain modest, long-term growth potential and reputational benefits from operating in an underserved market will align with shareholder and stakeholder expectations (DesJardine, Zhang and Shi, 2022).</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4E9E2" w14:textId="77777777" w:rsidR="00396184" w:rsidRDefault="0010505D">
            <w:pPr>
              <w:spacing w:line="360" w:lineRule="auto"/>
              <w:jc w:val="both"/>
              <w:rPr>
                <w:sz w:val="24"/>
                <w:szCs w:val="24"/>
              </w:rPr>
            </w:pPr>
            <w:r>
              <w:rPr>
                <w:sz w:val="24"/>
                <w:szCs w:val="24"/>
              </w:rPr>
              <w:t>Acceptable</w:t>
            </w:r>
          </w:p>
        </w:tc>
      </w:tr>
      <w:tr w:rsidR="00396184" w14:paraId="70FE4D87" w14:textId="77777777">
        <w:trPr>
          <w:trHeight w:val="1310"/>
        </w:trPr>
        <w:tc>
          <w:tcPr>
            <w:tcW w:w="17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B7A5D4" w14:textId="77777777" w:rsidR="00396184" w:rsidRDefault="0010505D">
            <w:pPr>
              <w:spacing w:line="360" w:lineRule="auto"/>
              <w:jc w:val="both"/>
              <w:rPr>
                <w:sz w:val="24"/>
                <w:szCs w:val="24"/>
              </w:rPr>
            </w:pPr>
            <w:r>
              <w:rPr>
                <w:b/>
                <w:bCs/>
                <w:sz w:val="24"/>
                <w:szCs w:val="24"/>
              </w:rPr>
              <w:t>Feasibility</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61880F" w14:textId="77777777" w:rsidR="00396184" w:rsidRDefault="0010505D">
            <w:pPr>
              <w:spacing w:line="360" w:lineRule="auto"/>
              <w:jc w:val="both"/>
              <w:rPr>
                <w:sz w:val="24"/>
                <w:szCs w:val="24"/>
              </w:rPr>
            </w:pPr>
            <w:r>
              <w:rPr>
                <w:sz w:val="24"/>
                <w:szCs w:val="24"/>
              </w:rPr>
              <w:t>Resource availability</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ADA3AF" w14:textId="77777777" w:rsidR="00396184" w:rsidRDefault="0010505D">
            <w:pPr>
              <w:spacing w:line="360" w:lineRule="auto"/>
              <w:jc w:val="both"/>
              <w:rPr>
                <w:sz w:val="24"/>
                <w:szCs w:val="24"/>
              </w:rPr>
            </w:pPr>
            <w:r>
              <w:rPr>
                <w:sz w:val="24"/>
                <w:szCs w:val="24"/>
              </w:rPr>
              <w:t>Unilever will possess sufficient financial, managerial and operational resources to implement the strategy without compromising its global operations.</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6D2A58" w14:textId="77777777" w:rsidR="00396184" w:rsidRDefault="0010505D">
            <w:pPr>
              <w:spacing w:line="360" w:lineRule="auto"/>
              <w:jc w:val="both"/>
              <w:rPr>
                <w:sz w:val="24"/>
                <w:szCs w:val="24"/>
              </w:rPr>
            </w:pPr>
            <w:r>
              <w:rPr>
                <w:sz w:val="24"/>
                <w:szCs w:val="24"/>
              </w:rPr>
              <w:t>Feasible</w:t>
            </w:r>
          </w:p>
        </w:tc>
      </w:tr>
      <w:tr w:rsidR="00396184" w14:paraId="52A27AB1" w14:textId="77777777">
        <w:trPr>
          <w:trHeight w:val="1580"/>
        </w:trPr>
        <w:tc>
          <w:tcPr>
            <w:tcW w:w="171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132E5" w14:textId="77777777" w:rsidR="00396184" w:rsidRDefault="00396184">
            <w:pPr>
              <w:spacing w:line="240" w:lineRule="auto"/>
              <w:jc w:val="both"/>
              <w:rPr>
                <w:sz w:val="24"/>
                <w:szCs w:val="24"/>
              </w:rPr>
            </w:pP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A68F6" w14:textId="77777777" w:rsidR="00396184" w:rsidRDefault="0010505D">
            <w:pPr>
              <w:spacing w:line="360" w:lineRule="auto"/>
              <w:jc w:val="both"/>
              <w:rPr>
                <w:sz w:val="24"/>
                <w:szCs w:val="24"/>
              </w:rPr>
            </w:pPr>
            <w:r>
              <w:rPr>
                <w:sz w:val="24"/>
                <w:szCs w:val="24"/>
              </w:rPr>
              <w:t>Organisational capability</w:t>
            </w:r>
          </w:p>
        </w:tc>
        <w:tc>
          <w:tcPr>
            <w:tcW w:w="44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9832E" w14:textId="77777777" w:rsidR="00396184" w:rsidRDefault="0010505D">
            <w:pPr>
              <w:spacing w:line="360" w:lineRule="auto"/>
              <w:jc w:val="both"/>
              <w:rPr>
                <w:sz w:val="24"/>
                <w:szCs w:val="24"/>
              </w:rPr>
            </w:pPr>
            <w:r>
              <w:rPr>
                <w:sz w:val="24"/>
                <w:szCs w:val="24"/>
              </w:rPr>
              <w:t>The firm’s decentralised structure, established governance systems and partner-management experience will enable effective execution and coordination within Syria.</w:t>
            </w:r>
          </w:p>
        </w:tc>
        <w:tc>
          <w:tcPr>
            <w:tcW w:w="1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8A3F13" w14:textId="77777777" w:rsidR="00396184" w:rsidRDefault="0010505D">
            <w:pPr>
              <w:spacing w:line="360" w:lineRule="auto"/>
              <w:jc w:val="both"/>
              <w:rPr>
                <w:sz w:val="24"/>
                <w:szCs w:val="24"/>
              </w:rPr>
            </w:pPr>
            <w:r>
              <w:rPr>
                <w:sz w:val="24"/>
                <w:szCs w:val="24"/>
              </w:rPr>
              <w:t>Feasible</w:t>
            </w:r>
          </w:p>
        </w:tc>
      </w:tr>
    </w:tbl>
    <w:p w14:paraId="3E49BA62" w14:textId="77777777" w:rsidR="00396184" w:rsidRDefault="0010505D">
      <w:pPr>
        <w:spacing w:line="360" w:lineRule="auto"/>
        <w:jc w:val="center"/>
        <w:rPr>
          <w:b/>
          <w:bCs/>
          <w:i/>
          <w:iCs/>
          <w:sz w:val="24"/>
          <w:szCs w:val="24"/>
        </w:rPr>
      </w:pPr>
      <w:r>
        <w:rPr>
          <w:b/>
          <w:bCs/>
          <w:i/>
          <w:iCs/>
          <w:sz w:val="24"/>
          <w:szCs w:val="24"/>
        </w:rPr>
        <w:t>Table 1: SAFe analysis</w:t>
      </w:r>
    </w:p>
    <w:p w14:paraId="2D801DFD" w14:textId="77777777" w:rsidR="00396184" w:rsidRDefault="0010505D">
      <w:pPr>
        <w:spacing w:line="360" w:lineRule="auto"/>
        <w:jc w:val="center"/>
        <w:rPr>
          <w:sz w:val="24"/>
          <w:szCs w:val="24"/>
        </w:rPr>
      </w:pPr>
      <w:r>
        <w:rPr>
          <w:sz w:val="24"/>
          <w:szCs w:val="24"/>
        </w:rPr>
        <w:t>(Self-developed)</w:t>
      </w:r>
    </w:p>
    <w:p w14:paraId="270B4B54" w14:textId="77777777" w:rsidR="00396184" w:rsidRDefault="0010505D">
      <w:pPr>
        <w:spacing w:line="360" w:lineRule="auto"/>
        <w:jc w:val="both"/>
        <w:rPr>
          <w:sz w:val="24"/>
          <w:szCs w:val="24"/>
        </w:rPr>
      </w:pPr>
      <w:r>
        <w:rPr>
          <w:sz w:val="24"/>
          <w:szCs w:val="24"/>
        </w:rPr>
        <w:t>The SAFe analysis shows that the expansion plan that Unilever is going to execute into Syria will be strategically appropriate, risk acceptable in a controlled environment, and operationally viable. The strategy will fulfil all three specifications of SAFe when evaluated as a whole, which will help promote it as an internally consistent and justifiable plan of international expansion.</w:t>
      </w:r>
    </w:p>
    <w:p w14:paraId="775595E0" w14:textId="77777777" w:rsidR="00396184" w:rsidRDefault="0010505D">
      <w:pPr>
        <w:pStyle w:val="Heading1"/>
        <w:rPr>
          <w:rFonts w:ascii="Arial" w:eastAsia="Arial" w:hAnsi="Arial" w:cs="Arial"/>
        </w:rPr>
      </w:pPr>
      <w:bookmarkStart w:id="14" w:name="_smwm2n6rrpka" w:colFirst="0" w:colLast="0"/>
      <w:bookmarkEnd w:id="14"/>
      <w:r>
        <w:rPr>
          <w:rFonts w:ascii="Arial" w:eastAsia="Arial" w:hAnsi="Arial" w:cs="Arial"/>
        </w:rPr>
        <w:t>5. Performance evaluation framework</w:t>
      </w:r>
    </w:p>
    <w:p w14:paraId="2963B3B4" w14:textId="77777777" w:rsidR="00396184" w:rsidRDefault="0010505D">
      <w:pPr>
        <w:pStyle w:val="Heading2"/>
        <w:rPr>
          <w:sz w:val="24"/>
          <w:szCs w:val="24"/>
        </w:rPr>
      </w:pPr>
      <w:bookmarkStart w:id="15" w:name="_oeb3xj59cifq" w:colFirst="0" w:colLast="0"/>
      <w:bookmarkEnd w:id="15"/>
      <w:r>
        <w:rPr>
          <w:rFonts w:ascii="Arial" w:eastAsia="Arial" w:hAnsi="Arial" w:cs="Arial"/>
        </w:rPr>
        <w:t>5.1 Balanced scorecard for Unilever Syria</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2028"/>
        <w:gridCol w:w="2321"/>
        <w:gridCol w:w="3451"/>
      </w:tblGrid>
      <w:tr w:rsidR="00396184" w14:paraId="02316624" w14:textId="77777777">
        <w:trPr>
          <w:trHeight w:val="770"/>
        </w:trPr>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F1C7A5" w14:textId="77777777" w:rsidR="00396184" w:rsidRDefault="0010505D">
            <w:pPr>
              <w:spacing w:line="360" w:lineRule="auto"/>
              <w:jc w:val="center"/>
              <w:rPr>
                <w:sz w:val="24"/>
                <w:szCs w:val="24"/>
              </w:rPr>
            </w:pPr>
            <w:r>
              <w:rPr>
                <w:b/>
                <w:bCs/>
                <w:sz w:val="24"/>
                <w:szCs w:val="24"/>
              </w:rPr>
              <w:t>Perspective</w:t>
            </w:r>
          </w:p>
        </w:tc>
        <w:tc>
          <w:tcPr>
            <w:tcW w:w="2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84FB2F" w14:textId="77777777" w:rsidR="00396184" w:rsidRDefault="0010505D">
            <w:pPr>
              <w:spacing w:line="360" w:lineRule="auto"/>
              <w:jc w:val="center"/>
              <w:rPr>
                <w:sz w:val="24"/>
                <w:szCs w:val="24"/>
              </w:rPr>
            </w:pPr>
            <w:r>
              <w:rPr>
                <w:b/>
                <w:bCs/>
                <w:sz w:val="24"/>
                <w:szCs w:val="24"/>
              </w:rPr>
              <w:t>Strategic Objectives</w:t>
            </w:r>
          </w:p>
        </w:tc>
        <w:tc>
          <w:tcPr>
            <w:tcW w:w="2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4DF77" w14:textId="77777777" w:rsidR="00396184" w:rsidRDefault="0010505D">
            <w:pPr>
              <w:spacing w:line="360" w:lineRule="auto"/>
              <w:jc w:val="center"/>
              <w:rPr>
                <w:sz w:val="24"/>
                <w:szCs w:val="24"/>
              </w:rPr>
            </w:pPr>
            <w:r>
              <w:rPr>
                <w:b/>
                <w:bCs/>
                <w:sz w:val="24"/>
                <w:szCs w:val="24"/>
              </w:rPr>
              <w:t>Key Performance Indicators (KPIs)</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DA435" w14:textId="77777777" w:rsidR="00396184" w:rsidRDefault="0010505D">
            <w:pPr>
              <w:spacing w:line="360" w:lineRule="auto"/>
              <w:jc w:val="center"/>
              <w:rPr>
                <w:sz w:val="24"/>
                <w:szCs w:val="24"/>
              </w:rPr>
            </w:pPr>
            <w:r>
              <w:rPr>
                <w:b/>
                <w:bCs/>
                <w:sz w:val="24"/>
                <w:szCs w:val="24"/>
              </w:rPr>
              <w:t>Strategic Rationale</w:t>
            </w:r>
          </w:p>
        </w:tc>
      </w:tr>
      <w:tr w:rsidR="00396184" w14:paraId="3BD5033B" w14:textId="77777777">
        <w:trPr>
          <w:trHeight w:val="1850"/>
        </w:trPr>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8214F" w14:textId="77777777" w:rsidR="00396184" w:rsidRDefault="0010505D">
            <w:pPr>
              <w:spacing w:line="360" w:lineRule="auto"/>
              <w:jc w:val="both"/>
              <w:rPr>
                <w:sz w:val="24"/>
                <w:szCs w:val="24"/>
              </w:rPr>
            </w:pPr>
            <w:r>
              <w:rPr>
                <w:b/>
                <w:bCs/>
                <w:sz w:val="24"/>
                <w:szCs w:val="24"/>
              </w:rPr>
              <w:lastRenderedPageBreak/>
              <w:t>Financial</w:t>
            </w:r>
          </w:p>
        </w:tc>
        <w:tc>
          <w:tcPr>
            <w:tcW w:w="2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92B050" w14:textId="77777777" w:rsidR="00396184" w:rsidRDefault="0010505D">
            <w:pPr>
              <w:spacing w:line="360" w:lineRule="auto"/>
              <w:jc w:val="both"/>
              <w:rPr>
                <w:sz w:val="24"/>
                <w:szCs w:val="24"/>
              </w:rPr>
            </w:pPr>
            <w:r>
              <w:rPr>
                <w:sz w:val="24"/>
                <w:szCs w:val="24"/>
              </w:rPr>
              <w:t>Achieve sustainable revenue growth while controlling risk</w:t>
            </w:r>
          </w:p>
        </w:tc>
        <w:tc>
          <w:tcPr>
            <w:tcW w:w="2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2CB06" w14:textId="77777777" w:rsidR="00396184" w:rsidRDefault="0010505D">
            <w:pPr>
              <w:spacing w:line="360" w:lineRule="auto"/>
              <w:jc w:val="both"/>
              <w:rPr>
                <w:sz w:val="24"/>
                <w:szCs w:val="24"/>
              </w:rPr>
            </w:pPr>
            <w:r>
              <w:rPr>
                <w:sz w:val="24"/>
                <w:szCs w:val="24"/>
              </w:rPr>
              <w:t>Market entry revenue growth rate; operating margin; cost-to-sales ratio</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37679" w14:textId="77777777" w:rsidR="00396184" w:rsidRDefault="0010505D">
            <w:pPr>
              <w:spacing w:line="360" w:lineRule="auto"/>
              <w:jc w:val="both"/>
              <w:rPr>
                <w:sz w:val="24"/>
                <w:szCs w:val="24"/>
              </w:rPr>
            </w:pPr>
            <w:r>
              <w:rPr>
                <w:sz w:val="24"/>
                <w:szCs w:val="24"/>
              </w:rPr>
              <w:t>Financial metrics will assess whether the expansion delivers acceptable returns under constrained economic conditions while maintaining cost efficiency in a price-sensitive market</w:t>
            </w:r>
          </w:p>
        </w:tc>
      </w:tr>
      <w:tr w:rsidR="00396184" w14:paraId="2776C20F" w14:textId="77777777">
        <w:trPr>
          <w:trHeight w:val="1850"/>
        </w:trPr>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E9D143" w14:textId="77777777" w:rsidR="00396184" w:rsidRDefault="0010505D">
            <w:pPr>
              <w:spacing w:line="360" w:lineRule="auto"/>
              <w:jc w:val="both"/>
              <w:rPr>
                <w:sz w:val="24"/>
                <w:szCs w:val="24"/>
              </w:rPr>
            </w:pPr>
            <w:r>
              <w:rPr>
                <w:b/>
                <w:bCs/>
                <w:sz w:val="24"/>
                <w:szCs w:val="24"/>
              </w:rPr>
              <w:t>Customer</w:t>
            </w:r>
          </w:p>
        </w:tc>
        <w:tc>
          <w:tcPr>
            <w:tcW w:w="2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DE796" w14:textId="77777777" w:rsidR="00396184" w:rsidRDefault="0010505D">
            <w:pPr>
              <w:spacing w:line="360" w:lineRule="auto"/>
              <w:jc w:val="both"/>
              <w:rPr>
                <w:sz w:val="24"/>
                <w:szCs w:val="24"/>
              </w:rPr>
            </w:pPr>
            <w:r>
              <w:rPr>
                <w:sz w:val="24"/>
                <w:szCs w:val="24"/>
              </w:rPr>
              <w:t>Build brand trust and increase market penetration</w:t>
            </w:r>
          </w:p>
        </w:tc>
        <w:tc>
          <w:tcPr>
            <w:tcW w:w="2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A1CDC" w14:textId="77777777" w:rsidR="00396184" w:rsidRDefault="0010505D">
            <w:pPr>
              <w:spacing w:line="360" w:lineRule="auto"/>
              <w:jc w:val="both"/>
              <w:rPr>
                <w:sz w:val="24"/>
                <w:szCs w:val="24"/>
              </w:rPr>
            </w:pPr>
            <w:r>
              <w:rPr>
                <w:sz w:val="24"/>
                <w:szCs w:val="24"/>
              </w:rPr>
              <w:t>Brand awareness levels; customer retention rate; market share in core FMCG categories</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B22D0B" w14:textId="77777777" w:rsidR="00396184" w:rsidRDefault="0010505D">
            <w:pPr>
              <w:spacing w:line="360" w:lineRule="auto"/>
              <w:jc w:val="both"/>
              <w:rPr>
                <w:sz w:val="24"/>
                <w:szCs w:val="24"/>
              </w:rPr>
            </w:pPr>
            <w:r>
              <w:rPr>
                <w:sz w:val="24"/>
                <w:szCs w:val="24"/>
              </w:rPr>
              <w:t>Customer-based indicators will evaluate Unilever’s ability to establish credibility, ensure product acceptance and secure repeat purchases in a fragmented and informal retail environment</w:t>
            </w:r>
          </w:p>
        </w:tc>
      </w:tr>
      <w:tr w:rsidR="00396184" w14:paraId="6BA46790" w14:textId="77777777">
        <w:trPr>
          <w:trHeight w:val="1580"/>
        </w:trPr>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FF82BB" w14:textId="77777777" w:rsidR="00396184" w:rsidRDefault="0010505D">
            <w:pPr>
              <w:spacing w:line="360" w:lineRule="auto"/>
              <w:jc w:val="both"/>
              <w:rPr>
                <w:sz w:val="24"/>
                <w:szCs w:val="24"/>
              </w:rPr>
            </w:pPr>
            <w:r>
              <w:rPr>
                <w:b/>
                <w:bCs/>
                <w:sz w:val="24"/>
                <w:szCs w:val="24"/>
              </w:rPr>
              <w:t>Internal Business Processes</w:t>
            </w:r>
          </w:p>
        </w:tc>
        <w:tc>
          <w:tcPr>
            <w:tcW w:w="2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470C24" w14:textId="77777777" w:rsidR="00396184" w:rsidRDefault="0010505D">
            <w:pPr>
              <w:spacing w:line="360" w:lineRule="auto"/>
              <w:jc w:val="both"/>
              <w:rPr>
                <w:sz w:val="24"/>
                <w:szCs w:val="24"/>
              </w:rPr>
            </w:pPr>
            <w:r>
              <w:rPr>
                <w:sz w:val="24"/>
                <w:szCs w:val="24"/>
              </w:rPr>
              <w:t>Ensure efficient supply chain and distribution performance</w:t>
            </w:r>
          </w:p>
        </w:tc>
        <w:tc>
          <w:tcPr>
            <w:tcW w:w="2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A96A23" w14:textId="77777777" w:rsidR="00396184" w:rsidRDefault="0010505D">
            <w:pPr>
              <w:spacing w:line="360" w:lineRule="auto"/>
              <w:jc w:val="both"/>
              <w:rPr>
                <w:sz w:val="24"/>
                <w:szCs w:val="24"/>
              </w:rPr>
            </w:pPr>
            <w:r>
              <w:rPr>
                <w:sz w:val="24"/>
                <w:szCs w:val="24"/>
              </w:rPr>
              <w:t>Product availability rate; distribution coverage; supply-chain disruption frequency</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9AF3C" w14:textId="77777777" w:rsidR="00396184" w:rsidRDefault="0010505D">
            <w:pPr>
              <w:spacing w:line="360" w:lineRule="auto"/>
              <w:jc w:val="both"/>
              <w:rPr>
                <w:sz w:val="24"/>
                <w:szCs w:val="24"/>
              </w:rPr>
            </w:pPr>
            <w:r>
              <w:rPr>
                <w:sz w:val="24"/>
                <w:szCs w:val="24"/>
              </w:rPr>
              <w:t>These measures will monitor operational reliability, logistics efficiency and responsiveness to infrastructure limitations within the Syrian market</w:t>
            </w:r>
          </w:p>
        </w:tc>
      </w:tr>
      <w:tr w:rsidR="00396184" w14:paraId="0B97FAF3" w14:textId="77777777">
        <w:trPr>
          <w:trHeight w:val="2120"/>
        </w:trPr>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25E631" w14:textId="77777777" w:rsidR="00396184" w:rsidRDefault="0010505D">
            <w:pPr>
              <w:spacing w:line="360" w:lineRule="auto"/>
              <w:jc w:val="both"/>
              <w:rPr>
                <w:sz w:val="24"/>
                <w:szCs w:val="24"/>
              </w:rPr>
            </w:pPr>
            <w:r>
              <w:rPr>
                <w:b/>
                <w:bCs/>
                <w:sz w:val="24"/>
                <w:szCs w:val="24"/>
              </w:rPr>
              <w:t>Learning and Growth</w:t>
            </w:r>
          </w:p>
        </w:tc>
        <w:tc>
          <w:tcPr>
            <w:tcW w:w="20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CA869" w14:textId="77777777" w:rsidR="00396184" w:rsidRDefault="0010505D">
            <w:pPr>
              <w:spacing w:line="360" w:lineRule="auto"/>
              <w:jc w:val="both"/>
              <w:rPr>
                <w:sz w:val="24"/>
                <w:szCs w:val="24"/>
              </w:rPr>
            </w:pPr>
            <w:r>
              <w:rPr>
                <w:sz w:val="24"/>
                <w:szCs w:val="24"/>
              </w:rPr>
              <w:t>Develop local capabilities and organisational learning</w:t>
            </w:r>
          </w:p>
        </w:tc>
        <w:tc>
          <w:tcPr>
            <w:tcW w:w="2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D5B057" w14:textId="77777777" w:rsidR="00396184" w:rsidRDefault="0010505D">
            <w:pPr>
              <w:spacing w:line="360" w:lineRule="auto"/>
              <w:jc w:val="both"/>
              <w:rPr>
                <w:sz w:val="24"/>
                <w:szCs w:val="24"/>
              </w:rPr>
            </w:pPr>
            <w:r>
              <w:rPr>
                <w:sz w:val="24"/>
                <w:szCs w:val="24"/>
              </w:rPr>
              <w:t>Employee training hours; local talent retention rate; process improvement initiatives</w:t>
            </w:r>
          </w:p>
        </w:tc>
        <w:tc>
          <w:tcPr>
            <w:tcW w:w="34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ADE88" w14:textId="77777777" w:rsidR="00396184" w:rsidRDefault="0010505D">
            <w:pPr>
              <w:spacing w:line="360" w:lineRule="auto"/>
              <w:jc w:val="both"/>
              <w:rPr>
                <w:sz w:val="24"/>
                <w:szCs w:val="24"/>
              </w:rPr>
            </w:pPr>
            <w:r>
              <w:rPr>
                <w:sz w:val="24"/>
                <w:szCs w:val="24"/>
              </w:rPr>
              <w:t>Learning metrics will support long-term sustainability by strengthening human capital, enhancing local market knowledge and enabling continuous operational improvement</w:t>
            </w:r>
          </w:p>
        </w:tc>
      </w:tr>
    </w:tbl>
    <w:p w14:paraId="6082F359" w14:textId="77777777" w:rsidR="00396184" w:rsidRDefault="0010505D">
      <w:pPr>
        <w:spacing w:line="360" w:lineRule="auto"/>
        <w:jc w:val="center"/>
        <w:rPr>
          <w:b/>
          <w:bCs/>
          <w:i/>
          <w:iCs/>
          <w:sz w:val="24"/>
          <w:szCs w:val="24"/>
        </w:rPr>
      </w:pPr>
      <w:r>
        <w:rPr>
          <w:b/>
          <w:bCs/>
          <w:i/>
          <w:iCs/>
          <w:sz w:val="24"/>
          <w:szCs w:val="24"/>
        </w:rPr>
        <w:t>Table 2: Balance score card</w:t>
      </w:r>
    </w:p>
    <w:p w14:paraId="1ABE8A95" w14:textId="77777777" w:rsidR="00396184" w:rsidRDefault="0010505D">
      <w:pPr>
        <w:spacing w:line="360" w:lineRule="auto"/>
        <w:jc w:val="center"/>
        <w:rPr>
          <w:sz w:val="24"/>
          <w:szCs w:val="24"/>
        </w:rPr>
      </w:pPr>
      <w:r>
        <w:rPr>
          <w:sz w:val="24"/>
          <w:szCs w:val="24"/>
        </w:rPr>
        <w:t>(Self-developed)</w:t>
      </w:r>
    </w:p>
    <w:p w14:paraId="1AD7232A" w14:textId="77777777" w:rsidR="00396184" w:rsidRDefault="0010505D">
      <w:pPr>
        <w:spacing w:line="360" w:lineRule="auto"/>
        <w:jc w:val="both"/>
        <w:rPr>
          <w:sz w:val="24"/>
          <w:szCs w:val="24"/>
        </w:rPr>
      </w:pPr>
      <w:r>
        <w:rPr>
          <w:sz w:val="24"/>
          <w:szCs w:val="24"/>
        </w:rPr>
        <w:lastRenderedPageBreak/>
        <w:t>The Balanced Scorecard analysis shows that the Unilever proposal of venturing into Syria will be measured using a broad and balanced performance model. Financial indicators will allow the organisation to track the increase in revenues and cost-efficiency and deal with vulnerability to economic fluctuations and the limited consumer buying power (Liu and Zhang, 2024). Brand acceptance, trust, and market penetration customer-based measures will be evaluated to play a vital role in a fragmented FMCG environment typified by informal and low switching costs (Ali and Müller, 2023). Measures of internal processes will make operational reliability where coverage of distribution, availability of products and stability of supply-chain will be monitored which will have direct impact on the continuity of the services and customer satisfaction. Effective learning and growth indicators will aid long term sustainability in the sense that it will enhance the local capabilities by increasing the organisational learning and eliminating the reliance on the expatriate knowledge (Das et al., 2025). Altogether, the Balanced Scorecard is going to help Unilever to match strategic goals and the measurable results and enables continuous control and consistent strategic changes. This combination will also make sure that the short-term performance goals do not compromise the sustainability of the competitive position and organisational stability in the Syrian market over the long term.</w:t>
      </w:r>
    </w:p>
    <w:p w14:paraId="4A6CBC1A" w14:textId="77777777" w:rsidR="00396184" w:rsidRDefault="0010505D">
      <w:pPr>
        <w:pStyle w:val="Heading2"/>
        <w:rPr>
          <w:rFonts w:ascii="Arial" w:eastAsia="Arial" w:hAnsi="Arial" w:cs="Arial"/>
        </w:rPr>
      </w:pPr>
      <w:bookmarkStart w:id="16" w:name="_8ttidlxfsp84" w:colFirst="0" w:colLast="0"/>
      <w:bookmarkEnd w:id="16"/>
      <w:r>
        <w:rPr>
          <w:rFonts w:ascii="Arial" w:eastAsia="Arial" w:hAnsi="Arial" w:cs="Arial"/>
        </w:rPr>
        <w:lastRenderedPageBreak/>
        <w:t>5.2 Triple Bottom Line</w:t>
      </w:r>
    </w:p>
    <w:p w14:paraId="487913FA" w14:textId="77777777" w:rsidR="00396184" w:rsidRDefault="0010505D">
      <w:pPr>
        <w:spacing w:line="360" w:lineRule="auto"/>
        <w:jc w:val="center"/>
        <w:rPr>
          <w:sz w:val="24"/>
          <w:szCs w:val="24"/>
        </w:rPr>
      </w:pPr>
      <w:r>
        <w:rPr>
          <w:noProof/>
          <w:sz w:val="24"/>
          <w:szCs w:val="24"/>
        </w:rPr>
        <w:drawing>
          <wp:inline distT="114300" distB="114300" distL="114300" distR="114300" wp14:anchorId="21B6B11B" wp14:editId="78B52EC0">
            <wp:extent cx="4672013" cy="3886200"/>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72013" cy="3886200"/>
                    </a:xfrm>
                    <a:prstGeom prst="rect">
                      <a:avLst/>
                    </a:prstGeom>
                    <a:ln w="12700">
                      <a:solidFill>
                        <a:srgbClr val="000000"/>
                      </a:solidFill>
                      <a:prstDash val="solid"/>
                    </a:ln>
                  </pic:spPr>
                </pic:pic>
              </a:graphicData>
            </a:graphic>
          </wp:inline>
        </w:drawing>
      </w:r>
    </w:p>
    <w:p w14:paraId="68003230" w14:textId="77777777" w:rsidR="00396184" w:rsidRDefault="0010505D">
      <w:pPr>
        <w:spacing w:line="360" w:lineRule="auto"/>
        <w:jc w:val="center"/>
        <w:rPr>
          <w:b/>
          <w:bCs/>
          <w:i/>
          <w:iCs/>
          <w:sz w:val="24"/>
          <w:szCs w:val="24"/>
        </w:rPr>
      </w:pPr>
      <w:r>
        <w:rPr>
          <w:b/>
          <w:bCs/>
          <w:i/>
          <w:iCs/>
          <w:sz w:val="24"/>
          <w:szCs w:val="24"/>
        </w:rPr>
        <w:t>Figure 4: TBL framework of Unilever for Syria expansion</w:t>
      </w:r>
    </w:p>
    <w:p w14:paraId="6A924981" w14:textId="77777777" w:rsidR="00396184" w:rsidRDefault="0010505D">
      <w:pPr>
        <w:spacing w:line="360" w:lineRule="auto"/>
        <w:jc w:val="center"/>
        <w:rPr>
          <w:sz w:val="24"/>
          <w:szCs w:val="24"/>
        </w:rPr>
      </w:pPr>
      <w:r>
        <w:rPr>
          <w:sz w:val="24"/>
          <w:szCs w:val="24"/>
        </w:rPr>
        <w:t>(Self-developed)</w:t>
      </w:r>
    </w:p>
    <w:p w14:paraId="091AD38D" w14:textId="77777777" w:rsidR="00396184" w:rsidRDefault="0010505D">
      <w:pPr>
        <w:spacing w:line="360" w:lineRule="auto"/>
        <w:jc w:val="both"/>
        <w:rPr>
          <w:sz w:val="24"/>
          <w:szCs w:val="24"/>
        </w:rPr>
      </w:pPr>
      <w:r>
        <w:rPr>
          <w:sz w:val="24"/>
          <w:szCs w:val="24"/>
        </w:rPr>
        <w:t>The Triple Bottom Line model will also offer a critical perspective whereby the proposed expansion by Unilever into Syria can be assessed as not only financial but also economical, social and environmental in the context (Sheykhan et al., 2024). Economically, the growth will focus on long term value creation and not on short term profitability. With the limited purchasing power of Syria, short-term financial benefits will be low; however, Unilever will focus on pursuing volume-based growth by providing low-cost essential products, hence acquiring early market share and potential revenue in the future (Effect of Product Standardization on Performance of Multinational Corporations, 2025). Although the strategy will enhance market strength and stability, it will also create pressure on margins so that the issue of financial sustainability is raised in case macroeconomic recovery is slow. In turn, the close cost control and gradual investment will be a crucial challenge to remain economical.</w:t>
      </w:r>
    </w:p>
    <w:p w14:paraId="65327B19" w14:textId="77777777" w:rsidR="00396184" w:rsidRDefault="0010505D">
      <w:pPr>
        <w:spacing w:line="360" w:lineRule="auto"/>
        <w:jc w:val="both"/>
        <w:rPr>
          <w:sz w:val="24"/>
          <w:szCs w:val="24"/>
        </w:rPr>
      </w:pPr>
      <w:r>
        <w:rPr>
          <w:sz w:val="24"/>
          <w:szCs w:val="24"/>
        </w:rPr>
        <w:lastRenderedPageBreak/>
        <w:t>In social terms, the venture by Unilever will also create significant social good in the society because the company will enhance the accessibility of hygiene, food and home care products in what is otherwise a poorly served market. Local collaborations and skills enhancement in provision of employment opportunities will have a positive impact on social stability and human capital building. Nonetheless, one of the crucial issues will be to make sure that corporate social responsibility projects are not symbolic or reputation-based (Binu Raj, N. and A.K., 2022). Unilever will have to ensure that its social programmes are consistent with real needs in the community without dependence or distortion of the market in a weak socio-political context. Lack of balancing this might have drawn ethical criticism or scepticism by the stakeholders.</w:t>
      </w:r>
    </w:p>
    <w:p w14:paraId="5CA954BB" w14:textId="77777777" w:rsidR="00396184" w:rsidRDefault="0010505D">
      <w:pPr>
        <w:spacing w:line="360" w:lineRule="auto"/>
        <w:jc w:val="both"/>
        <w:rPr>
          <w:sz w:val="24"/>
          <w:szCs w:val="24"/>
        </w:rPr>
      </w:pPr>
      <w:r>
        <w:rPr>
          <w:sz w:val="24"/>
          <w:szCs w:val="24"/>
        </w:rPr>
        <w:t>From an environmental perspective, the sustainability commitments of Unilever will have a daunting implementation process. Efforts towards environmental conservation will be limited by the weak waste-management systems, scarcity of water and recycling infrastructure (Roy et al., 2024). Although sustainable packaging and use of water-friendly processes will be beneficial on environmental stewardship and brand legitimacy, their influence may be minor unless they are supported by broader institutional policy. In addition, the other activities of production and distribution are likely to create more environmental pressures to the environment unless properly controlled. In general, the analysis of the Triple Bottom Line shows that there are certain trade-offs between economic viability and social responsibility and environmental responsibility. In the case of Unilever, sustainability, to be achieved over the long-term in Syria, will be governed by its capacity to incorporate sustainability within its main operations and not as a so-called add-on strategy (Unilever Plc, 2025).</w:t>
      </w:r>
    </w:p>
    <w:p w14:paraId="6724844A" w14:textId="77777777" w:rsidR="00396184" w:rsidRDefault="0010505D">
      <w:pPr>
        <w:pStyle w:val="Heading1"/>
        <w:rPr>
          <w:rFonts w:ascii="Arial" w:eastAsia="Arial" w:hAnsi="Arial" w:cs="Arial"/>
        </w:rPr>
      </w:pPr>
      <w:bookmarkStart w:id="17" w:name="_c34eu4rgylrr" w:colFirst="0" w:colLast="0"/>
      <w:bookmarkEnd w:id="17"/>
      <w:r>
        <w:rPr>
          <w:rFonts w:ascii="Arial" w:eastAsia="Arial" w:hAnsi="Arial" w:cs="Arial"/>
        </w:rPr>
        <w:t>6. Strategic recommendations</w:t>
      </w:r>
    </w:p>
    <w:p w14:paraId="7EF3FC78" w14:textId="77777777" w:rsidR="00396184" w:rsidRDefault="0010505D">
      <w:pPr>
        <w:spacing w:line="360" w:lineRule="auto"/>
        <w:jc w:val="both"/>
        <w:rPr>
          <w:sz w:val="24"/>
          <w:szCs w:val="24"/>
        </w:rPr>
      </w:pPr>
      <w:r>
        <w:rPr>
          <w:sz w:val="24"/>
          <w:szCs w:val="24"/>
        </w:rPr>
        <w:t>The proposed expansion in Syria by Unilever would necessitate a series of well thought strategies to make the venture strategically viable and in every case keep in mind the limitations inherent in a weak and risk environment in which the business will be operating (for, 2025).</w:t>
      </w:r>
    </w:p>
    <w:p w14:paraId="712995E1" w14:textId="77777777" w:rsidR="00396184" w:rsidRDefault="0010505D">
      <w:pPr>
        <w:spacing w:line="360" w:lineRule="auto"/>
        <w:jc w:val="both"/>
        <w:rPr>
          <w:sz w:val="24"/>
          <w:szCs w:val="24"/>
        </w:rPr>
      </w:pPr>
      <w:r>
        <w:rPr>
          <w:sz w:val="24"/>
          <w:szCs w:val="24"/>
        </w:rPr>
        <w:t xml:space="preserve">To begin with, Unilever must consider a slow market entry and investment approach. Primarily, the first operations must initially be used to test the market responsiveness using the basic product categories like hygiene and basic home care as they would </w:t>
      </w:r>
      <w:r>
        <w:rPr>
          <w:sz w:val="24"/>
          <w:szCs w:val="24"/>
        </w:rPr>
        <w:lastRenderedPageBreak/>
        <w:t>reduce the financial risks. This strategy will allow the gradual process of learning and adjustment but it will limit the growth of revenues in the short term and the time to scale. The weakness is that there are chances of slow growth, which would enable the informal rivals to stabilise their status before Unilever reaches the ultimate market penetration (Laursen and Andersen, 2022).</w:t>
      </w:r>
    </w:p>
    <w:p w14:paraId="6367D68B" w14:textId="77777777" w:rsidR="00396184" w:rsidRDefault="0010505D">
      <w:pPr>
        <w:spacing w:line="360" w:lineRule="auto"/>
        <w:jc w:val="both"/>
        <w:rPr>
          <w:sz w:val="24"/>
          <w:szCs w:val="24"/>
        </w:rPr>
      </w:pPr>
      <w:r>
        <w:rPr>
          <w:sz w:val="24"/>
          <w:szCs w:val="24"/>
        </w:rPr>
        <w:t>Second, Unilever needs to focus on good local relations in the form of a joint venture to improve distribution penetration and regulatory manoeuvring. Local partners will supply important market rich information, informal sales channel access, and administration knowledge (Pino et al., 2016). However, using local partners can diminish strategic control and cause governance issues especially where the interests of the partners are not in line with Unilever long-term priorities. Strong contractual preventives and performance cheques will thus be mandatory.</w:t>
      </w:r>
    </w:p>
    <w:p w14:paraId="219E6B70" w14:textId="77777777" w:rsidR="00396184" w:rsidRDefault="0010505D">
      <w:pPr>
        <w:spacing w:line="360" w:lineRule="auto"/>
        <w:jc w:val="both"/>
        <w:rPr>
          <w:sz w:val="24"/>
          <w:szCs w:val="24"/>
        </w:rPr>
      </w:pPr>
      <w:r>
        <w:rPr>
          <w:sz w:val="24"/>
          <w:szCs w:val="24"/>
        </w:rPr>
        <w:t>Thirdly, intense pricing should be adopted as it is backed by small-pack formats, which will be made by the company in pursuit of low consumer purchasing power. Such an approach will ease affordability and volume demand, but it will also squeeze the profit margins and make the processes of packaging and logistics more complex. The cost discipline will be a long-lasting struggle, particularly in times of inflationary pressures and in times of disruption in supply-chains (Al-amin et al., 2025).</w:t>
      </w:r>
    </w:p>
    <w:p w14:paraId="558C7277" w14:textId="77777777" w:rsidR="00396184" w:rsidRDefault="0010505D">
      <w:pPr>
        <w:spacing w:line="360" w:lineRule="auto"/>
        <w:jc w:val="both"/>
        <w:rPr>
          <w:sz w:val="24"/>
          <w:szCs w:val="24"/>
        </w:rPr>
      </w:pPr>
      <w:r>
        <w:rPr>
          <w:sz w:val="24"/>
          <w:szCs w:val="24"/>
        </w:rPr>
        <w:t>Last but not least, to facilitate sustainability and social responsibility, Unilever needs to incorporate these activities in the system through the support of hygiene consciousness, water- and package-saving. As much as these efforts will enhance legitimacy and brand trust, it is the inability of public infrastructure and limited environmental regulation that will limit such efforts. The lack of systemic support can make sustainability results small, and Unilever will have to control the expectations of the stakeholders (Hu and Zeng, 2024). All four of these strategic suggestions focus on prudent expansion, domestic sensitivity and capability development. Although each proposal has obvious drawbacks, their integration will help Unilever to better deal with risk, gain legitimacy and establish a sustainable competitive advantage in the Syrian market (Miklian and Katsos, 2024).</w:t>
      </w:r>
    </w:p>
    <w:p w14:paraId="081023B7" w14:textId="77777777" w:rsidR="00396184" w:rsidRDefault="0010505D">
      <w:pPr>
        <w:pStyle w:val="Heading1"/>
        <w:rPr>
          <w:rFonts w:ascii="Arial" w:eastAsia="Arial" w:hAnsi="Arial" w:cs="Arial"/>
        </w:rPr>
      </w:pPr>
      <w:bookmarkStart w:id="18" w:name="_mnke0ghnmbau" w:colFirst="0" w:colLast="0"/>
      <w:bookmarkEnd w:id="18"/>
      <w:r>
        <w:rPr>
          <w:rFonts w:ascii="Arial" w:eastAsia="Arial" w:hAnsi="Arial" w:cs="Arial"/>
        </w:rPr>
        <w:t>7. Conclusion</w:t>
      </w:r>
    </w:p>
    <w:p w14:paraId="6E36C6D8" w14:textId="77777777" w:rsidR="00396184" w:rsidRDefault="0010505D">
      <w:pPr>
        <w:spacing w:line="360" w:lineRule="auto"/>
        <w:jc w:val="both"/>
        <w:rPr>
          <w:sz w:val="24"/>
          <w:szCs w:val="24"/>
        </w:rPr>
      </w:pPr>
      <w:r>
        <w:rPr>
          <w:sz w:val="24"/>
          <w:szCs w:val="24"/>
        </w:rPr>
        <w:t xml:space="preserve">The analytical report has formulated a detailed organisational expansion plan upon proposed entry to the Syrian market by Unilever using sophisticated strategic </w:t>
      </w:r>
      <w:r>
        <w:rPr>
          <w:sz w:val="24"/>
          <w:szCs w:val="24"/>
        </w:rPr>
        <w:lastRenderedPageBreak/>
        <w:t>management models to determine feasibility of the venture, risk and potential of investments. Using a methodical evaluation of the macro-environment, industry structure and internal competency, the analysis has confirmed that Syria presents as a high risk, but a strategically compelling growth opportunity, especially in key segments of fast-moving consumer goods that are necessities. The Five Forces and PESTLE analyses have shown huge political and economic restrictions, besides demonstrating unmet consumer demand and small multinational rivalry.</w:t>
      </w:r>
    </w:p>
    <w:p w14:paraId="4677427B" w14:textId="77777777" w:rsidR="00396184" w:rsidRDefault="0010505D">
      <w:pPr>
        <w:spacing w:line="360" w:lineRule="auto"/>
        <w:jc w:val="both"/>
        <w:rPr>
          <w:sz w:val="24"/>
          <w:szCs w:val="24"/>
        </w:rPr>
      </w:pPr>
      <w:r>
        <w:rPr>
          <w:sz w:val="24"/>
          <w:szCs w:val="24"/>
        </w:rPr>
        <w:t>The internal VRIO analysis has established that the brand equity Unilever enjoys, supply chain sophistication and experience in complex markets, will be able to offer sustained competitive advantages that will be able to counter the uncertainties that exist in the environment. Based on these observations, the strategic formulation has validated a market development strategy of the hybrid competitive strategy and transnational international orientation. A joint venture entry mode has also been selected, which has augmented balancing the strategic control and risk-sharing and local responsiveness. The use of performance assessment models such as the Balanced Scorecard and Triple Bottom Line have supported the need to enhance a combination of financial discipline and social responsibility coupled with environmental stewardship.</w:t>
      </w:r>
    </w:p>
    <w:p w14:paraId="683E45D1" w14:textId="77777777" w:rsidR="00396184" w:rsidRDefault="0010505D">
      <w:pPr>
        <w:spacing w:line="360" w:lineRule="auto"/>
        <w:jc w:val="both"/>
        <w:rPr>
          <w:sz w:val="24"/>
          <w:szCs w:val="24"/>
        </w:rPr>
      </w:pPr>
      <w:r>
        <w:rPr>
          <w:sz w:val="24"/>
          <w:szCs w:val="24"/>
        </w:rPr>
        <w:t>In general, the expansion plan acknowledges that the success in Syria will not be quick and safe. Rather, the long-term competitiveness of Unilever will be missioned by gradual investment, agile governance and perpetual learning. The proposed expansion strategy presents a viable, justifiable and sustained route of worldwide expansion of Unilever by balancing its strategic ambition with a realistic strategic approach.</w:t>
      </w:r>
    </w:p>
    <w:p w14:paraId="38095AA9" w14:textId="77777777" w:rsidR="00396184" w:rsidRDefault="0010505D">
      <w:pPr>
        <w:pStyle w:val="Heading1"/>
        <w:rPr>
          <w:rFonts w:ascii="Arial" w:eastAsia="Arial" w:hAnsi="Arial" w:cs="Arial"/>
        </w:rPr>
      </w:pPr>
      <w:bookmarkStart w:id="19" w:name="_ommzp296fncc" w:colFirst="0" w:colLast="0"/>
      <w:bookmarkEnd w:id="19"/>
      <w:r>
        <w:br w:type="page"/>
      </w:r>
    </w:p>
    <w:p w14:paraId="59E7E946" w14:textId="77777777" w:rsidR="00396184" w:rsidRDefault="0010505D">
      <w:pPr>
        <w:pStyle w:val="Heading1"/>
        <w:rPr>
          <w:rFonts w:ascii="Arial" w:eastAsia="Arial" w:hAnsi="Arial" w:cs="Arial"/>
        </w:rPr>
      </w:pPr>
      <w:bookmarkStart w:id="20" w:name="_7jlt12omu7x3" w:colFirst="0" w:colLast="0"/>
      <w:bookmarkEnd w:id="20"/>
      <w:r>
        <w:rPr>
          <w:rFonts w:ascii="Arial" w:eastAsia="Arial" w:hAnsi="Arial" w:cs="Arial"/>
        </w:rPr>
        <w:lastRenderedPageBreak/>
        <w:t>References</w:t>
      </w:r>
    </w:p>
    <w:p w14:paraId="30ED0124" w14:textId="77777777" w:rsidR="00396184" w:rsidRDefault="0010505D">
      <w:pPr>
        <w:spacing w:after="240" w:line="360" w:lineRule="auto"/>
        <w:jc w:val="both"/>
        <w:rPr>
          <w:sz w:val="24"/>
          <w:szCs w:val="24"/>
        </w:rPr>
      </w:pPr>
      <w:r>
        <w:rPr>
          <w:sz w:val="24"/>
          <w:szCs w:val="24"/>
        </w:rPr>
        <w:t xml:space="preserve">Al-amin, Md., Tahir, M., Talukder, A., Mamun, A.A., Hossain, T. and Sultana, N. (2025). Unraveling Global Threads: Pandemic, Geopolitical Conflict, and Resilience in Fashion and Textile Supply Chain. </w:t>
      </w:r>
      <w:r>
        <w:rPr>
          <w:i/>
          <w:iCs/>
          <w:sz w:val="24"/>
          <w:szCs w:val="24"/>
        </w:rPr>
        <w:t>Ekonomi İşletme ve Yönetim Dergisi</w:t>
      </w:r>
      <w:r>
        <w:rPr>
          <w:sz w:val="24"/>
          <w:szCs w:val="24"/>
        </w:rPr>
        <w:t>, [online] 9(1), pp.158–222. doi:https://doi.org/10.7596/jebm.1636662.</w:t>
      </w:r>
    </w:p>
    <w:p w14:paraId="0F518C56" w14:textId="77777777" w:rsidR="00396184" w:rsidRDefault="0010505D">
      <w:pPr>
        <w:spacing w:after="240" w:line="360" w:lineRule="auto"/>
        <w:jc w:val="both"/>
        <w:rPr>
          <w:sz w:val="24"/>
          <w:szCs w:val="24"/>
        </w:rPr>
      </w:pPr>
      <w:r>
        <w:rPr>
          <w:sz w:val="24"/>
          <w:szCs w:val="24"/>
        </w:rPr>
        <w:t xml:space="preserve">Alemayehu Hido, Alemayehu, A., Habtamu Achenef Tesema, Melka, Y., Yang, X., Alemayehu Hido, Alemayehu, A., Habtamu Achenef Tesema, Melka, Y. and Yang, X. (2025). Gum and Resins Production in Ethiopia’s Drylands: A Critical Review of Value Chain, Governance, and Policy Frameworks. </w:t>
      </w:r>
      <w:r>
        <w:rPr>
          <w:i/>
          <w:iCs/>
          <w:sz w:val="24"/>
          <w:szCs w:val="24"/>
        </w:rPr>
        <w:t>International Journal of Forestry Research</w:t>
      </w:r>
      <w:r>
        <w:rPr>
          <w:sz w:val="24"/>
          <w:szCs w:val="24"/>
        </w:rPr>
        <w:t>, 2025(1). doi:https://doi.org/10.1155/ijfr/2120326.</w:t>
      </w:r>
    </w:p>
    <w:p w14:paraId="468172F1" w14:textId="77777777" w:rsidR="00396184" w:rsidRDefault="0010505D">
      <w:pPr>
        <w:spacing w:after="240" w:line="360" w:lineRule="auto"/>
        <w:jc w:val="both"/>
        <w:rPr>
          <w:sz w:val="24"/>
          <w:szCs w:val="24"/>
        </w:rPr>
      </w:pPr>
      <w:r>
        <w:rPr>
          <w:sz w:val="24"/>
          <w:szCs w:val="24"/>
        </w:rPr>
        <w:t xml:space="preserve">Ali, P.W. and Müller, D.A. (2023). Consumer Behavior And Brand Loyalty In The Fast-Moving Consumer Goods (FMCG) Industry. </w:t>
      </w:r>
      <w:r>
        <w:rPr>
          <w:i/>
          <w:iCs/>
          <w:sz w:val="24"/>
          <w:szCs w:val="24"/>
        </w:rPr>
        <w:t>Competitive Research Journal Archive</w:t>
      </w:r>
      <w:r>
        <w:rPr>
          <w:sz w:val="24"/>
          <w:szCs w:val="24"/>
        </w:rPr>
        <w:t>, [online] 1(02), pp.119–129. Available at: https://thecrja.com/index.php/Journal/article/view/12 [Accessed 13 Dec. 2025].</w:t>
      </w:r>
    </w:p>
    <w:p w14:paraId="6F236E20" w14:textId="77777777" w:rsidR="00396184" w:rsidRDefault="0010505D">
      <w:pPr>
        <w:spacing w:after="240" w:line="360" w:lineRule="auto"/>
        <w:jc w:val="both"/>
        <w:rPr>
          <w:sz w:val="24"/>
          <w:szCs w:val="24"/>
        </w:rPr>
      </w:pPr>
      <w:r>
        <w:rPr>
          <w:sz w:val="24"/>
          <w:szCs w:val="24"/>
        </w:rPr>
        <w:t xml:space="preserve">Aliasghar, O. and Rose, E.L. (2023). Adjustment strategies for firms affected by international sanctions. </w:t>
      </w:r>
      <w:r>
        <w:rPr>
          <w:i/>
          <w:iCs/>
          <w:sz w:val="24"/>
          <w:szCs w:val="24"/>
        </w:rPr>
        <w:t>Multinational Business Review</w:t>
      </w:r>
      <w:r>
        <w:rPr>
          <w:sz w:val="24"/>
          <w:szCs w:val="24"/>
        </w:rPr>
        <w:t>, 31(4). doi:https://doi.org/10.1108/mbr-07-2022-0105.</w:t>
      </w:r>
    </w:p>
    <w:p w14:paraId="3D44B504" w14:textId="77777777" w:rsidR="00396184" w:rsidRDefault="0010505D">
      <w:pPr>
        <w:spacing w:after="240" w:line="360" w:lineRule="auto"/>
        <w:jc w:val="both"/>
        <w:rPr>
          <w:sz w:val="24"/>
          <w:szCs w:val="24"/>
        </w:rPr>
      </w:pPr>
      <w:r>
        <w:rPr>
          <w:sz w:val="24"/>
          <w:szCs w:val="24"/>
        </w:rPr>
        <w:t xml:space="preserve">Bateh, D. (2024). </w:t>
      </w:r>
      <w:r>
        <w:rPr>
          <w:i/>
          <w:iCs/>
          <w:sz w:val="24"/>
          <w:szCs w:val="24"/>
        </w:rPr>
        <w:t>Creating Value in International Expansion: Understanding Institutional Constraints and Leveraging Organizational Resources</w:t>
      </w:r>
      <w:r>
        <w:rPr>
          <w:sz w:val="24"/>
          <w:szCs w:val="24"/>
        </w:rPr>
        <w:t>. [online] Preprints.org. doi:https://doi.org/10.20944/preprints202405.0223.v1.</w:t>
      </w:r>
    </w:p>
    <w:p w14:paraId="0FE129CE" w14:textId="77777777" w:rsidR="00396184" w:rsidRDefault="0010505D">
      <w:pPr>
        <w:spacing w:after="240" w:line="360" w:lineRule="auto"/>
        <w:jc w:val="both"/>
        <w:rPr>
          <w:sz w:val="24"/>
          <w:szCs w:val="24"/>
        </w:rPr>
      </w:pPr>
      <w:r>
        <w:rPr>
          <w:sz w:val="24"/>
          <w:szCs w:val="24"/>
        </w:rPr>
        <w:t xml:space="preserve">Binu Raj, A., N., A.J. and A.K., S. (2022). Building corporate reputation through corporate social responsibility: the mediation role of employer branding. </w:t>
      </w:r>
      <w:r>
        <w:rPr>
          <w:i/>
          <w:iCs/>
          <w:sz w:val="24"/>
          <w:szCs w:val="24"/>
        </w:rPr>
        <w:t>International Journal of Social Economics</w:t>
      </w:r>
      <w:r>
        <w:rPr>
          <w:sz w:val="24"/>
          <w:szCs w:val="24"/>
        </w:rPr>
        <w:t>, 49(12). doi:https://doi.org/10.1108/ijse-09-2021-0541.</w:t>
      </w:r>
    </w:p>
    <w:p w14:paraId="4C0D8506" w14:textId="77777777" w:rsidR="00396184" w:rsidRDefault="0010505D">
      <w:pPr>
        <w:spacing w:after="240" w:line="360" w:lineRule="auto"/>
        <w:jc w:val="both"/>
        <w:rPr>
          <w:sz w:val="24"/>
          <w:szCs w:val="24"/>
        </w:rPr>
      </w:pPr>
      <w:r>
        <w:rPr>
          <w:sz w:val="24"/>
          <w:szCs w:val="24"/>
        </w:rPr>
        <w:t xml:space="preserve">Calboli, I. and Ginsburg, J.C. eds., (2020). </w:t>
      </w:r>
      <w:r>
        <w:rPr>
          <w:i/>
          <w:iCs/>
          <w:sz w:val="24"/>
          <w:szCs w:val="24"/>
        </w:rPr>
        <w:t>Comparative Perspectives on Trademark Protection: Convergence and (Remaining) Divergence</w:t>
      </w:r>
      <w:r>
        <w:rPr>
          <w:sz w:val="24"/>
          <w:szCs w:val="24"/>
        </w:rPr>
        <w:t>. [online] Cambridge University Press. Available at: https://www.cambridge.org/core/books/abs/cambridge-handbook-of-</w:t>
      </w:r>
      <w:r>
        <w:rPr>
          <w:sz w:val="24"/>
          <w:szCs w:val="24"/>
        </w:rPr>
        <w:lastRenderedPageBreak/>
        <w:t>international-and-comparative-trademark-law/comparative-perspectives-on-trademark-protection/F92428F19318618919FB6975FA5C3DE5.</w:t>
      </w:r>
    </w:p>
    <w:p w14:paraId="3DB51211" w14:textId="77777777" w:rsidR="00396184" w:rsidRDefault="0010505D">
      <w:pPr>
        <w:spacing w:after="240" w:line="360" w:lineRule="auto"/>
        <w:jc w:val="both"/>
        <w:rPr>
          <w:sz w:val="24"/>
          <w:szCs w:val="24"/>
        </w:rPr>
      </w:pPr>
      <w:r>
        <w:rPr>
          <w:sz w:val="24"/>
          <w:szCs w:val="24"/>
        </w:rPr>
        <w:t xml:space="preserve">Das, S., Pathomphatthaphan, S., Jena, L.K. and Priyadarshini, R.G. (2025). Do employee-organisational outcomes contribute to societal shared values and sustainable business growth? Evidence from the expatriates of India and Thailand. </w:t>
      </w:r>
      <w:r>
        <w:rPr>
          <w:i/>
          <w:iCs/>
          <w:sz w:val="24"/>
          <w:szCs w:val="24"/>
        </w:rPr>
        <w:t>International Journal of Emerging Markets</w:t>
      </w:r>
      <w:r>
        <w:rPr>
          <w:sz w:val="24"/>
          <w:szCs w:val="24"/>
        </w:rPr>
        <w:t>, pp.1–24. doi:https://doi.org/10.1108/ijoem-03-2024-0411.</w:t>
      </w:r>
    </w:p>
    <w:p w14:paraId="6682FCAD" w14:textId="77777777" w:rsidR="00396184" w:rsidRDefault="0010505D">
      <w:pPr>
        <w:spacing w:after="240" w:line="360" w:lineRule="auto"/>
        <w:jc w:val="both"/>
        <w:rPr>
          <w:sz w:val="24"/>
          <w:szCs w:val="24"/>
        </w:rPr>
      </w:pPr>
      <w:r>
        <w:rPr>
          <w:sz w:val="24"/>
          <w:szCs w:val="24"/>
        </w:rPr>
        <w:t xml:space="preserve">DesJardine, M.R., Zhang, M. and Shi, W. (2022). How Shareholders Impact Stakeholder Interests: A Review and Map for Future Research. </w:t>
      </w:r>
      <w:r>
        <w:rPr>
          <w:i/>
          <w:iCs/>
          <w:sz w:val="24"/>
          <w:szCs w:val="24"/>
        </w:rPr>
        <w:t>Journal of Management</w:t>
      </w:r>
      <w:r>
        <w:rPr>
          <w:sz w:val="24"/>
          <w:szCs w:val="24"/>
        </w:rPr>
        <w:t>, 49(1), p.014920632211267. doi:https://doi.org/10.1177/01492063221126707.</w:t>
      </w:r>
    </w:p>
    <w:p w14:paraId="4A246545" w14:textId="77777777" w:rsidR="00396184" w:rsidRDefault="0010505D">
      <w:pPr>
        <w:spacing w:after="240" w:line="360" w:lineRule="auto"/>
        <w:jc w:val="both"/>
        <w:rPr>
          <w:sz w:val="24"/>
          <w:szCs w:val="24"/>
        </w:rPr>
      </w:pPr>
      <w:r>
        <w:rPr>
          <w:sz w:val="24"/>
          <w:szCs w:val="24"/>
        </w:rPr>
        <w:t xml:space="preserve">Effect of Product Standardization on Performance of Multinational Corporations. (2025). </w:t>
      </w:r>
      <w:r>
        <w:rPr>
          <w:i/>
          <w:iCs/>
          <w:sz w:val="24"/>
          <w:szCs w:val="24"/>
        </w:rPr>
        <w:t>Journal of Strategic Management</w:t>
      </w:r>
      <w:r>
        <w:rPr>
          <w:sz w:val="24"/>
          <w:szCs w:val="24"/>
        </w:rPr>
        <w:t>, 9(4). doi:https://doi.org/10.53819/81018102t2530.</w:t>
      </w:r>
    </w:p>
    <w:p w14:paraId="714DDB89" w14:textId="77777777" w:rsidR="00396184" w:rsidRDefault="0010505D">
      <w:pPr>
        <w:spacing w:after="240" w:line="360" w:lineRule="auto"/>
        <w:jc w:val="both"/>
        <w:rPr>
          <w:sz w:val="24"/>
          <w:szCs w:val="24"/>
        </w:rPr>
      </w:pPr>
      <w:r>
        <w:rPr>
          <w:sz w:val="24"/>
          <w:szCs w:val="24"/>
        </w:rPr>
        <w:t xml:space="preserve">Enab Baladi (2025). </w:t>
      </w:r>
      <w:r>
        <w:rPr>
          <w:i/>
          <w:iCs/>
          <w:sz w:val="24"/>
          <w:szCs w:val="24"/>
        </w:rPr>
        <w:t>97 new companies launched in two months, 90% under Syrian leadership - Enab Baladi</w:t>
      </w:r>
      <w:r>
        <w:rPr>
          <w:sz w:val="24"/>
          <w:szCs w:val="24"/>
        </w:rPr>
        <w:t>. [online] Enab Baladi. Available at: https://english.enabbaladi.net/archives/2025/05/97-new-companies-launched-in-two-months-90-under-syrian-leadership/ [Accessed 5 Dec. 2025].</w:t>
      </w:r>
    </w:p>
    <w:p w14:paraId="52EBFDF2" w14:textId="77777777" w:rsidR="00396184" w:rsidRDefault="0010505D">
      <w:pPr>
        <w:spacing w:after="240" w:line="360" w:lineRule="auto"/>
        <w:jc w:val="both"/>
        <w:rPr>
          <w:sz w:val="24"/>
          <w:szCs w:val="24"/>
        </w:rPr>
      </w:pPr>
      <w:r>
        <w:rPr>
          <w:sz w:val="24"/>
          <w:szCs w:val="24"/>
        </w:rPr>
        <w:t xml:space="preserve">for, D. (2025). </w:t>
      </w:r>
      <w:r>
        <w:rPr>
          <w:i/>
          <w:iCs/>
          <w:sz w:val="24"/>
          <w:szCs w:val="24"/>
        </w:rPr>
        <w:t>Doing business in Syria: Syria trade and export guide</w:t>
      </w:r>
      <w:r>
        <w:rPr>
          <w:sz w:val="24"/>
          <w:szCs w:val="24"/>
        </w:rPr>
        <w:t>. [online] GOV.UK. Available at: https://www.gov.uk/government/publications/exporting-to-syria/doing-business-in-syria-syria-trade-and-export-guide.</w:t>
      </w:r>
    </w:p>
    <w:p w14:paraId="427A0B66" w14:textId="77777777" w:rsidR="00396184" w:rsidRPr="00065D7D" w:rsidRDefault="0010505D">
      <w:pPr>
        <w:spacing w:after="240" w:line="360" w:lineRule="auto"/>
        <w:jc w:val="both"/>
        <w:rPr>
          <w:sz w:val="24"/>
          <w:szCs w:val="24"/>
          <w:lang w:val="fr-FR"/>
        </w:rPr>
      </w:pPr>
      <w:r>
        <w:rPr>
          <w:sz w:val="24"/>
          <w:szCs w:val="24"/>
        </w:rPr>
        <w:t xml:space="preserve">Formica, P. (2020). Incubating the Culture of Entrepreneurialism to Get the New Entrepreneurship </w:t>
      </w:r>
      <w:r>
        <w:rPr>
          <w:sz w:val="24"/>
          <w:szCs w:val="24"/>
          <w:vertAlign w:val="superscript"/>
        </w:rPr>
        <w:t>*</w:t>
      </w:r>
      <w:r>
        <w:rPr>
          <w:sz w:val="24"/>
          <w:szCs w:val="24"/>
        </w:rPr>
        <w:t xml:space="preserve">. </w:t>
      </w:r>
      <w:r w:rsidRPr="00065D7D">
        <w:rPr>
          <w:i/>
          <w:iCs/>
          <w:sz w:val="24"/>
          <w:szCs w:val="24"/>
          <w:lang w:val="fr-FR"/>
        </w:rPr>
        <w:t>Econaissance</w:t>
      </w:r>
      <w:r w:rsidRPr="00065D7D">
        <w:rPr>
          <w:sz w:val="24"/>
          <w:szCs w:val="24"/>
          <w:lang w:val="fr-FR"/>
        </w:rPr>
        <w:t>, pp.123–135. doi:https://doi.org/10.1108/978-1-80043-514-820201007.</w:t>
      </w:r>
    </w:p>
    <w:p w14:paraId="5F1423C4" w14:textId="77777777" w:rsidR="00396184" w:rsidRPr="00065D7D" w:rsidRDefault="0010505D">
      <w:pPr>
        <w:spacing w:after="240" w:line="360" w:lineRule="auto"/>
        <w:jc w:val="both"/>
        <w:rPr>
          <w:sz w:val="24"/>
          <w:szCs w:val="24"/>
          <w:lang w:val="fr-FR"/>
        </w:rPr>
      </w:pPr>
      <w:r w:rsidRPr="00065D7D">
        <w:rPr>
          <w:sz w:val="24"/>
          <w:szCs w:val="24"/>
          <w:lang w:val="fr-FR"/>
        </w:rPr>
        <w:t xml:space="preserve">Fuchs, M. (2022). Market Entry Modes. </w:t>
      </w:r>
      <w:r w:rsidRPr="00065D7D">
        <w:rPr>
          <w:i/>
          <w:iCs/>
          <w:sz w:val="24"/>
          <w:szCs w:val="24"/>
          <w:lang w:val="fr-FR"/>
        </w:rPr>
        <w:t>International Management</w:t>
      </w:r>
      <w:r w:rsidRPr="00065D7D">
        <w:rPr>
          <w:sz w:val="24"/>
          <w:szCs w:val="24"/>
          <w:lang w:val="fr-FR"/>
        </w:rPr>
        <w:t>, [online] pp.179–230. doi:https://doi.org/10.1007/978-3-662-65870-3_5.</w:t>
      </w:r>
    </w:p>
    <w:p w14:paraId="22ACFCA2" w14:textId="77777777" w:rsidR="00396184" w:rsidRDefault="0010505D">
      <w:pPr>
        <w:spacing w:after="240" w:line="360" w:lineRule="auto"/>
        <w:jc w:val="both"/>
        <w:rPr>
          <w:sz w:val="24"/>
          <w:szCs w:val="24"/>
        </w:rPr>
      </w:pPr>
      <w:r w:rsidRPr="00065D7D">
        <w:rPr>
          <w:sz w:val="24"/>
          <w:szCs w:val="24"/>
          <w:lang w:val="fr-FR"/>
        </w:rPr>
        <w:t xml:space="preserve">Gutiérrez, L.R., Cabanelas, P., Diéz‐Martín, F. and Blanco‐González, A. (2023). </w:t>
      </w:r>
      <w:r>
        <w:rPr>
          <w:sz w:val="24"/>
          <w:szCs w:val="24"/>
        </w:rPr>
        <w:t xml:space="preserve">How can companies boost legitimacy in international markets? A dynamic marketing capabilities </w:t>
      </w:r>
      <w:r>
        <w:rPr>
          <w:sz w:val="24"/>
          <w:szCs w:val="24"/>
        </w:rPr>
        <w:lastRenderedPageBreak/>
        <w:t xml:space="preserve">approach. </w:t>
      </w:r>
      <w:r>
        <w:rPr>
          <w:i/>
          <w:iCs/>
          <w:sz w:val="24"/>
          <w:szCs w:val="24"/>
        </w:rPr>
        <w:t>International Marketing Review</w:t>
      </w:r>
      <w:r>
        <w:rPr>
          <w:sz w:val="24"/>
          <w:szCs w:val="24"/>
        </w:rPr>
        <w:t>, 41(1). doi:https://doi.org/10.1108/imr-09-2022-0215.</w:t>
      </w:r>
    </w:p>
    <w:p w14:paraId="616491F1" w14:textId="77777777" w:rsidR="00396184" w:rsidRDefault="0010505D">
      <w:pPr>
        <w:spacing w:after="240" w:line="360" w:lineRule="auto"/>
        <w:jc w:val="both"/>
        <w:rPr>
          <w:sz w:val="24"/>
          <w:szCs w:val="24"/>
        </w:rPr>
      </w:pPr>
      <w:r>
        <w:rPr>
          <w:sz w:val="24"/>
          <w:szCs w:val="24"/>
        </w:rPr>
        <w:t xml:space="preserve">Hu, Y. and Zeng, Y. (2024). Achieving Sustainable Operations: Challenges, Countermeasures, and the Case of Unilever. </w:t>
      </w:r>
      <w:r>
        <w:rPr>
          <w:i/>
          <w:iCs/>
          <w:sz w:val="24"/>
          <w:szCs w:val="24"/>
        </w:rPr>
        <w:t>SHS Web of Conferences</w:t>
      </w:r>
      <w:r>
        <w:rPr>
          <w:sz w:val="24"/>
          <w:szCs w:val="24"/>
        </w:rPr>
        <w:t>, 181(2), p.01036.</w:t>
      </w:r>
    </w:p>
    <w:p w14:paraId="6A3FA224" w14:textId="77777777" w:rsidR="00396184" w:rsidRDefault="0010505D">
      <w:pPr>
        <w:spacing w:after="240" w:line="360" w:lineRule="auto"/>
        <w:jc w:val="both"/>
        <w:rPr>
          <w:sz w:val="24"/>
          <w:szCs w:val="24"/>
        </w:rPr>
      </w:pPr>
      <w:r>
        <w:rPr>
          <w:sz w:val="24"/>
          <w:szCs w:val="24"/>
        </w:rPr>
        <w:t xml:space="preserve">Hul (2024). </w:t>
      </w:r>
      <w:r>
        <w:rPr>
          <w:i/>
          <w:iCs/>
          <w:sz w:val="24"/>
          <w:szCs w:val="24"/>
        </w:rPr>
        <w:t>Purpose-led, future-fit</w:t>
      </w:r>
      <w:r>
        <w:rPr>
          <w:sz w:val="24"/>
          <w:szCs w:val="24"/>
        </w:rPr>
        <w:t>. [online] Available at: https://www.hul.co.in/files/92ui5egz/production/6db74c8a130203739f681c242476b30c5101c253.pdf.</w:t>
      </w:r>
    </w:p>
    <w:p w14:paraId="263C25E2" w14:textId="77777777" w:rsidR="00396184" w:rsidRDefault="0010505D">
      <w:pPr>
        <w:spacing w:after="240" w:line="360" w:lineRule="auto"/>
        <w:jc w:val="both"/>
        <w:rPr>
          <w:sz w:val="24"/>
          <w:szCs w:val="24"/>
        </w:rPr>
      </w:pPr>
      <w:r w:rsidRPr="00065D7D">
        <w:rPr>
          <w:sz w:val="24"/>
          <w:szCs w:val="24"/>
          <w:lang w:val="de-DE"/>
        </w:rPr>
        <w:t xml:space="preserve">Laursen, L.N. and Andersen, P.H. (2022). </w:t>
      </w:r>
      <w:r>
        <w:rPr>
          <w:sz w:val="24"/>
          <w:szCs w:val="24"/>
        </w:rPr>
        <w:t xml:space="preserve">Navigating a Typology of Corporate Entrepreneurial Strategies: The Case of Unilever. </w:t>
      </w:r>
      <w:r>
        <w:rPr>
          <w:i/>
          <w:iCs/>
          <w:sz w:val="24"/>
          <w:szCs w:val="24"/>
        </w:rPr>
        <w:t>Corporate Underground</w:t>
      </w:r>
      <w:r>
        <w:rPr>
          <w:sz w:val="24"/>
          <w:szCs w:val="24"/>
        </w:rPr>
        <w:t>, 1(2), pp.135–165. doi:https://doi.org/10.1142/9781800612266_0005.</w:t>
      </w:r>
    </w:p>
    <w:p w14:paraId="6C860AAB" w14:textId="77777777" w:rsidR="00396184" w:rsidRDefault="0010505D">
      <w:pPr>
        <w:spacing w:after="240" w:line="360" w:lineRule="auto"/>
        <w:jc w:val="both"/>
        <w:rPr>
          <w:sz w:val="24"/>
          <w:szCs w:val="24"/>
        </w:rPr>
      </w:pPr>
      <w:r>
        <w:rPr>
          <w:sz w:val="24"/>
          <w:szCs w:val="24"/>
        </w:rPr>
        <w:t xml:space="preserve">Liu, G. and Zhang, Z. (2024). Improving public service in economic downturns. </w:t>
      </w:r>
      <w:r>
        <w:rPr>
          <w:i/>
          <w:iCs/>
          <w:sz w:val="24"/>
          <w:szCs w:val="24"/>
        </w:rPr>
        <w:t>Handbook Of Public Service Delivery</w:t>
      </w:r>
      <w:r>
        <w:rPr>
          <w:sz w:val="24"/>
          <w:szCs w:val="24"/>
        </w:rPr>
        <w:t>, [online] pp.340–358. doi:https://doi.org/10.4337/9781035315314.00029.</w:t>
      </w:r>
    </w:p>
    <w:p w14:paraId="6D542B78" w14:textId="77777777" w:rsidR="00396184" w:rsidRDefault="0010505D">
      <w:pPr>
        <w:spacing w:after="240" w:line="360" w:lineRule="auto"/>
        <w:jc w:val="both"/>
        <w:rPr>
          <w:sz w:val="24"/>
          <w:szCs w:val="24"/>
        </w:rPr>
      </w:pPr>
      <w:r>
        <w:rPr>
          <w:sz w:val="24"/>
          <w:szCs w:val="24"/>
        </w:rPr>
        <w:t xml:space="preserve">Miklian, J. and Katsos, J.E. (2024). </w:t>
      </w:r>
      <w:r>
        <w:rPr>
          <w:i/>
          <w:iCs/>
          <w:sz w:val="24"/>
          <w:szCs w:val="24"/>
        </w:rPr>
        <w:t>Ethical Leadership in Conflict and Crisis</w:t>
      </w:r>
      <w:r>
        <w:rPr>
          <w:sz w:val="24"/>
          <w:szCs w:val="24"/>
        </w:rPr>
        <w:t>. Cambridge University Press. doi:https://doi.org/10.1017/9781009446891.</w:t>
      </w:r>
    </w:p>
    <w:p w14:paraId="5114836B" w14:textId="77777777" w:rsidR="00396184" w:rsidRDefault="0010505D">
      <w:pPr>
        <w:spacing w:after="240" w:line="360" w:lineRule="auto"/>
        <w:jc w:val="both"/>
        <w:rPr>
          <w:sz w:val="24"/>
          <w:szCs w:val="24"/>
        </w:rPr>
      </w:pPr>
      <w:r>
        <w:rPr>
          <w:sz w:val="24"/>
          <w:szCs w:val="24"/>
        </w:rPr>
        <w:t xml:space="preserve">Moshood, M. (2025). Assessing Brand-Driven Supply Chain Customization and Its Role in Enhancing Operational Efficiency and Sustained Market Expansion for Global Enterprises. </w:t>
      </w:r>
      <w:r>
        <w:rPr>
          <w:i/>
          <w:iCs/>
          <w:sz w:val="24"/>
          <w:szCs w:val="24"/>
        </w:rPr>
        <w:t>International Journal of Research Publication and Reviews</w:t>
      </w:r>
      <w:r>
        <w:rPr>
          <w:sz w:val="24"/>
          <w:szCs w:val="24"/>
        </w:rPr>
        <w:t>, 6(8), pp.32–50. doi:https://doi.org/10.55248/gengpi.6.0825.2805.</w:t>
      </w:r>
    </w:p>
    <w:p w14:paraId="1B027E35" w14:textId="77777777" w:rsidR="00396184" w:rsidRDefault="0010505D">
      <w:pPr>
        <w:spacing w:after="240" w:line="360" w:lineRule="auto"/>
        <w:jc w:val="both"/>
        <w:rPr>
          <w:sz w:val="24"/>
          <w:szCs w:val="24"/>
        </w:rPr>
      </w:pPr>
      <w:r>
        <w:rPr>
          <w:sz w:val="24"/>
          <w:szCs w:val="24"/>
        </w:rPr>
        <w:t xml:space="preserve">Obradovits, M. and Philipp Plaickner (2023). Price-Directed Search, Product Differentiation and Competition. </w:t>
      </w:r>
      <w:r>
        <w:rPr>
          <w:i/>
          <w:iCs/>
          <w:sz w:val="24"/>
          <w:szCs w:val="24"/>
        </w:rPr>
        <w:t>Review of Industrial Organization</w:t>
      </w:r>
      <w:r>
        <w:rPr>
          <w:sz w:val="24"/>
          <w:szCs w:val="24"/>
        </w:rPr>
        <w:t>, 63(3), pp.317–348. doi:https://doi.org/10.1007/s11151-023-09916-y.</w:t>
      </w:r>
    </w:p>
    <w:p w14:paraId="49B08507" w14:textId="77777777" w:rsidR="00396184" w:rsidRDefault="0010505D">
      <w:pPr>
        <w:spacing w:after="240" w:line="360" w:lineRule="auto"/>
        <w:jc w:val="both"/>
        <w:rPr>
          <w:sz w:val="24"/>
          <w:szCs w:val="24"/>
        </w:rPr>
      </w:pPr>
      <w:r w:rsidRPr="00065D7D">
        <w:rPr>
          <w:sz w:val="24"/>
          <w:szCs w:val="24"/>
          <w:lang w:val="de-DE"/>
        </w:rPr>
        <w:t xml:space="preserve">Petersen, B. and Benito, Gabriel R.  </w:t>
      </w:r>
      <w:r>
        <w:rPr>
          <w:sz w:val="24"/>
          <w:szCs w:val="24"/>
        </w:rPr>
        <w:t xml:space="preserve">G (2024). Making Switches: Key Strategic Decisions When Moving From a Local, Independent Operator to a Wholly Owned Subsidiary. </w:t>
      </w:r>
      <w:r>
        <w:rPr>
          <w:i/>
          <w:iCs/>
          <w:sz w:val="24"/>
          <w:szCs w:val="24"/>
        </w:rPr>
        <w:t>Thunderbird International Business Review</w:t>
      </w:r>
      <w:r>
        <w:rPr>
          <w:sz w:val="24"/>
          <w:szCs w:val="24"/>
        </w:rPr>
        <w:t>, 66(6). doi:https://doi.org/10.1002/tie.22405.</w:t>
      </w:r>
    </w:p>
    <w:p w14:paraId="13EC4C37" w14:textId="77777777" w:rsidR="00396184" w:rsidRDefault="0010505D">
      <w:pPr>
        <w:spacing w:after="240" w:line="360" w:lineRule="auto"/>
        <w:jc w:val="both"/>
        <w:rPr>
          <w:sz w:val="24"/>
          <w:szCs w:val="24"/>
        </w:rPr>
      </w:pPr>
      <w:r>
        <w:rPr>
          <w:sz w:val="24"/>
          <w:szCs w:val="24"/>
        </w:rPr>
        <w:lastRenderedPageBreak/>
        <w:t xml:space="preserve">Pino, G., Capestro, M., Guido, G., Tomacelli, C. and Abate, M. (2016). Knowledge-intensive services and local development: An empirical analysis of networks, channels and customization processes. </w:t>
      </w:r>
      <w:r>
        <w:rPr>
          <w:i/>
          <w:iCs/>
          <w:sz w:val="24"/>
          <w:szCs w:val="24"/>
        </w:rPr>
        <w:t>Local Economy: The Journal of the Local Economy Policy Unit</w:t>
      </w:r>
      <w:r>
        <w:rPr>
          <w:sz w:val="24"/>
          <w:szCs w:val="24"/>
        </w:rPr>
        <w:t>, 31(3), pp.359–376. doi:https://doi.org/10.1177/0269094216642750.</w:t>
      </w:r>
    </w:p>
    <w:p w14:paraId="6B349852" w14:textId="77777777" w:rsidR="00396184" w:rsidRDefault="0010505D">
      <w:pPr>
        <w:spacing w:after="240" w:line="360" w:lineRule="auto"/>
        <w:jc w:val="both"/>
        <w:rPr>
          <w:sz w:val="24"/>
          <w:szCs w:val="24"/>
        </w:rPr>
      </w:pPr>
      <w:r>
        <w:rPr>
          <w:sz w:val="24"/>
          <w:szCs w:val="24"/>
        </w:rPr>
        <w:t xml:space="preserve">Raynor, B. (2022). The Shadow of sanctions: Reputational risk, Financial reintegration, and the Political Economy of Sanctions Relief. </w:t>
      </w:r>
      <w:r>
        <w:rPr>
          <w:i/>
          <w:iCs/>
          <w:sz w:val="24"/>
          <w:szCs w:val="24"/>
        </w:rPr>
        <w:t>European Journal of International Relations</w:t>
      </w:r>
      <w:r>
        <w:rPr>
          <w:sz w:val="24"/>
          <w:szCs w:val="24"/>
        </w:rPr>
        <w:t>, 28(3), p.135406612211005. doi:https://doi.org/10.1177/13540661221100540.</w:t>
      </w:r>
    </w:p>
    <w:p w14:paraId="5BC4606C" w14:textId="77777777" w:rsidR="00396184" w:rsidRDefault="0010505D">
      <w:pPr>
        <w:spacing w:after="240" w:line="360" w:lineRule="auto"/>
        <w:jc w:val="both"/>
        <w:rPr>
          <w:sz w:val="24"/>
          <w:szCs w:val="24"/>
        </w:rPr>
      </w:pPr>
      <w:r>
        <w:rPr>
          <w:sz w:val="24"/>
          <w:szCs w:val="24"/>
        </w:rPr>
        <w:t xml:space="preserve">Roy, H., Islam, Md.R., Tasnim, N., Roy, B.N. and Islam, Md.S. (2024). Opportunities and Challenges for Establishing Sustainable Waste Management. </w:t>
      </w:r>
      <w:r>
        <w:rPr>
          <w:i/>
          <w:iCs/>
          <w:sz w:val="24"/>
          <w:szCs w:val="24"/>
        </w:rPr>
        <w:t>Trash or Treasure</w:t>
      </w:r>
      <w:r>
        <w:rPr>
          <w:sz w:val="24"/>
          <w:szCs w:val="24"/>
        </w:rPr>
        <w:t>, pp.79–123. doi:https://doi.org/10.1007/978-3-031-55131-4_4.</w:t>
      </w:r>
    </w:p>
    <w:p w14:paraId="17B3F8F6" w14:textId="77777777" w:rsidR="00396184" w:rsidRDefault="0010505D">
      <w:pPr>
        <w:spacing w:after="240" w:line="360" w:lineRule="auto"/>
        <w:jc w:val="both"/>
        <w:rPr>
          <w:sz w:val="24"/>
          <w:szCs w:val="24"/>
        </w:rPr>
      </w:pPr>
      <w:r>
        <w:rPr>
          <w:sz w:val="24"/>
          <w:szCs w:val="24"/>
        </w:rPr>
        <w:t xml:space="preserve">Shaoping, L. (2023). Unilever Global Sourcing and Purchasing Strategies: a Case Study of Trade and Logistics between the EU and UK Post-Brexit. </w:t>
      </w:r>
      <w:r>
        <w:rPr>
          <w:i/>
          <w:iCs/>
          <w:sz w:val="24"/>
          <w:szCs w:val="24"/>
        </w:rPr>
        <w:t>Industrial Engineering and Innovation Management</w:t>
      </w:r>
      <w:r>
        <w:rPr>
          <w:sz w:val="24"/>
          <w:szCs w:val="24"/>
        </w:rPr>
        <w:t>, 6(10), pp.124–131. doi:https://doi.org/10.23977/ieim.2023.061016.</w:t>
      </w:r>
    </w:p>
    <w:p w14:paraId="6E62B428" w14:textId="77777777" w:rsidR="00396184" w:rsidRDefault="0010505D">
      <w:pPr>
        <w:spacing w:after="240" w:line="360" w:lineRule="auto"/>
        <w:jc w:val="both"/>
        <w:rPr>
          <w:sz w:val="24"/>
          <w:szCs w:val="24"/>
        </w:rPr>
      </w:pPr>
      <w:r>
        <w:rPr>
          <w:sz w:val="24"/>
          <w:szCs w:val="24"/>
        </w:rPr>
        <w:t xml:space="preserve">Sheykhan, S., Boozary, P., Tanhaei, H.G., Behzadi, S., Rahmani, F. and Rabiee, M. (2024). Creating a fuzzy DEMATEL-ISM-MICMAC -fuzzy BWM model for the organization’s sustainable competitive advantage, incorporating green marketing, social responsibility, brand equity and green brand image. </w:t>
      </w:r>
      <w:r>
        <w:rPr>
          <w:i/>
          <w:iCs/>
          <w:sz w:val="24"/>
          <w:szCs w:val="24"/>
        </w:rPr>
        <w:t>Sustainable Futures</w:t>
      </w:r>
      <w:r>
        <w:rPr>
          <w:sz w:val="24"/>
          <w:szCs w:val="24"/>
        </w:rPr>
        <w:t>, pp.100280–100280. doi:https://doi.org/10.1016/j.sftr.2024.100280.</w:t>
      </w:r>
    </w:p>
    <w:p w14:paraId="5BA6449C" w14:textId="77777777" w:rsidR="00396184" w:rsidRDefault="0010505D">
      <w:pPr>
        <w:spacing w:after="240" w:line="360" w:lineRule="auto"/>
        <w:jc w:val="both"/>
        <w:rPr>
          <w:sz w:val="24"/>
          <w:szCs w:val="24"/>
        </w:rPr>
      </w:pPr>
      <w:r>
        <w:rPr>
          <w:sz w:val="24"/>
          <w:szCs w:val="24"/>
        </w:rPr>
        <w:t xml:space="preserve">Sonebi, M., Abdalqader, A., Amziane, S., Dvorkin, L., Ghorbel, E., Kenai, S., Khatib, J., Lushnikova, N. and Perrot, A. (2022). Trends and opportunities of using local sustainable building materials in the Middle East and North Africa region. </w:t>
      </w:r>
      <w:r>
        <w:rPr>
          <w:i/>
          <w:iCs/>
          <w:sz w:val="24"/>
          <w:szCs w:val="24"/>
        </w:rPr>
        <w:t>RILEM Technical Letters</w:t>
      </w:r>
      <w:r>
        <w:rPr>
          <w:sz w:val="24"/>
          <w:szCs w:val="24"/>
        </w:rPr>
        <w:t>, [online] 7, pp.127–138. doi:https://doi.org/10.21809/rilemtechlett.2022.169.</w:t>
      </w:r>
    </w:p>
    <w:p w14:paraId="14A30C09" w14:textId="77777777" w:rsidR="00396184" w:rsidRDefault="0010505D">
      <w:pPr>
        <w:spacing w:after="240" w:line="360" w:lineRule="auto"/>
        <w:jc w:val="both"/>
        <w:rPr>
          <w:sz w:val="24"/>
          <w:szCs w:val="24"/>
        </w:rPr>
      </w:pPr>
      <w:r>
        <w:rPr>
          <w:sz w:val="24"/>
          <w:szCs w:val="24"/>
        </w:rPr>
        <w:t xml:space="preserve">Sun, P., Doh, J.P., Rajwani, T. and Siegel, D. (2021). Navigating cross-border institutional complexity: A review and assessment of multinational nonmarket strategy research. </w:t>
      </w:r>
      <w:r>
        <w:rPr>
          <w:i/>
          <w:iCs/>
          <w:sz w:val="24"/>
          <w:szCs w:val="24"/>
        </w:rPr>
        <w:t>Journal of International Business Studies</w:t>
      </w:r>
      <w:r>
        <w:rPr>
          <w:sz w:val="24"/>
          <w:szCs w:val="24"/>
        </w:rPr>
        <w:t>, 52(9), pp.1818–1853. doi:https://doi.org/10.1057/s41267-021-00438-x.</w:t>
      </w:r>
    </w:p>
    <w:p w14:paraId="4E11764F" w14:textId="77777777" w:rsidR="00396184" w:rsidRDefault="0010505D">
      <w:pPr>
        <w:spacing w:after="240" w:line="360" w:lineRule="auto"/>
        <w:jc w:val="both"/>
        <w:rPr>
          <w:sz w:val="24"/>
          <w:szCs w:val="24"/>
        </w:rPr>
      </w:pPr>
      <w:r>
        <w:rPr>
          <w:sz w:val="24"/>
          <w:szCs w:val="24"/>
        </w:rPr>
        <w:lastRenderedPageBreak/>
        <w:t xml:space="preserve">Trading Economics (2025). </w:t>
      </w:r>
      <w:r>
        <w:rPr>
          <w:i/>
          <w:iCs/>
          <w:sz w:val="24"/>
          <w:szCs w:val="24"/>
        </w:rPr>
        <w:t>Syria GDP Annual Growth Rate | 1971-2017 Data | 2019-2020 Forecast | Historical</w:t>
      </w:r>
      <w:r>
        <w:rPr>
          <w:sz w:val="24"/>
          <w:szCs w:val="24"/>
        </w:rPr>
        <w:t>. [online] tradingeconomics.com. Available at: https://tradingeconomics.com/syria/gdp-growth-annual [Accessed 13 Dec. 2025].</w:t>
      </w:r>
    </w:p>
    <w:p w14:paraId="0EF481A7" w14:textId="77777777" w:rsidR="00396184" w:rsidRDefault="0010505D">
      <w:pPr>
        <w:spacing w:after="240" w:line="360" w:lineRule="auto"/>
        <w:jc w:val="both"/>
        <w:rPr>
          <w:sz w:val="24"/>
          <w:szCs w:val="24"/>
        </w:rPr>
      </w:pPr>
      <w:r>
        <w:rPr>
          <w:sz w:val="24"/>
          <w:szCs w:val="24"/>
        </w:rPr>
        <w:t xml:space="preserve">Tsey, S.K., Boachie-Mensah, F. and Agyapong, G. (2023). </w:t>
      </w:r>
      <w:r>
        <w:rPr>
          <w:i/>
          <w:iCs/>
          <w:sz w:val="24"/>
          <w:szCs w:val="24"/>
        </w:rPr>
        <w:t>Distribution Channel Strategies and Customer Choice in the Fast-Moving Consumer Goods Industry: A Case Study in the Upper East Region, Ghana</w:t>
      </w:r>
      <w:r>
        <w:rPr>
          <w:sz w:val="24"/>
          <w:szCs w:val="24"/>
        </w:rPr>
        <w:t>. [online] pub.h-brs.de. doi:https://doi.org/10.18418/978-3-96043-104-6_42.</w:t>
      </w:r>
    </w:p>
    <w:p w14:paraId="551EAC0C" w14:textId="77777777" w:rsidR="00396184" w:rsidRDefault="0010505D">
      <w:pPr>
        <w:spacing w:after="240" w:line="360" w:lineRule="auto"/>
        <w:jc w:val="both"/>
        <w:rPr>
          <w:sz w:val="24"/>
          <w:szCs w:val="24"/>
        </w:rPr>
      </w:pPr>
      <w:r>
        <w:rPr>
          <w:sz w:val="24"/>
          <w:szCs w:val="24"/>
        </w:rPr>
        <w:t xml:space="preserve">UN News (2025). </w:t>
      </w:r>
      <w:r>
        <w:rPr>
          <w:i/>
          <w:iCs/>
          <w:sz w:val="24"/>
          <w:szCs w:val="24"/>
        </w:rPr>
        <w:t>Sanctions relief for Syria offers ‘powerful message of hope,’ says UN migration agency</w:t>
      </w:r>
      <w:r>
        <w:rPr>
          <w:sz w:val="24"/>
          <w:szCs w:val="24"/>
        </w:rPr>
        <w:t>. [online] UN News. Available at: https://news.un.org/en/story/2025/05/1163736 [Accessed 5 Dec. 2025].</w:t>
      </w:r>
    </w:p>
    <w:p w14:paraId="14BB3409" w14:textId="77777777" w:rsidR="00396184" w:rsidRDefault="0010505D">
      <w:pPr>
        <w:spacing w:after="240" w:line="360" w:lineRule="auto"/>
        <w:jc w:val="both"/>
        <w:rPr>
          <w:sz w:val="24"/>
          <w:szCs w:val="24"/>
        </w:rPr>
      </w:pPr>
      <w:r>
        <w:rPr>
          <w:sz w:val="24"/>
          <w:szCs w:val="24"/>
        </w:rPr>
        <w:t xml:space="preserve">Unilever (2025a). </w:t>
      </w:r>
      <w:r>
        <w:rPr>
          <w:i/>
          <w:iCs/>
          <w:sz w:val="24"/>
          <w:szCs w:val="24"/>
        </w:rPr>
        <w:t>Leading in the next era of corporate sustainability</w:t>
      </w:r>
      <w:r>
        <w:rPr>
          <w:sz w:val="24"/>
          <w:szCs w:val="24"/>
        </w:rPr>
        <w:t>. [online] Unilever. Available at: https://www.unilever.com/sustainability/ [Accessed 5 Dec. 2025].</w:t>
      </w:r>
    </w:p>
    <w:p w14:paraId="6CC7F16B" w14:textId="77777777" w:rsidR="00396184" w:rsidRDefault="0010505D">
      <w:pPr>
        <w:spacing w:after="240" w:line="360" w:lineRule="auto"/>
        <w:jc w:val="both"/>
        <w:rPr>
          <w:sz w:val="24"/>
          <w:szCs w:val="24"/>
        </w:rPr>
      </w:pPr>
      <w:r>
        <w:rPr>
          <w:sz w:val="24"/>
          <w:szCs w:val="24"/>
        </w:rPr>
        <w:t xml:space="preserve">Unilever (2025b). </w:t>
      </w:r>
      <w:r>
        <w:rPr>
          <w:i/>
          <w:iCs/>
          <w:sz w:val="24"/>
          <w:szCs w:val="24"/>
        </w:rPr>
        <w:t>Unilever at a Glance</w:t>
      </w:r>
      <w:r>
        <w:rPr>
          <w:sz w:val="24"/>
          <w:szCs w:val="24"/>
        </w:rPr>
        <w:t>. [online] Unilever. Available at: https://www.unilever.com/our-company/at-a-glance/ [Accessed 5 Dec. 2025].</w:t>
      </w:r>
    </w:p>
    <w:p w14:paraId="4D857FE5" w14:textId="77777777" w:rsidR="00396184" w:rsidRDefault="0010505D">
      <w:pPr>
        <w:spacing w:after="240" w:line="360" w:lineRule="auto"/>
        <w:jc w:val="both"/>
        <w:rPr>
          <w:sz w:val="24"/>
          <w:szCs w:val="24"/>
        </w:rPr>
      </w:pPr>
      <w:r>
        <w:rPr>
          <w:sz w:val="24"/>
          <w:szCs w:val="24"/>
        </w:rPr>
        <w:t xml:space="preserve">Unilever Plc (2025). </w:t>
      </w:r>
      <w:r>
        <w:rPr>
          <w:i/>
          <w:iCs/>
          <w:sz w:val="24"/>
          <w:szCs w:val="24"/>
        </w:rPr>
        <w:t>Unilever sees early signs of progress on sustainability goals</w:t>
      </w:r>
      <w:r>
        <w:rPr>
          <w:sz w:val="24"/>
          <w:szCs w:val="24"/>
        </w:rPr>
        <w:t>. [online] Unilever. Available at: https://www.unilever.com/news/news-search/2025/unilever-sees-early-signs-of-progress-on-sustainability-goals/.</w:t>
      </w:r>
    </w:p>
    <w:p w14:paraId="15884EEF" w14:textId="77777777" w:rsidR="00396184" w:rsidRDefault="0010505D">
      <w:pPr>
        <w:spacing w:after="240" w:line="360" w:lineRule="auto"/>
        <w:jc w:val="both"/>
        <w:rPr>
          <w:sz w:val="24"/>
          <w:szCs w:val="24"/>
        </w:rPr>
      </w:pPr>
      <w:r>
        <w:rPr>
          <w:sz w:val="24"/>
          <w:szCs w:val="24"/>
        </w:rPr>
        <w:t xml:space="preserve">Wang, F., Wang, M. and Yuan, S. (2021). Spatial Diffusion of E-Commerce in China’s Counties: Based on the Perspective of Regional Inequality. </w:t>
      </w:r>
      <w:r>
        <w:rPr>
          <w:i/>
          <w:iCs/>
          <w:sz w:val="24"/>
          <w:szCs w:val="24"/>
        </w:rPr>
        <w:t>Land</w:t>
      </w:r>
      <w:r>
        <w:rPr>
          <w:sz w:val="24"/>
          <w:szCs w:val="24"/>
        </w:rPr>
        <w:t>, [online] 10(11), p.1141. doi:https://doi.org/10.3390/land10111141.</w:t>
      </w:r>
    </w:p>
    <w:p w14:paraId="2948D907" w14:textId="77777777" w:rsidR="00396184" w:rsidRDefault="0010505D">
      <w:pPr>
        <w:spacing w:after="240" w:line="360" w:lineRule="auto"/>
        <w:jc w:val="both"/>
        <w:rPr>
          <w:sz w:val="24"/>
          <w:szCs w:val="24"/>
        </w:rPr>
      </w:pPr>
      <w:r>
        <w:rPr>
          <w:sz w:val="24"/>
          <w:szCs w:val="24"/>
        </w:rPr>
        <w:t xml:space="preserve">Wardeh, M. and Marques, R.C. (2023). Measuring the SDGs in Refugee Camps: An Insight into Arab States Bordering Syria. </w:t>
      </w:r>
      <w:r>
        <w:rPr>
          <w:i/>
          <w:iCs/>
          <w:sz w:val="24"/>
          <w:szCs w:val="24"/>
        </w:rPr>
        <w:t>Sustainability</w:t>
      </w:r>
      <w:r>
        <w:rPr>
          <w:sz w:val="24"/>
          <w:szCs w:val="24"/>
        </w:rPr>
        <w:t>, 15(2), p.1720. doi:https://doi.org/10.3390/su15021720.</w:t>
      </w:r>
    </w:p>
    <w:sectPr w:rsidR="00396184" w:rsidSect="00610A85">
      <w:footerReference w:type="default" r:id="rId12"/>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B88F0" w14:textId="77777777" w:rsidR="00303447" w:rsidRDefault="00303447">
      <w:pPr>
        <w:spacing w:line="240" w:lineRule="auto"/>
      </w:pPr>
      <w:r>
        <w:separator/>
      </w:r>
    </w:p>
  </w:endnote>
  <w:endnote w:type="continuationSeparator" w:id="0">
    <w:p w14:paraId="5D1567B4" w14:textId="77777777" w:rsidR="00303447" w:rsidRDefault="003034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EBE6C6A-8453-43ED-81A5-9B0827CCDE0C}"/>
  </w:font>
  <w:font w:name="Cambria">
    <w:panose1 w:val="02040503050406030204"/>
    <w:charset w:val="00"/>
    <w:family w:val="roman"/>
    <w:pitch w:val="variable"/>
    <w:sig w:usb0="E00006FF" w:usb1="420024FF" w:usb2="02000000" w:usb3="00000000" w:csb0="0000019F" w:csb1="00000000"/>
    <w:embedRegular r:id="rId2" w:fontKey="{DB601B3F-0895-4096-854F-4A68BB33F4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670DC" w14:textId="77777777" w:rsidR="00396184" w:rsidRDefault="0010505D">
    <w:pPr>
      <w:jc w:val="right"/>
      <w:rPr>
        <w:sz w:val="20"/>
        <w:szCs w:val="20"/>
      </w:rPr>
    </w:pPr>
    <w:r>
      <w:rPr>
        <w:sz w:val="20"/>
        <w:szCs w:val="20"/>
      </w:rPr>
      <w:fldChar w:fldCharType="begin"/>
    </w:r>
    <w:r>
      <w:rPr>
        <w:sz w:val="20"/>
        <w:szCs w:val="20"/>
      </w:rPr>
      <w:instrText>PAGE</w:instrText>
    </w:r>
    <w:r>
      <w:rPr>
        <w:sz w:val="20"/>
        <w:szCs w:val="20"/>
      </w:rPr>
      <w:fldChar w:fldCharType="separate"/>
    </w:r>
    <w:r w:rsidR="00610A85">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13920" w14:textId="77777777" w:rsidR="00303447" w:rsidRDefault="00303447">
      <w:pPr>
        <w:spacing w:line="240" w:lineRule="auto"/>
      </w:pPr>
      <w:r>
        <w:separator/>
      </w:r>
    </w:p>
  </w:footnote>
  <w:footnote w:type="continuationSeparator" w:id="0">
    <w:p w14:paraId="40AEB842" w14:textId="77777777" w:rsidR="00303447" w:rsidRDefault="0030344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184"/>
    <w:rsid w:val="00065D7D"/>
    <w:rsid w:val="0010505D"/>
    <w:rsid w:val="00303447"/>
    <w:rsid w:val="00396184"/>
    <w:rsid w:val="003F2611"/>
    <w:rsid w:val="003F48ED"/>
    <w:rsid w:val="003F7AF7"/>
    <w:rsid w:val="005619F3"/>
    <w:rsid w:val="00610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B159"/>
  <w15:docId w15:val="{630D8F6A-CC53-499B-9F69-F9F9523C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TableGrid">
    <w:name w:val="Table Grid"/>
    <w:basedOn w:val="TableNormal"/>
    <w:uiPriority w:val="39"/>
    <w:rsid w:val="00065D7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04CC4-3412-48B0-9175-6BCCFAC43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6805</Words>
  <Characters>38793</Characters>
  <Application>Microsoft Office Word</Application>
  <DocSecurity>0</DocSecurity>
  <Lines>323</Lines>
  <Paragraphs>91</Paragraphs>
  <ScaleCrop>false</ScaleCrop>
  <Company/>
  <LinksUpToDate>false</LinksUpToDate>
  <CharactersWithSpaces>45507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Kushal Panchal</cp:lastModifiedBy>
  <cp:revision>3</cp:revision>
  <dcterms:created xsi:type="dcterms:W3CDTF">2025-12-22T01:36:00Z</dcterms:created>
  <dcterms:modified xsi:type="dcterms:W3CDTF">2025-12-22T01:39:00Z</dcterms:modified>
</cp:coreProperties>
</file>