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65AF" w:rsidRPr="00E629E7" w:rsidRDefault="00B37B72" w:rsidP="00E629E7">
      <w:pPr>
        <w:pStyle w:val="Title"/>
        <w:rPr>
          <w:b/>
          <w:u w:val="single"/>
        </w:rPr>
      </w:pPr>
      <w:r w:rsidRPr="00E629E7">
        <w:rPr>
          <w:b/>
          <w:u w:val="single"/>
        </w:rPr>
        <w:t xml:space="preserve">Portfolio </w:t>
      </w:r>
      <w:r w:rsidR="00667B60">
        <w:rPr>
          <w:b/>
          <w:u w:val="single"/>
        </w:rPr>
        <w:t xml:space="preserve">Assignment </w:t>
      </w:r>
    </w:p>
    <w:p w:rsidR="004F52D7" w:rsidRPr="00E629E7" w:rsidRDefault="004F52D7" w:rsidP="00E629E7">
      <w:pPr>
        <w:pStyle w:val="Heading1"/>
        <w:rPr>
          <w:b/>
          <w:u w:val="single"/>
        </w:rPr>
      </w:pPr>
      <w:r w:rsidRPr="00E629E7">
        <w:rPr>
          <w:b/>
          <w:u w:val="single"/>
        </w:rPr>
        <w:t xml:space="preserve">1 - </w:t>
      </w:r>
      <w:bookmarkStart w:id="0" w:name="_Hlk536826552"/>
      <w:r w:rsidRPr="00E629E7">
        <w:rPr>
          <w:b/>
          <w:u w:val="single"/>
        </w:rPr>
        <w:t>C. Walker-Bynum, ‘Material Continuity, Personal Survival, and the Resurrection of the Body: A Scholastic Discussion in its Medieval and Modern Contexts,’</w:t>
      </w:r>
      <w:bookmarkEnd w:id="0"/>
    </w:p>
    <w:p w:rsidR="004F52D7" w:rsidRDefault="004F52D7">
      <w:pPr>
        <w:rPr>
          <w:rFonts w:ascii="Times New Roman" w:hAnsi="Times New Roman" w:cs="Times New Roman"/>
          <w:sz w:val="24"/>
        </w:rPr>
      </w:pPr>
    </w:p>
    <w:p w:rsidR="00587524" w:rsidRDefault="00A164D1" w:rsidP="005754F7">
      <w:pPr>
        <w:spacing w:line="360" w:lineRule="auto"/>
        <w:rPr>
          <w:rFonts w:ascii="Times New Roman" w:hAnsi="Times New Roman" w:cs="Times New Roman"/>
          <w:sz w:val="24"/>
        </w:rPr>
      </w:pPr>
      <w:r>
        <w:rPr>
          <w:rFonts w:ascii="Times New Roman" w:hAnsi="Times New Roman" w:cs="Times New Roman"/>
          <w:sz w:val="24"/>
        </w:rPr>
        <w:t>The Caroline Walker Bynum article, ‘</w:t>
      </w:r>
      <w:r w:rsidRPr="00A164D1">
        <w:rPr>
          <w:rFonts w:ascii="Times New Roman" w:hAnsi="Times New Roman" w:cs="Times New Roman"/>
          <w:sz w:val="24"/>
        </w:rPr>
        <w:t>Material Continuity, Personal Survival, and the Resurrection of the Body</w:t>
      </w:r>
      <w:r>
        <w:rPr>
          <w:rStyle w:val="FootnoteReference"/>
          <w:rFonts w:ascii="Times New Roman" w:hAnsi="Times New Roman" w:cs="Times New Roman"/>
          <w:sz w:val="24"/>
        </w:rPr>
        <w:footnoteReference w:id="1"/>
      </w:r>
      <w:r>
        <w:rPr>
          <w:rFonts w:ascii="Times New Roman" w:hAnsi="Times New Roman" w:cs="Times New Roman"/>
          <w:sz w:val="24"/>
        </w:rPr>
        <w:t>’, deals primarily with the ideas, issues and debates surrounding the resurrection of the body when the Last Judgement finally occurs, primarily focusing on the philosophical arguments of the thirteenth century</w:t>
      </w:r>
      <w:r>
        <w:rPr>
          <w:rStyle w:val="FootnoteReference"/>
          <w:rFonts w:ascii="Times New Roman" w:hAnsi="Times New Roman" w:cs="Times New Roman"/>
          <w:sz w:val="24"/>
        </w:rPr>
        <w:footnoteReference w:id="2"/>
      </w:r>
      <w:r>
        <w:rPr>
          <w:rFonts w:ascii="Times New Roman" w:hAnsi="Times New Roman" w:cs="Times New Roman"/>
          <w:sz w:val="24"/>
        </w:rPr>
        <w:t xml:space="preserve">. It is interwoven with a discussion on the relation of medieval philosophical discussion to modern day philosophical arguments and how neither is as different from each other as they would first appear. However, the usefulness and importance of this article in understanding the topic of ‘Death and Dying’ in Medieval times is very debatable. The document itself is highly inaccessible and </w:t>
      </w:r>
      <w:r w:rsidR="00A52D13">
        <w:rPr>
          <w:rFonts w:ascii="Times New Roman" w:hAnsi="Times New Roman" w:cs="Times New Roman"/>
          <w:sz w:val="24"/>
        </w:rPr>
        <w:t xml:space="preserve">any arguments made seem to go nowhere, plus it </w:t>
      </w:r>
      <w:r>
        <w:rPr>
          <w:rFonts w:ascii="Times New Roman" w:hAnsi="Times New Roman" w:cs="Times New Roman"/>
          <w:sz w:val="24"/>
        </w:rPr>
        <w:t xml:space="preserve">features prolonged sections with little to no relevance to the aforementioned topic. However, the article does contain useful, albeit difficult to follow, dialogue on </w:t>
      </w:r>
      <w:r w:rsidR="000F1810">
        <w:rPr>
          <w:rFonts w:ascii="Times New Roman" w:hAnsi="Times New Roman" w:cs="Times New Roman"/>
          <w:sz w:val="24"/>
        </w:rPr>
        <w:t>the precise nature of medieval resurrection arguments and their evolution and relation to wider doctrine.</w:t>
      </w:r>
    </w:p>
    <w:p w:rsidR="000F1810" w:rsidRDefault="000F1810" w:rsidP="005754F7">
      <w:pPr>
        <w:spacing w:line="360" w:lineRule="auto"/>
        <w:rPr>
          <w:rFonts w:ascii="Times New Roman" w:hAnsi="Times New Roman" w:cs="Times New Roman"/>
          <w:sz w:val="24"/>
        </w:rPr>
      </w:pPr>
      <w:r>
        <w:rPr>
          <w:rFonts w:ascii="Times New Roman" w:hAnsi="Times New Roman" w:cs="Times New Roman"/>
          <w:sz w:val="24"/>
        </w:rPr>
        <w:t>To begin, the article is split into a few different sub sections, each concerned with a different element of the debate surrounding the resurrection of the body. Barring the short introduction, the first section, entitled “The Medieval Discussion of Bodily Resurrection</w:t>
      </w:r>
      <w:r w:rsidR="00A52D13">
        <w:rPr>
          <w:rStyle w:val="FootnoteReference"/>
          <w:rFonts w:ascii="Times New Roman" w:hAnsi="Times New Roman" w:cs="Times New Roman"/>
          <w:sz w:val="24"/>
        </w:rPr>
        <w:footnoteReference w:id="3"/>
      </w:r>
      <w:r w:rsidR="00A52D13">
        <w:rPr>
          <w:rFonts w:ascii="Times New Roman" w:hAnsi="Times New Roman" w:cs="Times New Roman"/>
          <w:sz w:val="24"/>
        </w:rPr>
        <w:t xml:space="preserve">”, looks at what exactly the medieval arguments were about. However, </w:t>
      </w:r>
      <w:r w:rsidR="00E23B01">
        <w:rPr>
          <w:rFonts w:ascii="Times New Roman" w:hAnsi="Times New Roman" w:cs="Times New Roman"/>
          <w:sz w:val="24"/>
        </w:rPr>
        <w:t>immediately Bynum imposes the idea that thirteenth century condemnations of heretical movements and ideas were not</w:t>
      </w:r>
      <w:r w:rsidR="00810923">
        <w:rPr>
          <w:rFonts w:ascii="Times New Roman" w:hAnsi="Times New Roman" w:cs="Times New Roman"/>
          <w:sz w:val="24"/>
        </w:rPr>
        <w:t xml:space="preserve"> “a quarrel with a clearly existent ‘other’” but rather a way to define themselves and that by extension the importance placed on the resurrection was done “because they themselves choose to do so</w:t>
      </w:r>
      <w:r w:rsidR="00810923">
        <w:rPr>
          <w:rStyle w:val="FootnoteReference"/>
          <w:rFonts w:ascii="Times New Roman" w:hAnsi="Times New Roman" w:cs="Times New Roman"/>
          <w:sz w:val="24"/>
        </w:rPr>
        <w:footnoteReference w:id="4"/>
      </w:r>
      <w:r w:rsidR="00810923">
        <w:rPr>
          <w:rFonts w:ascii="Times New Roman" w:hAnsi="Times New Roman" w:cs="Times New Roman"/>
          <w:sz w:val="24"/>
        </w:rPr>
        <w:t>”. Such an assertion immediately places the en</w:t>
      </w:r>
      <w:r w:rsidR="00612E2E">
        <w:rPr>
          <w:rFonts w:ascii="Times New Roman" w:hAnsi="Times New Roman" w:cs="Times New Roman"/>
          <w:sz w:val="24"/>
        </w:rPr>
        <w:t>tiret</w:t>
      </w:r>
      <w:r w:rsidR="00810923">
        <w:rPr>
          <w:rFonts w:ascii="Times New Roman" w:hAnsi="Times New Roman" w:cs="Times New Roman"/>
          <w:sz w:val="24"/>
        </w:rPr>
        <w:t xml:space="preserve">y of the article in doubt for its usefulness, as instead of seeing the theological discussions and debates as means by which the Church aimed to keep people both from spiritual damnation and </w:t>
      </w:r>
      <w:r w:rsidR="00810923">
        <w:rPr>
          <w:rFonts w:ascii="Times New Roman" w:hAnsi="Times New Roman" w:cs="Times New Roman"/>
          <w:sz w:val="24"/>
        </w:rPr>
        <w:lastRenderedPageBreak/>
        <w:t>themselves unified and correct, it presents it merely as a way to “define themselves through the creation of the “other” or simply put, create a threat to rally against. Such a cynical view is similar in tone to J. Huizinga in his ‘The Waning of the Middle Ages’ where he dismisses the entirety of Medieval considerations on death as “primitive</w:t>
      </w:r>
      <w:r w:rsidR="00810923">
        <w:rPr>
          <w:rStyle w:val="FootnoteReference"/>
          <w:rFonts w:ascii="Times New Roman" w:hAnsi="Times New Roman" w:cs="Times New Roman"/>
          <w:sz w:val="24"/>
        </w:rPr>
        <w:footnoteReference w:id="5"/>
      </w:r>
      <w:r w:rsidR="00810923">
        <w:rPr>
          <w:rFonts w:ascii="Times New Roman" w:hAnsi="Times New Roman" w:cs="Times New Roman"/>
          <w:sz w:val="24"/>
        </w:rPr>
        <w:t xml:space="preserve">”. It is this tone that Bynum takes here and which will emerge in other places that </w:t>
      </w:r>
      <w:r w:rsidR="000E1C11">
        <w:rPr>
          <w:rFonts w:ascii="Times New Roman" w:hAnsi="Times New Roman" w:cs="Times New Roman"/>
          <w:sz w:val="24"/>
        </w:rPr>
        <w:t xml:space="preserve">makes this article less than ideal. </w:t>
      </w:r>
    </w:p>
    <w:p w:rsidR="000E1C11" w:rsidRDefault="00F92FFA" w:rsidP="005754F7">
      <w:pPr>
        <w:spacing w:line="360" w:lineRule="auto"/>
        <w:rPr>
          <w:rFonts w:ascii="Times New Roman" w:hAnsi="Times New Roman" w:cs="Times New Roman"/>
          <w:sz w:val="24"/>
        </w:rPr>
      </w:pPr>
      <w:r>
        <w:rPr>
          <w:rFonts w:ascii="Times New Roman" w:hAnsi="Times New Roman" w:cs="Times New Roman"/>
          <w:sz w:val="24"/>
        </w:rPr>
        <w:t>Diversely</w:t>
      </w:r>
      <w:r w:rsidR="000E1C11">
        <w:rPr>
          <w:rFonts w:ascii="Times New Roman" w:hAnsi="Times New Roman" w:cs="Times New Roman"/>
          <w:sz w:val="24"/>
        </w:rPr>
        <w:t xml:space="preserve">, </w:t>
      </w:r>
      <w:r>
        <w:rPr>
          <w:rFonts w:ascii="Times New Roman" w:hAnsi="Times New Roman" w:cs="Times New Roman"/>
          <w:sz w:val="24"/>
        </w:rPr>
        <w:t>Bynum does however go onto discuss the way in which the discussion of bodily resurrection was initially discussed. She notes that such considerations were not of initial importance. “Coming rather incongruously after the discussion of marriage</w:t>
      </w:r>
      <w:r>
        <w:rPr>
          <w:rStyle w:val="FootnoteReference"/>
          <w:rFonts w:ascii="Times New Roman" w:hAnsi="Times New Roman" w:cs="Times New Roman"/>
          <w:sz w:val="24"/>
        </w:rPr>
        <w:footnoteReference w:id="6"/>
      </w:r>
      <w:r>
        <w:rPr>
          <w:rFonts w:ascii="Times New Roman" w:hAnsi="Times New Roman" w:cs="Times New Roman"/>
          <w:sz w:val="24"/>
        </w:rPr>
        <w:t>” in Peter Lombard’s textbook the Four Books of Sentences. It is here again that Bynum misinterprets her primary sources. Placing the discussion of the “last things</w:t>
      </w:r>
      <w:r>
        <w:rPr>
          <w:rStyle w:val="FootnoteReference"/>
          <w:rFonts w:ascii="Times New Roman" w:hAnsi="Times New Roman" w:cs="Times New Roman"/>
          <w:sz w:val="24"/>
        </w:rPr>
        <w:footnoteReference w:id="7"/>
      </w:r>
      <w:r>
        <w:rPr>
          <w:rFonts w:ascii="Times New Roman" w:hAnsi="Times New Roman" w:cs="Times New Roman"/>
          <w:sz w:val="24"/>
        </w:rPr>
        <w:t xml:space="preserve">” after marriage is not a sign of not keeping in place with previous discussions, but rather indicates the importance of the whole matter, placing on near importance with the sanctity of marriage. </w:t>
      </w:r>
      <w:r w:rsidR="00A8293E">
        <w:rPr>
          <w:rFonts w:ascii="Times New Roman" w:hAnsi="Times New Roman" w:cs="Times New Roman"/>
          <w:sz w:val="24"/>
        </w:rPr>
        <w:t xml:space="preserve">Moving on to </w:t>
      </w:r>
      <w:r w:rsidR="0094686D">
        <w:rPr>
          <w:rFonts w:ascii="Times New Roman" w:hAnsi="Times New Roman" w:cs="Times New Roman"/>
          <w:sz w:val="24"/>
        </w:rPr>
        <w:t xml:space="preserve">the </w:t>
      </w:r>
      <w:r w:rsidR="00D074EE">
        <w:rPr>
          <w:rFonts w:ascii="Times New Roman" w:hAnsi="Times New Roman" w:cs="Times New Roman"/>
          <w:sz w:val="24"/>
        </w:rPr>
        <w:t>next crucial point, the article now offers an extremely useful summary of the last section of Peter Lombard’s ‘Sentences’, specifically the section that “determined the course of debate for hundreds of years</w:t>
      </w:r>
      <w:r w:rsidR="00D074EE">
        <w:rPr>
          <w:rStyle w:val="FootnoteReference"/>
          <w:rFonts w:ascii="Times New Roman" w:hAnsi="Times New Roman" w:cs="Times New Roman"/>
          <w:sz w:val="24"/>
        </w:rPr>
        <w:footnoteReference w:id="8"/>
      </w:r>
      <w:r w:rsidR="00D074EE">
        <w:rPr>
          <w:rFonts w:ascii="Times New Roman" w:hAnsi="Times New Roman" w:cs="Times New Roman"/>
          <w:sz w:val="24"/>
        </w:rPr>
        <w:t>” as Bynum puts it. For those seeking to understand ‘Death and Dying, it is here that Bynum makes her first clear point. Essentially, she argues that it was the decision of Lombard to give focus to “questions of the material reassemblage or reconstitution of the body</w:t>
      </w:r>
      <w:r w:rsidR="00D074EE">
        <w:rPr>
          <w:rStyle w:val="FootnoteReference"/>
          <w:rFonts w:ascii="Times New Roman" w:hAnsi="Times New Roman" w:cs="Times New Roman"/>
          <w:sz w:val="24"/>
        </w:rPr>
        <w:footnoteReference w:id="9"/>
      </w:r>
      <w:r w:rsidR="00D074EE">
        <w:rPr>
          <w:rFonts w:ascii="Times New Roman" w:hAnsi="Times New Roman" w:cs="Times New Roman"/>
          <w:sz w:val="24"/>
        </w:rPr>
        <w:t xml:space="preserve">” that would ignite the debate on the material nature of the resurrection. To the truth of this statement, it would appear that when considering the nature of debate for the next two centuries, she is indeed correct to assume this. </w:t>
      </w:r>
      <w:r w:rsidR="009C1687">
        <w:rPr>
          <w:rFonts w:ascii="Times New Roman" w:hAnsi="Times New Roman" w:cs="Times New Roman"/>
          <w:sz w:val="24"/>
        </w:rPr>
        <w:t xml:space="preserve">This section of the article ends with an elaboration on the </w:t>
      </w:r>
      <w:r w:rsidR="00EB4DB8">
        <w:rPr>
          <w:rFonts w:ascii="Times New Roman" w:hAnsi="Times New Roman" w:cs="Times New Roman"/>
          <w:sz w:val="24"/>
        </w:rPr>
        <w:t>repercussions</w:t>
      </w:r>
      <w:r w:rsidR="009C1687">
        <w:rPr>
          <w:rFonts w:ascii="Times New Roman" w:hAnsi="Times New Roman" w:cs="Times New Roman"/>
          <w:sz w:val="24"/>
        </w:rPr>
        <w:t xml:space="preserve"> of </w:t>
      </w:r>
      <w:r w:rsidR="00EB4DB8">
        <w:rPr>
          <w:rFonts w:ascii="Times New Roman" w:hAnsi="Times New Roman" w:cs="Times New Roman"/>
          <w:sz w:val="24"/>
        </w:rPr>
        <w:t xml:space="preserve">Lombard’s treatment of the topic, concluding that it </w:t>
      </w:r>
      <w:r w:rsidR="00B739F7">
        <w:rPr>
          <w:rFonts w:ascii="Times New Roman" w:hAnsi="Times New Roman" w:cs="Times New Roman"/>
          <w:sz w:val="24"/>
        </w:rPr>
        <w:t>led</w:t>
      </w:r>
      <w:r w:rsidR="00EB4DB8">
        <w:rPr>
          <w:rFonts w:ascii="Times New Roman" w:hAnsi="Times New Roman" w:cs="Times New Roman"/>
          <w:sz w:val="24"/>
        </w:rPr>
        <w:t xml:space="preserve"> to a placing </w:t>
      </w:r>
      <w:r w:rsidR="00B739F7">
        <w:rPr>
          <w:rFonts w:ascii="Times New Roman" w:hAnsi="Times New Roman" w:cs="Times New Roman"/>
          <w:sz w:val="24"/>
        </w:rPr>
        <w:t>of</w:t>
      </w:r>
      <w:r w:rsidR="00EB4DB8">
        <w:rPr>
          <w:rFonts w:ascii="Times New Roman" w:hAnsi="Times New Roman" w:cs="Times New Roman"/>
          <w:sz w:val="24"/>
        </w:rPr>
        <w:t xml:space="preserve"> materialism of the resurrected body over the spiritual concerns. </w:t>
      </w:r>
    </w:p>
    <w:p w:rsidR="0021187F" w:rsidRDefault="009C1687" w:rsidP="005754F7">
      <w:pPr>
        <w:spacing w:line="360" w:lineRule="auto"/>
        <w:rPr>
          <w:rFonts w:ascii="Times New Roman" w:hAnsi="Times New Roman" w:cs="Times New Roman"/>
          <w:sz w:val="24"/>
        </w:rPr>
      </w:pPr>
      <w:r>
        <w:rPr>
          <w:rFonts w:ascii="Times New Roman" w:hAnsi="Times New Roman" w:cs="Times New Roman"/>
          <w:sz w:val="24"/>
        </w:rPr>
        <w:t xml:space="preserve">In contrast, the next section of the article deals mostly if not wholly with the modern debate over issues like ‘Personal Identity’ </w:t>
      </w:r>
      <w:r w:rsidR="00B739F7">
        <w:rPr>
          <w:rFonts w:ascii="Times New Roman" w:hAnsi="Times New Roman" w:cs="Times New Roman"/>
          <w:sz w:val="24"/>
        </w:rPr>
        <w:t xml:space="preserve">and ‘survival’. It is in this particular part where the </w:t>
      </w:r>
      <w:r w:rsidR="00B739F7">
        <w:rPr>
          <w:rFonts w:ascii="Times New Roman" w:hAnsi="Times New Roman" w:cs="Times New Roman"/>
          <w:sz w:val="24"/>
        </w:rPr>
        <w:lastRenderedPageBreak/>
        <w:t xml:space="preserve">original assertion in the introduction of having prolonged sections that are not relevant to the topic of ‘Death and Dying’ emerge. While the opening does suggest that the medieval discussion on embryos are distasteful and that even so fundamental issues are hidden within, the majority of this section goes to modern discussions on Personal Identity, being of little use or relevance to the topic of Medieval resurrection. Yet there does contain </w:t>
      </w:r>
      <w:r w:rsidR="00065A9C">
        <w:rPr>
          <w:rFonts w:ascii="Times New Roman" w:hAnsi="Times New Roman" w:cs="Times New Roman"/>
          <w:sz w:val="24"/>
        </w:rPr>
        <w:t>a key point in this section, primarily that “medieval thinkers held a soul-body dualism</w:t>
      </w:r>
      <w:r w:rsidR="00065A9C">
        <w:rPr>
          <w:rStyle w:val="FootnoteReference"/>
          <w:rFonts w:ascii="Times New Roman" w:hAnsi="Times New Roman" w:cs="Times New Roman"/>
          <w:sz w:val="24"/>
        </w:rPr>
        <w:footnoteReference w:id="10"/>
      </w:r>
      <w:r w:rsidR="00065A9C">
        <w:rPr>
          <w:rFonts w:ascii="Times New Roman" w:hAnsi="Times New Roman" w:cs="Times New Roman"/>
          <w:sz w:val="24"/>
        </w:rPr>
        <w:t xml:space="preserve">”, which </w:t>
      </w:r>
      <w:r w:rsidR="0046527A">
        <w:rPr>
          <w:rFonts w:ascii="Times New Roman" w:hAnsi="Times New Roman" w:cs="Times New Roman"/>
          <w:sz w:val="24"/>
        </w:rPr>
        <w:t>is in contrast to modern thinking but importantly highlights the distinction that medieval thinkers had between the body and the soul, seeing them as two separate yet intertwined entities</w:t>
      </w:r>
      <w:r w:rsidR="003E46BE">
        <w:rPr>
          <w:rFonts w:ascii="Times New Roman" w:hAnsi="Times New Roman" w:cs="Times New Roman"/>
          <w:sz w:val="24"/>
        </w:rPr>
        <w:t>. It is th</w:t>
      </w:r>
      <w:r w:rsidR="002448CC">
        <w:rPr>
          <w:rFonts w:ascii="Times New Roman" w:hAnsi="Times New Roman" w:cs="Times New Roman"/>
          <w:sz w:val="24"/>
        </w:rPr>
        <w:t>is</w:t>
      </w:r>
      <w:r w:rsidR="003E46BE">
        <w:rPr>
          <w:rFonts w:ascii="Times New Roman" w:hAnsi="Times New Roman" w:cs="Times New Roman"/>
          <w:sz w:val="24"/>
        </w:rPr>
        <w:t xml:space="preserve"> established principle in medieval thought that leads Bynum</w:t>
      </w:r>
      <w:r w:rsidR="002448CC">
        <w:rPr>
          <w:rFonts w:ascii="Times New Roman" w:hAnsi="Times New Roman" w:cs="Times New Roman"/>
          <w:sz w:val="24"/>
        </w:rPr>
        <w:t xml:space="preserve"> to conclude in the next section of the article that the issue the medieval philosophers had was “around the issue of bodily continuity</w:t>
      </w:r>
      <w:r w:rsidR="002448CC">
        <w:rPr>
          <w:rStyle w:val="FootnoteReference"/>
          <w:rFonts w:ascii="Times New Roman" w:hAnsi="Times New Roman" w:cs="Times New Roman"/>
          <w:sz w:val="24"/>
        </w:rPr>
        <w:footnoteReference w:id="11"/>
      </w:r>
      <w:r w:rsidR="002448CC">
        <w:rPr>
          <w:rFonts w:ascii="Times New Roman" w:hAnsi="Times New Roman" w:cs="Times New Roman"/>
          <w:sz w:val="24"/>
        </w:rPr>
        <w:t xml:space="preserve">”. </w:t>
      </w:r>
      <w:r w:rsidR="004B5307">
        <w:rPr>
          <w:rFonts w:ascii="Times New Roman" w:hAnsi="Times New Roman" w:cs="Times New Roman"/>
          <w:sz w:val="24"/>
        </w:rPr>
        <w:t xml:space="preserve">Despite this assertion, this section of the article deals with the resurrection through the lens of the history of philosophy, making it a times very hard to follow or discern what point Bynum might be making. </w:t>
      </w:r>
      <w:r w:rsidR="00353479">
        <w:rPr>
          <w:rFonts w:ascii="Times New Roman" w:hAnsi="Times New Roman" w:cs="Times New Roman"/>
          <w:sz w:val="24"/>
        </w:rPr>
        <w:t>Althoug</w:t>
      </w:r>
      <w:r w:rsidR="00C75D8D">
        <w:rPr>
          <w:rFonts w:ascii="Times New Roman" w:hAnsi="Times New Roman" w:cs="Times New Roman"/>
          <w:sz w:val="24"/>
        </w:rPr>
        <w:t>h this may be the case, it is still possible to discern useful observations on the impact of such discussions on other aspects of medieval death.</w:t>
      </w:r>
      <w:r w:rsidR="00353479">
        <w:rPr>
          <w:rFonts w:ascii="Times New Roman" w:hAnsi="Times New Roman" w:cs="Times New Roman"/>
          <w:sz w:val="24"/>
        </w:rPr>
        <w:t xml:space="preserve"> For example, a key point made is in relation to the </w:t>
      </w:r>
      <w:r w:rsidR="00317717">
        <w:rPr>
          <w:rFonts w:ascii="Times New Roman" w:hAnsi="Times New Roman" w:cs="Times New Roman"/>
          <w:sz w:val="24"/>
        </w:rPr>
        <w:t>practices of burial as well as the reliquaries</w:t>
      </w:r>
      <w:r w:rsidR="00353479">
        <w:rPr>
          <w:rFonts w:ascii="Times New Roman" w:hAnsi="Times New Roman" w:cs="Times New Roman"/>
          <w:sz w:val="24"/>
        </w:rPr>
        <w:t xml:space="preserve"> and </w:t>
      </w:r>
      <w:r w:rsidR="00317717">
        <w:rPr>
          <w:rFonts w:ascii="Times New Roman" w:hAnsi="Times New Roman" w:cs="Times New Roman"/>
          <w:sz w:val="24"/>
        </w:rPr>
        <w:t>venerations</w:t>
      </w:r>
      <w:r w:rsidR="00353479">
        <w:rPr>
          <w:rFonts w:ascii="Times New Roman" w:hAnsi="Times New Roman" w:cs="Times New Roman"/>
          <w:sz w:val="24"/>
        </w:rPr>
        <w:t xml:space="preserve"> of saints</w:t>
      </w:r>
      <w:r w:rsidR="00C75D8D">
        <w:rPr>
          <w:rFonts w:ascii="Times New Roman" w:hAnsi="Times New Roman" w:cs="Times New Roman"/>
          <w:sz w:val="24"/>
        </w:rPr>
        <w:t xml:space="preserve">, with Bynum pointing out that </w:t>
      </w:r>
      <w:r w:rsidR="00EE1D4C">
        <w:rPr>
          <w:rFonts w:ascii="Times New Roman" w:hAnsi="Times New Roman" w:cs="Times New Roman"/>
          <w:sz w:val="24"/>
        </w:rPr>
        <w:t xml:space="preserve">in the late thirteenth century theologians were arguing that while </w:t>
      </w:r>
      <w:r w:rsidR="00C75D8D">
        <w:rPr>
          <w:rFonts w:ascii="Times New Roman" w:hAnsi="Times New Roman" w:cs="Times New Roman"/>
          <w:sz w:val="24"/>
        </w:rPr>
        <w:t>“relics were to be honoured because they bring before our memories the life and suffering of the saints</w:t>
      </w:r>
      <w:r w:rsidR="00C75D8D">
        <w:rPr>
          <w:rStyle w:val="FootnoteReference"/>
          <w:rFonts w:ascii="Times New Roman" w:hAnsi="Times New Roman" w:cs="Times New Roman"/>
          <w:sz w:val="24"/>
        </w:rPr>
        <w:footnoteReference w:id="12"/>
      </w:r>
      <w:r w:rsidR="00C75D8D">
        <w:rPr>
          <w:rFonts w:ascii="Times New Roman" w:hAnsi="Times New Roman" w:cs="Times New Roman"/>
          <w:sz w:val="24"/>
        </w:rPr>
        <w:t>” part of the debate on what the ‘body’ was</w:t>
      </w:r>
      <w:r w:rsidR="001B5F78">
        <w:rPr>
          <w:rFonts w:ascii="Times New Roman" w:hAnsi="Times New Roman" w:cs="Times New Roman"/>
          <w:sz w:val="24"/>
        </w:rPr>
        <w:t>,</w:t>
      </w:r>
      <w:r w:rsidR="00C75D8D">
        <w:rPr>
          <w:rFonts w:ascii="Times New Roman" w:hAnsi="Times New Roman" w:cs="Times New Roman"/>
          <w:sz w:val="24"/>
        </w:rPr>
        <w:t xml:space="preserve"> essentially removed justification for any and all relic veneration. </w:t>
      </w:r>
      <w:r w:rsidR="003B1654">
        <w:rPr>
          <w:rFonts w:ascii="Times New Roman" w:hAnsi="Times New Roman" w:cs="Times New Roman"/>
          <w:sz w:val="24"/>
        </w:rPr>
        <w:t>And while this was settled, it shows that the impact of the debate on resurrection was a far more profound and deep discussion Christian belief and less as Bynum herself asserted a simple decision to just argue</w:t>
      </w:r>
      <w:r w:rsidR="003B1654">
        <w:rPr>
          <w:rStyle w:val="FootnoteReference"/>
          <w:rFonts w:ascii="Times New Roman" w:hAnsi="Times New Roman" w:cs="Times New Roman"/>
          <w:sz w:val="24"/>
        </w:rPr>
        <w:footnoteReference w:id="13"/>
      </w:r>
      <w:r w:rsidR="003B1654">
        <w:rPr>
          <w:rFonts w:ascii="Times New Roman" w:hAnsi="Times New Roman" w:cs="Times New Roman"/>
          <w:sz w:val="24"/>
        </w:rPr>
        <w:t xml:space="preserve">. </w:t>
      </w:r>
    </w:p>
    <w:p w:rsidR="00A26A80" w:rsidRDefault="00A26A80" w:rsidP="005754F7">
      <w:pPr>
        <w:spacing w:line="360" w:lineRule="auto"/>
        <w:rPr>
          <w:rFonts w:ascii="Times New Roman" w:hAnsi="Times New Roman" w:cs="Times New Roman"/>
          <w:sz w:val="24"/>
        </w:rPr>
      </w:pPr>
      <w:r>
        <w:rPr>
          <w:rFonts w:ascii="Times New Roman" w:hAnsi="Times New Roman" w:cs="Times New Roman"/>
          <w:sz w:val="24"/>
        </w:rPr>
        <w:t>The final section of the article deals with the arguments of resurrection in relation to broader medieval culture</w:t>
      </w:r>
      <w:r w:rsidR="00B06919">
        <w:rPr>
          <w:rFonts w:ascii="Times New Roman" w:hAnsi="Times New Roman" w:cs="Times New Roman"/>
          <w:sz w:val="24"/>
        </w:rPr>
        <w:t>. Bynum here draws attention to more popular and specific “behaviour of ordinary folk</w:t>
      </w:r>
      <w:r w:rsidR="00B06919">
        <w:rPr>
          <w:rStyle w:val="FootnoteReference"/>
          <w:rFonts w:ascii="Times New Roman" w:hAnsi="Times New Roman" w:cs="Times New Roman"/>
          <w:sz w:val="24"/>
        </w:rPr>
        <w:footnoteReference w:id="14"/>
      </w:r>
      <w:r w:rsidR="00B06919">
        <w:rPr>
          <w:rFonts w:ascii="Times New Roman" w:hAnsi="Times New Roman" w:cs="Times New Roman"/>
          <w:sz w:val="24"/>
        </w:rPr>
        <w:t>”. By this, Bynum alludes to ta</w:t>
      </w:r>
      <w:r w:rsidR="000D243E">
        <w:rPr>
          <w:rFonts w:ascii="Times New Roman" w:hAnsi="Times New Roman" w:cs="Times New Roman"/>
          <w:sz w:val="24"/>
        </w:rPr>
        <w:t>les</w:t>
      </w:r>
      <w:r w:rsidR="00B06919">
        <w:rPr>
          <w:rFonts w:ascii="Times New Roman" w:hAnsi="Times New Roman" w:cs="Times New Roman"/>
          <w:sz w:val="24"/>
        </w:rPr>
        <w:t xml:space="preserve"> of temporary resurrection and other such actions</w:t>
      </w:r>
      <w:r w:rsidR="000D243E">
        <w:rPr>
          <w:rFonts w:ascii="Times New Roman" w:hAnsi="Times New Roman" w:cs="Times New Roman"/>
          <w:sz w:val="24"/>
        </w:rPr>
        <w:t xml:space="preserve"> like “corpses would bleed to accuse their murderers</w:t>
      </w:r>
      <w:r w:rsidR="000D243E">
        <w:rPr>
          <w:rStyle w:val="FootnoteReference"/>
          <w:rFonts w:ascii="Times New Roman" w:hAnsi="Times New Roman" w:cs="Times New Roman"/>
          <w:sz w:val="24"/>
        </w:rPr>
        <w:footnoteReference w:id="15"/>
      </w:r>
      <w:r w:rsidR="000D243E">
        <w:rPr>
          <w:rFonts w:ascii="Times New Roman" w:hAnsi="Times New Roman" w:cs="Times New Roman"/>
          <w:sz w:val="24"/>
        </w:rPr>
        <w:t xml:space="preserve">”. The failure of Bynum to elaborate on the phenomenon of temporary resurrection is interesting as, while not subtracting from other useful information relating to the dismemberment and separate burial </w:t>
      </w:r>
      <w:r w:rsidR="000D243E">
        <w:rPr>
          <w:rFonts w:ascii="Times New Roman" w:hAnsi="Times New Roman" w:cs="Times New Roman"/>
          <w:sz w:val="24"/>
        </w:rPr>
        <w:lastRenderedPageBreak/>
        <w:t>of bodies that she includes later in the section</w:t>
      </w:r>
      <w:r w:rsidR="000D243E">
        <w:rPr>
          <w:rStyle w:val="FootnoteReference"/>
          <w:rFonts w:ascii="Times New Roman" w:hAnsi="Times New Roman" w:cs="Times New Roman"/>
          <w:sz w:val="24"/>
        </w:rPr>
        <w:footnoteReference w:id="16"/>
      </w:r>
      <w:r w:rsidR="000D243E">
        <w:rPr>
          <w:rFonts w:ascii="Times New Roman" w:hAnsi="Times New Roman" w:cs="Times New Roman"/>
          <w:sz w:val="24"/>
        </w:rPr>
        <w:t xml:space="preserve">, </w:t>
      </w:r>
      <w:r w:rsidR="005C0697">
        <w:rPr>
          <w:rFonts w:ascii="Times New Roman" w:hAnsi="Times New Roman" w:cs="Times New Roman"/>
          <w:sz w:val="24"/>
        </w:rPr>
        <w:t>is striking when considering the entire thesis is based on the resurrection of the body. Yet the lack of mentioning of creatures like revenants</w:t>
      </w:r>
      <w:r w:rsidR="00DD5CE2">
        <w:rPr>
          <w:rFonts w:ascii="Times New Roman" w:hAnsi="Times New Roman" w:cs="Times New Roman"/>
          <w:sz w:val="24"/>
        </w:rPr>
        <w:t xml:space="preserve"> </w:t>
      </w:r>
      <w:r w:rsidR="005C0697">
        <w:rPr>
          <w:rFonts w:ascii="Times New Roman" w:hAnsi="Times New Roman" w:cs="Times New Roman"/>
          <w:sz w:val="24"/>
        </w:rPr>
        <w:t>in relation to the wider arguments had about resurrection is an odd choice.</w:t>
      </w:r>
    </w:p>
    <w:p w:rsidR="00606419" w:rsidRPr="00E629E7" w:rsidRDefault="00606419" w:rsidP="005754F7">
      <w:pPr>
        <w:spacing w:line="360" w:lineRule="auto"/>
        <w:rPr>
          <w:rFonts w:ascii="Times New Roman" w:hAnsi="Times New Roman" w:cs="Times New Roman"/>
          <w:sz w:val="24"/>
        </w:rPr>
      </w:pPr>
      <w:r>
        <w:rPr>
          <w:rFonts w:ascii="Times New Roman" w:hAnsi="Times New Roman" w:cs="Times New Roman"/>
          <w:sz w:val="24"/>
        </w:rPr>
        <w:t xml:space="preserve">In conclusion, </w:t>
      </w:r>
      <w:r w:rsidR="005C0697">
        <w:rPr>
          <w:rFonts w:ascii="Times New Roman" w:hAnsi="Times New Roman" w:cs="Times New Roman"/>
          <w:sz w:val="24"/>
        </w:rPr>
        <w:t>the article ‘</w:t>
      </w:r>
      <w:r w:rsidR="005C0697" w:rsidRPr="005C0697">
        <w:rPr>
          <w:rFonts w:ascii="Times New Roman" w:hAnsi="Times New Roman" w:cs="Times New Roman"/>
          <w:sz w:val="24"/>
        </w:rPr>
        <w:t>Material Continuity, Personal Survival, and the Resurrection of the Body</w:t>
      </w:r>
      <w:r w:rsidR="005C0697">
        <w:rPr>
          <w:rFonts w:ascii="Times New Roman" w:hAnsi="Times New Roman" w:cs="Times New Roman"/>
          <w:sz w:val="24"/>
        </w:rPr>
        <w:t xml:space="preserve">’ by Caroline Bynum is concerned first and foremost with the philosophical history and arguments of the medieval </w:t>
      </w:r>
      <w:r w:rsidR="00612E2E">
        <w:rPr>
          <w:rFonts w:ascii="Times New Roman" w:hAnsi="Times New Roman" w:cs="Times New Roman"/>
          <w:sz w:val="24"/>
        </w:rPr>
        <w:t>resurrection</w:t>
      </w:r>
      <w:r w:rsidR="005C0697">
        <w:rPr>
          <w:rFonts w:ascii="Times New Roman" w:hAnsi="Times New Roman" w:cs="Times New Roman"/>
          <w:sz w:val="24"/>
        </w:rPr>
        <w:t xml:space="preserve"> debate and how it applies to the wider modern day ‘survival </w:t>
      </w:r>
      <w:r w:rsidR="00612E2E">
        <w:rPr>
          <w:rFonts w:ascii="Times New Roman" w:hAnsi="Times New Roman" w:cs="Times New Roman"/>
          <w:sz w:val="24"/>
        </w:rPr>
        <w:t>philosophies</w:t>
      </w:r>
      <w:r w:rsidR="005C0697">
        <w:rPr>
          <w:rFonts w:ascii="Times New Roman" w:hAnsi="Times New Roman" w:cs="Times New Roman"/>
          <w:sz w:val="24"/>
        </w:rPr>
        <w:t xml:space="preserve">. As an article on Death and Dying, it is by and large </w:t>
      </w:r>
      <w:r w:rsidR="00612E2E">
        <w:rPr>
          <w:rFonts w:ascii="Times New Roman" w:hAnsi="Times New Roman" w:cs="Times New Roman"/>
          <w:sz w:val="24"/>
        </w:rPr>
        <w:t xml:space="preserve">difficult to follow and what information that can be gleamed, while useful, is largely specialised and does struggle to relate to the wider implications of resurrection in medieval Europe. </w:t>
      </w:r>
    </w:p>
    <w:p w:rsidR="004F52D7" w:rsidRPr="00E629E7" w:rsidRDefault="004F52D7" w:rsidP="00E629E7">
      <w:pPr>
        <w:pStyle w:val="Heading1"/>
        <w:rPr>
          <w:b/>
          <w:u w:val="single"/>
        </w:rPr>
      </w:pPr>
      <w:r w:rsidRPr="00E629E7">
        <w:rPr>
          <w:b/>
          <w:u w:val="single"/>
        </w:rPr>
        <w:t xml:space="preserve">2 – Memorialisation </w:t>
      </w:r>
    </w:p>
    <w:p w:rsidR="004F52D7" w:rsidRPr="00AE4CE4" w:rsidRDefault="004760DB" w:rsidP="00AE4CE4">
      <w:pPr>
        <w:spacing w:line="360" w:lineRule="auto"/>
        <w:rPr>
          <w:rFonts w:ascii="Times New Roman" w:hAnsi="Times New Roman" w:cs="Times New Roman"/>
          <w:sz w:val="24"/>
        </w:rPr>
      </w:pPr>
      <w:r w:rsidRPr="00AE4CE4">
        <w:rPr>
          <w:rFonts w:ascii="Times New Roman" w:hAnsi="Times New Roman" w:cs="Times New Roman"/>
          <w:sz w:val="24"/>
        </w:rPr>
        <w:t xml:space="preserve">Memorialisation refers to the </w:t>
      </w:r>
      <w:r w:rsidR="005D23C9" w:rsidRPr="00AE4CE4">
        <w:rPr>
          <w:rFonts w:ascii="Times New Roman" w:hAnsi="Times New Roman" w:cs="Times New Roman"/>
          <w:sz w:val="24"/>
        </w:rPr>
        <w:t xml:space="preserve">concept of remembrance and preservation of people or events. In the case of the Medieval, the process of remembering those who had died varied much depending on what or </w:t>
      </w:r>
      <w:r w:rsidR="002A2DA6" w:rsidRPr="00AE4CE4">
        <w:rPr>
          <w:rFonts w:ascii="Times New Roman" w:hAnsi="Times New Roman" w:cs="Times New Roman"/>
          <w:sz w:val="24"/>
        </w:rPr>
        <w:t>who</w:t>
      </w:r>
      <w:r w:rsidR="005D23C9" w:rsidRPr="00AE4CE4">
        <w:rPr>
          <w:rFonts w:ascii="Times New Roman" w:hAnsi="Times New Roman" w:cs="Times New Roman"/>
          <w:sz w:val="24"/>
        </w:rPr>
        <w:t xml:space="preserve"> was being memorialised. </w:t>
      </w:r>
      <w:r w:rsidR="002A2DA6" w:rsidRPr="00AE4CE4">
        <w:rPr>
          <w:rFonts w:ascii="Times New Roman" w:hAnsi="Times New Roman" w:cs="Times New Roman"/>
          <w:sz w:val="24"/>
        </w:rPr>
        <w:t>Memorials could range from rather simple headstones, to elaborate tombs and masses said for them to epitaphs and histories made for them. These memorials nearly always carried with them external lessons and meanings to those who would see.</w:t>
      </w:r>
    </w:p>
    <w:p w:rsidR="002A2DA6" w:rsidRPr="00AE4CE4" w:rsidRDefault="002A2DA6" w:rsidP="00AE4CE4">
      <w:pPr>
        <w:spacing w:line="360" w:lineRule="auto"/>
        <w:rPr>
          <w:rFonts w:ascii="Times New Roman" w:hAnsi="Times New Roman" w:cs="Times New Roman"/>
          <w:sz w:val="24"/>
        </w:rPr>
      </w:pPr>
      <w:r w:rsidRPr="00AE4CE4">
        <w:rPr>
          <w:rFonts w:ascii="Times New Roman" w:hAnsi="Times New Roman" w:cs="Times New Roman"/>
          <w:sz w:val="24"/>
        </w:rPr>
        <w:t>An example of memorialisation can be seen in the trend of ‘Transi’ or ‘cadaver’ tombs of the 15</w:t>
      </w:r>
      <w:r w:rsidRPr="00AE4CE4">
        <w:rPr>
          <w:rFonts w:ascii="Times New Roman" w:hAnsi="Times New Roman" w:cs="Times New Roman"/>
          <w:sz w:val="24"/>
          <w:vertAlign w:val="superscript"/>
        </w:rPr>
        <w:t>th</w:t>
      </w:r>
      <w:r w:rsidRPr="00AE4CE4">
        <w:rPr>
          <w:rFonts w:ascii="Times New Roman" w:hAnsi="Times New Roman" w:cs="Times New Roman"/>
          <w:sz w:val="24"/>
        </w:rPr>
        <w:t xml:space="preserve"> century</w:t>
      </w:r>
      <w:r w:rsidR="00D819B8" w:rsidRPr="00AE4CE4">
        <w:rPr>
          <w:rStyle w:val="FootnoteReference"/>
          <w:rFonts w:ascii="Times New Roman" w:hAnsi="Times New Roman" w:cs="Times New Roman"/>
          <w:sz w:val="24"/>
        </w:rPr>
        <w:footnoteReference w:id="17"/>
      </w:r>
      <w:r w:rsidRPr="00AE4CE4">
        <w:rPr>
          <w:rFonts w:ascii="Times New Roman" w:hAnsi="Times New Roman" w:cs="Times New Roman"/>
          <w:sz w:val="24"/>
        </w:rPr>
        <w:t xml:space="preserve">. These tombs of the dead were </w:t>
      </w:r>
      <w:r w:rsidR="00341096" w:rsidRPr="00AE4CE4">
        <w:rPr>
          <w:rFonts w:ascii="Times New Roman" w:hAnsi="Times New Roman" w:cs="Times New Roman"/>
          <w:sz w:val="24"/>
        </w:rPr>
        <w:t>unique in the sense</w:t>
      </w:r>
      <w:r w:rsidR="00802636" w:rsidRPr="00AE4CE4">
        <w:rPr>
          <w:rFonts w:ascii="Times New Roman" w:hAnsi="Times New Roman" w:cs="Times New Roman"/>
          <w:sz w:val="24"/>
        </w:rPr>
        <w:t xml:space="preserve"> that</w:t>
      </w:r>
      <w:r w:rsidR="00341096" w:rsidRPr="00AE4CE4">
        <w:rPr>
          <w:rFonts w:ascii="Times New Roman" w:hAnsi="Times New Roman" w:cs="Times New Roman"/>
          <w:sz w:val="24"/>
        </w:rPr>
        <w:t xml:space="preserve"> they went beyond being simple </w:t>
      </w:r>
      <w:r w:rsidR="00802636" w:rsidRPr="00AE4CE4">
        <w:rPr>
          <w:rFonts w:ascii="Times New Roman" w:hAnsi="Times New Roman" w:cs="Times New Roman"/>
          <w:sz w:val="24"/>
        </w:rPr>
        <w:t>burial places and become more of a focal point for demonstrating values about death and those of status should live their lives. Essentially the transi tomb embodied the idea of ‘memento mori’ or “remember you will die” in Latin, as well as showing viewers that the individual buried there represented larger beliefs about living life and dying a good death. In particular, the tomb of Bishop Richard Fleming in Lincoln Cathedral, argued to be one of earliest English examples</w:t>
      </w:r>
      <w:r w:rsidR="00D819B8" w:rsidRPr="00AE4CE4">
        <w:rPr>
          <w:rStyle w:val="FootnoteReference"/>
          <w:rFonts w:ascii="Times New Roman" w:hAnsi="Times New Roman" w:cs="Times New Roman"/>
          <w:sz w:val="24"/>
        </w:rPr>
        <w:footnoteReference w:id="18"/>
      </w:r>
      <w:r w:rsidR="00802636" w:rsidRPr="00AE4CE4">
        <w:rPr>
          <w:rFonts w:ascii="Times New Roman" w:hAnsi="Times New Roman" w:cs="Times New Roman"/>
          <w:sz w:val="24"/>
        </w:rPr>
        <w:t>, is a double decker tomb having Fleming as he appeared in life on top and a representation of his emaciated corpse below</w:t>
      </w:r>
      <w:r w:rsidR="00D819B8" w:rsidRPr="00AE4CE4">
        <w:rPr>
          <w:rStyle w:val="FootnoteReference"/>
          <w:rFonts w:ascii="Times New Roman" w:hAnsi="Times New Roman" w:cs="Times New Roman"/>
          <w:sz w:val="24"/>
        </w:rPr>
        <w:footnoteReference w:id="19"/>
      </w:r>
      <w:r w:rsidR="00802636" w:rsidRPr="00AE4CE4">
        <w:rPr>
          <w:rFonts w:ascii="Times New Roman" w:hAnsi="Times New Roman" w:cs="Times New Roman"/>
          <w:sz w:val="24"/>
        </w:rPr>
        <w:t xml:space="preserve">. </w:t>
      </w:r>
      <w:r w:rsidR="001B4F57" w:rsidRPr="00AE4CE4">
        <w:rPr>
          <w:rFonts w:ascii="Times New Roman" w:hAnsi="Times New Roman" w:cs="Times New Roman"/>
          <w:sz w:val="24"/>
        </w:rPr>
        <w:t xml:space="preserve">The top </w:t>
      </w:r>
      <w:r w:rsidR="006C57B3" w:rsidRPr="00AE4CE4">
        <w:rPr>
          <w:rFonts w:ascii="Times New Roman" w:hAnsi="Times New Roman" w:cs="Times New Roman"/>
          <w:sz w:val="24"/>
        </w:rPr>
        <w:t>sculpture</w:t>
      </w:r>
      <w:r w:rsidR="001B4F57" w:rsidRPr="00AE4CE4">
        <w:rPr>
          <w:rFonts w:ascii="Times New Roman" w:hAnsi="Times New Roman" w:cs="Times New Roman"/>
          <w:sz w:val="24"/>
        </w:rPr>
        <w:t xml:space="preserve"> portrays Fleming in his Bishop </w:t>
      </w:r>
      <w:r w:rsidR="006C57B3" w:rsidRPr="00AE4CE4">
        <w:rPr>
          <w:rFonts w:ascii="Times New Roman" w:hAnsi="Times New Roman" w:cs="Times New Roman"/>
          <w:sz w:val="24"/>
        </w:rPr>
        <w:t>vestments</w:t>
      </w:r>
      <w:r w:rsidR="001B4F57" w:rsidRPr="00AE4CE4">
        <w:rPr>
          <w:rFonts w:ascii="Times New Roman" w:hAnsi="Times New Roman" w:cs="Times New Roman"/>
          <w:sz w:val="24"/>
        </w:rPr>
        <w:t>, arms raised in the traditional sign of the blessing. Such a portrayal</w:t>
      </w:r>
      <w:r w:rsidR="00F87EAD" w:rsidRPr="00AE4CE4">
        <w:rPr>
          <w:rFonts w:ascii="Times New Roman" w:hAnsi="Times New Roman" w:cs="Times New Roman"/>
          <w:sz w:val="24"/>
        </w:rPr>
        <w:t xml:space="preserve"> shows that Fleming wished to be </w:t>
      </w:r>
      <w:r w:rsidR="00574190" w:rsidRPr="00AE4CE4">
        <w:rPr>
          <w:rFonts w:ascii="Times New Roman" w:hAnsi="Times New Roman" w:cs="Times New Roman"/>
          <w:sz w:val="24"/>
        </w:rPr>
        <w:t xml:space="preserve">memorialised </w:t>
      </w:r>
      <w:r w:rsidR="00F87EAD" w:rsidRPr="00AE4CE4">
        <w:rPr>
          <w:rFonts w:ascii="Times New Roman" w:hAnsi="Times New Roman" w:cs="Times New Roman"/>
          <w:sz w:val="24"/>
        </w:rPr>
        <w:t xml:space="preserve">for </w:t>
      </w:r>
      <w:r w:rsidR="00574190" w:rsidRPr="00AE4CE4">
        <w:rPr>
          <w:rFonts w:ascii="Times New Roman" w:hAnsi="Times New Roman" w:cs="Times New Roman"/>
          <w:sz w:val="24"/>
        </w:rPr>
        <w:t xml:space="preserve">the role and the work he did in life, as shown by the Bishop vestments. Yet, having his arms raised in the sign of the blessing </w:t>
      </w:r>
      <w:r w:rsidR="00574190" w:rsidRPr="00AE4CE4">
        <w:rPr>
          <w:rFonts w:ascii="Times New Roman" w:hAnsi="Times New Roman" w:cs="Times New Roman"/>
          <w:sz w:val="24"/>
        </w:rPr>
        <w:lastRenderedPageBreak/>
        <w:t>portrays a deeper message than simply showing what Fleming was in life. By doing the Blessing, it shows that even in death Fleming wished to help out those who came to him, and on another level, shows to all those that see it that the concerns of the spirit of the utmost, even when dead. Elaborating further, the lower level of the transi tomb shows a representation of Flemings corpse</w:t>
      </w:r>
      <w:r w:rsidR="006C57B3" w:rsidRPr="00AE4CE4">
        <w:rPr>
          <w:rFonts w:ascii="Times New Roman" w:hAnsi="Times New Roman" w:cs="Times New Roman"/>
          <w:sz w:val="24"/>
        </w:rPr>
        <w:t xml:space="preserve"> in a state of emaciation. This is where the theme of memento mori is strongest. Having a very graphic depiction of a corpse below the</w:t>
      </w:r>
      <w:r w:rsidR="0093165A">
        <w:rPr>
          <w:rFonts w:ascii="Times New Roman" w:hAnsi="Times New Roman" w:cs="Times New Roman"/>
          <w:sz w:val="24"/>
        </w:rPr>
        <w:t xml:space="preserve"> person as they</w:t>
      </w:r>
      <w:r w:rsidR="006C57B3" w:rsidRPr="00AE4CE4">
        <w:rPr>
          <w:rFonts w:ascii="Times New Roman" w:hAnsi="Times New Roman" w:cs="Times New Roman"/>
          <w:sz w:val="24"/>
        </w:rPr>
        <w:t xml:space="preserve"> appeared in life illustrates the inevitability of death</w:t>
      </w:r>
      <w:r w:rsidR="0093165A">
        <w:rPr>
          <w:rFonts w:ascii="Times New Roman" w:hAnsi="Times New Roman" w:cs="Times New Roman"/>
          <w:sz w:val="24"/>
        </w:rPr>
        <w:t xml:space="preserve"> for all</w:t>
      </w:r>
      <w:r w:rsidR="006C57B3" w:rsidRPr="00AE4CE4">
        <w:rPr>
          <w:rFonts w:ascii="Times New Roman" w:hAnsi="Times New Roman" w:cs="Times New Roman"/>
          <w:sz w:val="24"/>
        </w:rPr>
        <w:t xml:space="preserve">, especially </w:t>
      </w:r>
      <w:r w:rsidR="00705FA3">
        <w:rPr>
          <w:rFonts w:ascii="Times New Roman" w:hAnsi="Times New Roman" w:cs="Times New Roman"/>
          <w:sz w:val="24"/>
        </w:rPr>
        <w:t>in this case</w:t>
      </w:r>
      <w:r w:rsidR="0093165A">
        <w:rPr>
          <w:rFonts w:ascii="Times New Roman" w:hAnsi="Times New Roman" w:cs="Times New Roman"/>
          <w:sz w:val="24"/>
        </w:rPr>
        <w:t>,</w:t>
      </w:r>
      <w:r w:rsidR="00705FA3">
        <w:rPr>
          <w:rFonts w:ascii="Times New Roman" w:hAnsi="Times New Roman" w:cs="Times New Roman"/>
          <w:sz w:val="24"/>
        </w:rPr>
        <w:t xml:space="preserve"> where</w:t>
      </w:r>
      <w:r w:rsidR="006C57B3" w:rsidRPr="00AE4CE4">
        <w:rPr>
          <w:rFonts w:ascii="Times New Roman" w:hAnsi="Times New Roman" w:cs="Times New Roman"/>
          <w:sz w:val="24"/>
        </w:rPr>
        <w:t xml:space="preserve"> </w:t>
      </w:r>
      <w:r w:rsidR="00705FA3">
        <w:rPr>
          <w:rFonts w:ascii="Times New Roman" w:hAnsi="Times New Roman" w:cs="Times New Roman"/>
          <w:sz w:val="24"/>
        </w:rPr>
        <w:t xml:space="preserve">the upper body </w:t>
      </w:r>
      <w:r w:rsidR="0093165A">
        <w:rPr>
          <w:rFonts w:ascii="Times New Roman" w:hAnsi="Times New Roman" w:cs="Times New Roman"/>
          <w:sz w:val="24"/>
        </w:rPr>
        <w:t>was</w:t>
      </w:r>
      <w:r w:rsidR="00705FA3">
        <w:rPr>
          <w:rFonts w:ascii="Times New Roman" w:hAnsi="Times New Roman" w:cs="Times New Roman"/>
          <w:sz w:val="24"/>
        </w:rPr>
        <w:t xml:space="preserve"> </w:t>
      </w:r>
      <w:r w:rsidR="0093165A">
        <w:rPr>
          <w:rFonts w:ascii="Times New Roman" w:hAnsi="Times New Roman" w:cs="Times New Roman"/>
          <w:sz w:val="24"/>
        </w:rPr>
        <w:t>that of a notable and accomplished man</w:t>
      </w:r>
      <w:r w:rsidR="006C57B3" w:rsidRPr="00AE4CE4">
        <w:rPr>
          <w:rFonts w:ascii="Times New Roman" w:hAnsi="Times New Roman" w:cs="Times New Roman"/>
          <w:sz w:val="24"/>
        </w:rPr>
        <w:t xml:space="preserve">. This demonstrates </w:t>
      </w:r>
      <w:r w:rsidR="0093165A" w:rsidRPr="00AE4CE4">
        <w:rPr>
          <w:rFonts w:ascii="Times New Roman" w:hAnsi="Times New Roman" w:cs="Times New Roman"/>
          <w:sz w:val="24"/>
        </w:rPr>
        <w:t>another</w:t>
      </w:r>
      <w:r w:rsidR="006C57B3" w:rsidRPr="00AE4CE4">
        <w:rPr>
          <w:rFonts w:ascii="Times New Roman" w:hAnsi="Times New Roman" w:cs="Times New Roman"/>
          <w:sz w:val="24"/>
        </w:rPr>
        <w:t xml:space="preserve"> theme in medieval </w:t>
      </w:r>
      <w:r w:rsidR="0093165A" w:rsidRPr="00AE4CE4">
        <w:rPr>
          <w:rFonts w:ascii="Times New Roman" w:hAnsi="Times New Roman" w:cs="Times New Roman"/>
          <w:sz w:val="24"/>
        </w:rPr>
        <w:t>memorialisation’s</w:t>
      </w:r>
      <w:r w:rsidR="006C57B3" w:rsidRPr="00AE4CE4">
        <w:rPr>
          <w:rFonts w:ascii="Times New Roman" w:hAnsi="Times New Roman" w:cs="Times New Roman"/>
          <w:sz w:val="24"/>
        </w:rPr>
        <w:t xml:space="preserve"> that being death is the great leveller, that it all no matter what station in life would die and face judgment for their actions in life. The transi tomb in particular is symbol of </w:t>
      </w:r>
      <w:r w:rsidR="0093165A" w:rsidRPr="00AE4CE4">
        <w:rPr>
          <w:rFonts w:ascii="Times New Roman" w:hAnsi="Times New Roman" w:cs="Times New Roman"/>
          <w:sz w:val="24"/>
        </w:rPr>
        <w:t>aton</w:t>
      </w:r>
      <w:r w:rsidR="0093165A">
        <w:rPr>
          <w:rFonts w:ascii="Times New Roman" w:hAnsi="Times New Roman" w:cs="Times New Roman"/>
          <w:sz w:val="24"/>
        </w:rPr>
        <w:t>e</w:t>
      </w:r>
      <w:r w:rsidR="0093165A" w:rsidRPr="00AE4CE4">
        <w:rPr>
          <w:rFonts w:ascii="Times New Roman" w:hAnsi="Times New Roman" w:cs="Times New Roman"/>
          <w:sz w:val="24"/>
        </w:rPr>
        <w:t>ment</w:t>
      </w:r>
      <w:r w:rsidR="006C57B3" w:rsidRPr="00AE4CE4">
        <w:rPr>
          <w:rFonts w:ascii="Times New Roman" w:hAnsi="Times New Roman" w:cs="Times New Roman"/>
          <w:sz w:val="24"/>
        </w:rPr>
        <w:t xml:space="preserve"> for those power and wealth. By depicting themselves in such a gruesome and shocking state, it aimed to show their piety and attempts at </w:t>
      </w:r>
      <w:r w:rsidR="0093165A" w:rsidRPr="00AE4CE4">
        <w:rPr>
          <w:rFonts w:ascii="Times New Roman" w:hAnsi="Times New Roman" w:cs="Times New Roman"/>
          <w:sz w:val="24"/>
        </w:rPr>
        <w:t>atonement</w:t>
      </w:r>
      <w:r w:rsidR="006C57B3" w:rsidRPr="00AE4CE4">
        <w:rPr>
          <w:rFonts w:ascii="Times New Roman" w:hAnsi="Times New Roman" w:cs="Times New Roman"/>
          <w:sz w:val="24"/>
        </w:rPr>
        <w:t xml:space="preserve"> for sins committed in life. </w:t>
      </w:r>
    </w:p>
    <w:p w:rsidR="006C57B3" w:rsidRPr="00AE4CE4" w:rsidRDefault="006C57B3" w:rsidP="00AE4CE4">
      <w:pPr>
        <w:spacing w:line="360" w:lineRule="auto"/>
        <w:rPr>
          <w:rFonts w:ascii="Times New Roman" w:hAnsi="Times New Roman" w:cs="Times New Roman"/>
          <w:sz w:val="24"/>
        </w:rPr>
      </w:pPr>
      <w:r w:rsidRPr="00AE4CE4">
        <w:rPr>
          <w:rFonts w:ascii="Times New Roman" w:hAnsi="Times New Roman" w:cs="Times New Roman"/>
          <w:sz w:val="24"/>
        </w:rPr>
        <w:t xml:space="preserve">Moreover, medieval </w:t>
      </w:r>
      <w:r w:rsidR="0093165A" w:rsidRPr="00AE4CE4">
        <w:rPr>
          <w:rFonts w:ascii="Times New Roman" w:hAnsi="Times New Roman" w:cs="Times New Roman"/>
          <w:sz w:val="24"/>
        </w:rPr>
        <w:t>memorial</w:t>
      </w:r>
      <w:r w:rsidR="0093165A">
        <w:rPr>
          <w:rFonts w:ascii="Times New Roman" w:hAnsi="Times New Roman" w:cs="Times New Roman"/>
          <w:sz w:val="24"/>
        </w:rPr>
        <w:t>i</w:t>
      </w:r>
      <w:r w:rsidR="0093165A" w:rsidRPr="00AE4CE4">
        <w:rPr>
          <w:rFonts w:ascii="Times New Roman" w:hAnsi="Times New Roman" w:cs="Times New Roman"/>
          <w:sz w:val="24"/>
        </w:rPr>
        <w:t>sation’s</w:t>
      </w:r>
      <w:r w:rsidRPr="00AE4CE4">
        <w:rPr>
          <w:rFonts w:ascii="Times New Roman" w:hAnsi="Times New Roman" w:cs="Times New Roman"/>
          <w:sz w:val="24"/>
        </w:rPr>
        <w:t xml:space="preserve"> also </w:t>
      </w:r>
      <w:r w:rsidR="006C5A22" w:rsidRPr="00AE4CE4">
        <w:rPr>
          <w:rFonts w:ascii="Times New Roman" w:hAnsi="Times New Roman" w:cs="Times New Roman"/>
          <w:sz w:val="24"/>
        </w:rPr>
        <w:t>aimed to show that the state of a man soul was not certain, regardless of what they were in life. As previously mentioned, the transi tomb of Richard Fleming did contain at one point an epitaph which memorialised who was and what he did in life, but also tells of the vanity of human life and ends with the line “whoever understands this, I beseech you, pray for me</w:t>
      </w:r>
      <w:r w:rsidR="006C5A22" w:rsidRPr="00AE4CE4">
        <w:rPr>
          <w:rStyle w:val="FootnoteReference"/>
          <w:rFonts w:ascii="Times New Roman" w:hAnsi="Times New Roman" w:cs="Times New Roman"/>
          <w:sz w:val="24"/>
        </w:rPr>
        <w:footnoteReference w:id="20"/>
      </w:r>
      <w:r w:rsidR="006C5A22" w:rsidRPr="00AE4CE4">
        <w:rPr>
          <w:rFonts w:ascii="Times New Roman" w:hAnsi="Times New Roman" w:cs="Times New Roman"/>
          <w:sz w:val="24"/>
        </w:rPr>
        <w:t xml:space="preserve">”, asking the reader to reflect on life itself. This line portrays a humility and an uncertainty about the final destination of a </w:t>
      </w:r>
      <w:r w:rsidR="0093165A" w:rsidRPr="00AE4CE4">
        <w:rPr>
          <w:rFonts w:ascii="Times New Roman" w:hAnsi="Times New Roman" w:cs="Times New Roman"/>
          <w:sz w:val="24"/>
        </w:rPr>
        <w:t>man’s</w:t>
      </w:r>
      <w:r w:rsidR="006C5A22" w:rsidRPr="00AE4CE4">
        <w:rPr>
          <w:rFonts w:ascii="Times New Roman" w:hAnsi="Times New Roman" w:cs="Times New Roman"/>
          <w:sz w:val="24"/>
        </w:rPr>
        <w:t xml:space="preserve"> soul, which is reinforced by the desire to obtain prayers in order to help his soul in the afterlife. This theme of </w:t>
      </w:r>
      <w:r w:rsidR="0093165A" w:rsidRPr="00AE4CE4">
        <w:rPr>
          <w:rFonts w:ascii="Times New Roman" w:hAnsi="Times New Roman" w:cs="Times New Roman"/>
          <w:sz w:val="24"/>
        </w:rPr>
        <w:t>memorial</w:t>
      </w:r>
      <w:r w:rsidR="0093165A">
        <w:rPr>
          <w:rFonts w:ascii="Times New Roman" w:hAnsi="Times New Roman" w:cs="Times New Roman"/>
          <w:sz w:val="24"/>
        </w:rPr>
        <w:t>i</w:t>
      </w:r>
      <w:r w:rsidR="0093165A" w:rsidRPr="00AE4CE4">
        <w:rPr>
          <w:rFonts w:ascii="Times New Roman" w:hAnsi="Times New Roman" w:cs="Times New Roman"/>
          <w:sz w:val="24"/>
        </w:rPr>
        <w:t>sation</w:t>
      </w:r>
      <w:r w:rsidR="006C5A22" w:rsidRPr="00AE4CE4">
        <w:rPr>
          <w:rFonts w:ascii="Times New Roman" w:hAnsi="Times New Roman" w:cs="Times New Roman"/>
          <w:sz w:val="24"/>
        </w:rPr>
        <w:t xml:space="preserve"> is also found in </w:t>
      </w:r>
      <w:r w:rsidR="0093165A" w:rsidRPr="00AE4CE4">
        <w:rPr>
          <w:rFonts w:ascii="Times New Roman" w:hAnsi="Times New Roman" w:cs="Times New Roman"/>
          <w:sz w:val="24"/>
        </w:rPr>
        <w:t>literary</w:t>
      </w:r>
      <w:r w:rsidR="006C5A22" w:rsidRPr="00AE4CE4">
        <w:rPr>
          <w:rFonts w:ascii="Times New Roman" w:hAnsi="Times New Roman" w:cs="Times New Roman"/>
          <w:sz w:val="24"/>
        </w:rPr>
        <w:t xml:space="preserve"> works, specifically in Book VIII of Orderic Vitalis’ </w:t>
      </w:r>
      <w:r w:rsidR="0093165A" w:rsidRPr="00AE4CE4">
        <w:rPr>
          <w:rFonts w:ascii="Times New Roman" w:hAnsi="Times New Roman" w:cs="Times New Roman"/>
          <w:sz w:val="24"/>
        </w:rPr>
        <w:t>ecclesiastical</w:t>
      </w:r>
      <w:r w:rsidR="006C5A22" w:rsidRPr="00AE4CE4">
        <w:rPr>
          <w:rFonts w:ascii="Times New Roman" w:hAnsi="Times New Roman" w:cs="Times New Roman"/>
          <w:sz w:val="24"/>
        </w:rPr>
        <w:t xml:space="preserve"> history</w:t>
      </w:r>
      <w:r w:rsidR="006C5A22" w:rsidRPr="00AE4CE4">
        <w:rPr>
          <w:rStyle w:val="FootnoteReference"/>
          <w:rFonts w:ascii="Times New Roman" w:hAnsi="Times New Roman" w:cs="Times New Roman"/>
          <w:sz w:val="24"/>
        </w:rPr>
        <w:footnoteReference w:id="21"/>
      </w:r>
      <w:r w:rsidR="006C5A22" w:rsidRPr="00AE4CE4">
        <w:rPr>
          <w:rFonts w:ascii="Times New Roman" w:hAnsi="Times New Roman" w:cs="Times New Roman"/>
          <w:sz w:val="24"/>
        </w:rPr>
        <w:t>. Vitalis’ writes of Lord Robert, who is a sinful man unexpectedly slain in battle. The author laments and warns against such sinful living but remarks how we should “Pray humbly that he may find room in heaven</w:t>
      </w:r>
      <w:r w:rsidR="006C5A22" w:rsidRPr="00AE4CE4">
        <w:rPr>
          <w:rStyle w:val="FootnoteReference"/>
          <w:rFonts w:ascii="Times New Roman" w:hAnsi="Times New Roman" w:cs="Times New Roman"/>
          <w:sz w:val="24"/>
        </w:rPr>
        <w:footnoteReference w:id="22"/>
      </w:r>
      <w:r w:rsidR="006C5A22" w:rsidRPr="00AE4CE4">
        <w:rPr>
          <w:rFonts w:ascii="Times New Roman" w:hAnsi="Times New Roman" w:cs="Times New Roman"/>
          <w:sz w:val="24"/>
        </w:rPr>
        <w:t xml:space="preserve">”. This line demonstrates that even memorials were embellished with greater lessons and that at the end of it all, the fate of a </w:t>
      </w:r>
      <w:r w:rsidR="00CB316C" w:rsidRPr="00AE4CE4">
        <w:rPr>
          <w:rFonts w:ascii="Times New Roman" w:hAnsi="Times New Roman" w:cs="Times New Roman"/>
          <w:sz w:val="24"/>
        </w:rPr>
        <w:t>man’s</w:t>
      </w:r>
      <w:r w:rsidR="006C5A22" w:rsidRPr="00AE4CE4">
        <w:rPr>
          <w:rFonts w:ascii="Times New Roman" w:hAnsi="Times New Roman" w:cs="Times New Roman"/>
          <w:sz w:val="24"/>
        </w:rPr>
        <w:t xml:space="preserve"> soul when he died was unknown except by God.  </w:t>
      </w:r>
    </w:p>
    <w:p w:rsidR="006C5A22" w:rsidRPr="00AE4CE4" w:rsidRDefault="006C5A22" w:rsidP="00AE4CE4">
      <w:pPr>
        <w:spacing w:line="360" w:lineRule="auto"/>
        <w:rPr>
          <w:rFonts w:ascii="Times New Roman" w:hAnsi="Times New Roman" w:cs="Times New Roman"/>
          <w:sz w:val="24"/>
        </w:rPr>
      </w:pPr>
      <w:r w:rsidRPr="00AE4CE4">
        <w:rPr>
          <w:rFonts w:ascii="Times New Roman" w:hAnsi="Times New Roman" w:cs="Times New Roman"/>
          <w:sz w:val="24"/>
        </w:rPr>
        <w:t xml:space="preserve">In conclusion, </w:t>
      </w:r>
      <w:r w:rsidR="00CB316C" w:rsidRPr="00AE4CE4">
        <w:rPr>
          <w:rFonts w:ascii="Times New Roman" w:hAnsi="Times New Roman" w:cs="Times New Roman"/>
          <w:sz w:val="24"/>
        </w:rPr>
        <w:t>memorialisation</w:t>
      </w:r>
      <w:r w:rsidRPr="00AE4CE4">
        <w:rPr>
          <w:rFonts w:ascii="Times New Roman" w:hAnsi="Times New Roman" w:cs="Times New Roman"/>
          <w:sz w:val="24"/>
        </w:rPr>
        <w:t xml:space="preserve"> in the medieval period </w:t>
      </w:r>
      <w:r w:rsidR="00C44ABE" w:rsidRPr="00AE4CE4">
        <w:rPr>
          <w:rFonts w:ascii="Times New Roman" w:hAnsi="Times New Roman" w:cs="Times New Roman"/>
          <w:sz w:val="24"/>
        </w:rPr>
        <w:t xml:space="preserve">was preoccupied with respecting and honouring the dead, but also imparting to those who would listen morals and lessons about how to live </w:t>
      </w:r>
      <w:r w:rsidR="00326AA0" w:rsidRPr="00AE4CE4">
        <w:rPr>
          <w:rFonts w:ascii="Times New Roman" w:hAnsi="Times New Roman" w:cs="Times New Roman"/>
          <w:sz w:val="24"/>
        </w:rPr>
        <w:t>one’s</w:t>
      </w:r>
      <w:r w:rsidR="00C44ABE" w:rsidRPr="00AE4CE4">
        <w:rPr>
          <w:rFonts w:ascii="Times New Roman" w:hAnsi="Times New Roman" w:cs="Times New Roman"/>
          <w:sz w:val="24"/>
        </w:rPr>
        <w:t xml:space="preserve"> life and to prepare oneself for death. </w:t>
      </w:r>
    </w:p>
    <w:p w:rsidR="00326AA0" w:rsidRDefault="00326AA0" w:rsidP="00326AA0">
      <w:pPr>
        <w:pStyle w:val="Heading1"/>
        <w:rPr>
          <w:b/>
          <w:u w:val="single"/>
        </w:rPr>
      </w:pPr>
    </w:p>
    <w:p w:rsidR="00D17707" w:rsidRPr="00326AA0" w:rsidRDefault="00326AA0" w:rsidP="00326AA0">
      <w:pPr>
        <w:pStyle w:val="Heading1"/>
        <w:rPr>
          <w:b/>
          <w:u w:val="single"/>
        </w:rPr>
      </w:pPr>
      <w:r w:rsidRPr="00AE4CE4">
        <w:rPr>
          <w:rFonts w:ascii="Times New Roman" w:hAnsi="Times New Roman" w:cs="Times New Roman"/>
          <w:noProof/>
          <w:color w:val="1A0DAB"/>
          <w:szCs w:val="20"/>
          <w:bdr w:val="none" w:sz="0" w:space="0" w:color="auto" w:frame="1"/>
        </w:rPr>
        <w:drawing>
          <wp:anchor distT="0" distB="0" distL="114300" distR="114300" simplePos="0" relativeHeight="251658240" behindDoc="0" locked="0" layoutInCell="1" allowOverlap="1">
            <wp:simplePos x="0" y="0"/>
            <wp:positionH relativeFrom="column">
              <wp:posOffset>1239824</wp:posOffset>
            </wp:positionH>
            <wp:positionV relativeFrom="paragraph">
              <wp:posOffset>507199</wp:posOffset>
            </wp:positionV>
            <wp:extent cx="3111500" cy="4940300"/>
            <wp:effectExtent l="0" t="0" r="0" b="0"/>
            <wp:wrapTopAndBottom/>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1500" cy="4940300"/>
                    </a:xfrm>
                    <a:prstGeom prst="rect">
                      <a:avLst/>
                    </a:prstGeom>
                    <a:noFill/>
                    <a:ln>
                      <a:noFill/>
                    </a:ln>
                  </pic:spPr>
                </pic:pic>
              </a:graphicData>
            </a:graphic>
            <wp14:sizeRelH relativeFrom="page">
              <wp14:pctWidth>0</wp14:pctWidth>
            </wp14:sizeRelH>
            <wp14:sizeRelV relativeFrom="page">
              <wp14:pctHeight>0</wp14:pctHeight>
            </wp14:sizeRelV>
          </wp:anchor>
        </w:drawing>
      </w:r>
      <w:r w:rsidR="004F52D7" w:rsidRPr="00326AA0">
        <w:rPr>
          <w:b/>
          <w:u w:val="single"/>
        </w:rPr>
        <w:t xml:space="preserve">3 – Skull of Mary Magdalene </w:t>
      </w:r>
    </w:p>
    <w:p w:rsidR="00D17707" w:rsidRPr="00AE4CE4" w:rsidRDefault="00066F14" w:rsidP="00AE4CE4">
      <w:pPr>
        <w:spacing w:line="360" w:lineRule="auto"/>
        <w:rPr>
          <w:rFonts w:ascii="Times New Roman" w:hAnsi="Times New Roman" w:cs="Times New Roman"/>
          <w:sz w:val="24"/>
        </w:rPr>
      </w:pPr>
      <w:r w:rsidRPr="00AE4CE4">
        <w:rPr>
          <w:rFonts w:ascii="Times New Roman" w:hAnsi="Times New Roman" w:cs="Times New Roman"/>
          <w:sz w:val="24"/>
        </w:rPr>
        <w:t xml:space="preserve">The image I have chosen </w:t>
      </w:r>
      <w:r w:rsidR="004A51DA" w:rsidRPr="00AE4CE4">
        <w:rPr>
          <w:rFonts w:ascii="Times New Roman" w:hAnsi="Times New Roman" w:cs="Times New Roman"/>
          <w:sz w:val="24"/>
        </w:rPr>
        <w:t xml:space="preserve">the Skull of Mary </w:t>
      </w:r>
      <w:r w:rsidR="00FB0E4E" w:rsidRPr="00AE4CE4">
        <w:rPr>
          <w:rFonts w:ascii="Times New Roman" w:hAnsi="Times New Roman" w:cs="Times New Roman"/>
          <w:sz w:val="24"/>
        </w:rPr>
        <w:t>Magdalene</w:t>
      </w:r>
      <w:r w:rsidR="004A51DA" w:rsidRPr="00AE4CE4">
        <w:rPr>
          <w:rFonts w:ascii="Times New Roman" w:hAnsi="Times New Roman" w:cs="Times New Roman"/>
          <w:sz w:val="24"/>
        </w:rPr>
        <w:t xml:space="preserve"> reliquary</w:t>
      </w:r>
      <w:r w:rsidR="002110EC">
        <w:rPr>
          <w:rStyle w:val="FootnoteReference"/>
          <w:rFonts w:ascii="Times New Roman" w:hAnsi="Times New Roman" w:cs="Times New Roman"/>
          <w:sz w:val="24"/>
        </w:rPr>
        <w:footnoteReference w:id="23"/>
      </w:r>
      <w:r w:rsidR="004A51DA" w:rsidRPr="00AE4CE4">
        <w:rPr>
          <w:rFonts w:ascii="Times New Roman" w:hAnsi="Times New Roman" w:cs="Times New Roman"/>
          <w:sz w:val="24"/>
        </w:rPr>
        <w:t xml:space="preserve"> located in St Maximin Basilica in the south of France. </w:t>
      </w:r>
      <w:r w:rsidR="00A8366B" w:rsidRPr="00AE4CE4">
        <w:rPr>
          <w:rFonts w:ascii="Times New Roman" w:hAnsi="Times New Roman" w:cs="Times New Roman"/>
          <w:sz w:val="24"/>
        </w:rPr>
        <w:t xml:space="preserve">This particular reliquary houses the skull </w:t>
      </w:r>
      <w:r w:rsidR="002318D9" w:rsidRPr="00AE4CE4">
        <w:rPr>
          <w:rFonts w:ascii="Times New Roman" w:hAnsi="Times New Roman" w:cs="Times New Roman"/>
          <w:sz w:val="24"/>
        </w:rPr>
        <w:t xml:space="preserve">of Mary </w:t>
      </w:r>
      <w:r w:rsidR="009F57CC" w:rsidRPr="00AE4CE4">
        <w:rPr>
          <w:rFonts w:ascii="Times New Roman" w:hAnsi="Times New Roman" w:cs="Times New Roman"/>
          <w:sz w:val="24"/>
        </w:rPr>
        <w:t>Magdalene, patron</w:t>
      </w:r>
      <w:r w:rsidR="00FB2F04" w:rsidRPr="00AE4CE4">
        <w:rPr>
          <w:rFonts w:ascii="Times New Roman" w:hAnsi="Times New Roman" w:cs="Times New Roman"/>
          <w:sz w:val="24"/>
        </w:rPr>
        <w:t xml:space="preserve"> saint of coverts and repentant sinners among other causes</w:t>
      </w:r>
      <w:r w:rsidR="00F00AB2">
        <w:rPr>
          <w:rFonts w:ascii="Times New Roman" w:hAnsi="Times New Roman" w:cs="Times New Roman"/>
          <w:sz w:val="24"/>
        </w:rPr>
        <w:t>.</w:t>
      </w:r>
      <w:r w:rsidR="00FB2F04" w:rsidRPr="00AE4CE4">
        <w:rPr>
          <w:rFonts w:ascii="Times New Roman" w:hAnsi="Times New Roman" w:cs="Times New Roman"/>
          <w:sz w:val="24"/>
        </w:rPr>
        <w:t xml:space="preserve"> </w:t>
      </w:r>
    </w:p>
    <w:p w:rsidR="00EC2247" w:rsidRPr="00AE4CE4" w:rsidRDefault="00EC2247" w:rsidP="00AE4CE4">
      <w:pPr>
        <w:spacing w:line="360" w:lineRule="auto"/>
        <w:rPr>
          <w:rFonts w:ascii="Times New Roman" w:hAnsi="Times New Roman" w:cs="Times New Roman"/>
          <w:sz w:val="24"/>
        </w:rPr>
      </w:pPr>
      <w:r w:rsidRPr="00AE4CE4">
        <w:rPr>
          <w:rFonts w:ascii="Times New Roman" w:hAnsi="Times New Roman" w:cs="Times New Roman"/>
          <w:sz w:val="24"/>
        </w:rPr>
        <w:t xml:space="preserve">The first aspect of this image to consider is the </w:t>
      </w:r>
      <w:r w:rsidR="00FB0E4E" w:rsidRPr="00AE4CE4">
        <w:rPr>
          <w:rFonts w:ascii="Times New Roman" w:hAnsi="Times New Roman" w:cs="Times New Roman"/>
          <w:sz w:val="24"/>
        </w:rPr>
        <w:t>grandiose</w:t>
      </w:r>
      <w:r w:rsidRPr="00AE4CE4">
        <w:rPr>
          <w:rFonts w:ascii="Times New Roman" w:hAnsi="Times New Roman" w:cs="Times New Roman"/>
          <w:sz w:val="24"/>
        </w:rPr>
        <w:t xml:space="preserve"> nature of </w:t>
      </w:r>
      <w:r w:rsidR="009C601B" w:rsidRPr="00AE4CE4">
        <w:rPr>
          <w:rFonts w:ascii="Times New Roman" w:hAnsi="Times New Roman" w:cs="Times New Roman"/>
          <w:sz w:val="24"/>
        </w:rPr>
        <w:t xml:space="preserve">the reliquary. In comparison to </w:t>
      </w:r>
      <w:r w:rsidR="009F57CC" w:rsidRPr="00AE4CE4">
        <w:rPr>
          <w:rFonts w:ascii="Times New Roman" w:hAnsi="Times New Roman" w:cs="Times New Roman"/>
          <w:sz w:val="24"/>
        </w:rPr>
        <w:t>another</w:t>
      </w:r>
      <w:r w:rsidR="00FB2F04" w:rsidRPr="00AE4CE4">
        <w:rPr>
          <w:rFonts w:ascii="Times New Roman" w:hAnsi="Times New Roman" w:cs="Times New Roman"/>
          <w:sz w:val="24"/>
        </w:rPr>
        <w:t xml:space="preserve"> reliquary’s, such as that of St. Valentine</w:t>
      </w:r>
      <w:r w:rsidR="009C601B" w:rsidRPr="00AE4CE4">
        <w:rPr>
          <w:rFonts w:ascii="Times New Roman" w:hAnsi="Times New Roman" w:cs="Times New Roman"/>
          <w:sz w:val="24"/>
        </w:rPr>
        <w:t xml:space="preserve">, this reliquary </w:t>
      </w:r>
      <w:r w:rsidR="00FB2F04" w:rsidRPr="00AE4CE4">
        <w:rPr>
          <w:rFonts w:ascii="Times New Roman" w:hAnsi="Times New Roman" w:cs="Times New Roman"/>
          <w:sz w:val="24"/>
        </w:rPr>
        <w:t xml:space="preserve">fits the standard of being </w:t>
      </w:r>
      <w:r w:rsidR="009C601B" w:rsidRPr="00AE4CE4">
        <w:rPr>
          <w:rFonts w:ascii="Times New Roman" w:hAnsi="Times New Roman" w:cs="Times New Roman"/>
          <w:sz w:val="24"/>
        </w:rPr>
        <w:t xml:space="preserve">incredibly ornate and surprisingly beautiful. </w:t>
      </w:r>
      <w:r w:rsidR="00FB2F04" w:rsidRPr="00AE4CE4">
        <w:rPr>
          <w:rFonts w:ascii="Times New Roman" w:hAnsi="Times New Roman" w:cs="Times New Roman"/>
          <w:sz w:val="24"/>
        </w:rPr>
        <w:t xml:space="preserve">Yet, in relation to others, it is much larger and dominating, representing a small building of its own. </w:t>
      </w:r>
      <w:r w:rsidR="009C601B" w:rsidRPr="00AE4CE4">
        <w:rPr>
          <w:rFonts w:ascii="Times New Roman" w:hAnsi="Times New Roman" w:cs="Times New Roman"/>
          <w:sz w:val="24"/>
        </w:rPr>
        <w:t xml:space="preserve">The entire reliquary is made of gold or is gold plated, making for a visually striking presence in the Basilica. For those who would come to view the reliquary, this choose reflects a few different ideas. The </w:t>
      </w:r>
      <w:r w:rsidR="009C601B" w:rsidRPr="00AE4CE4">
        <w:rPr>
          <w:rFonts w:ascii="Times New Roman" w:hAnsi="Times New Roman" w:cs="Times New Roman"/>
          <w:sz w:val="24"/>
        </w:rPr>
        <w:lastRenderedPageBreak/>
        <w:t>first is that it indica</w:t>
      </w:r>
      <w:r w:rsidR="00AA5B2D" w:rsidRPr="00AE4CE4">
        <w:rPr>
          <w:rFonts w:ascii="Times New Roman" w:hAnsi="Times New Roman" w:cs="Times New Roman"/>
          <w:sz w:val="24"/>
        </w:rPr>
        <w:t>tes how valuable and precious this saintly object is. By building an elaborate and finely crafted reliquary, it indicates to all that the object housed within is of great value and devotion</w:t>
      </w:r>
      <w:r w:rsidR="009F57CC" w:rsidRPr="00AE4CE4">
        <w:rPr>
          <w:rFonts w:ascii="Times New Roman" w:hAnsi="Times New Roman" w:cs="Times New Roman"/>
          <w:sz w:val="24"/>
        </w:rPr>
        <w:t xml:space="preserve">, while also showing that only the finest is good enough for God and his saints. </w:t>
      </w:r>
      <w:r w:rsidR="00AA5B2D" w:rsidRPr="00AE4CE4">
        <w:rPr>
          <w:rFonts w:ascii="Times New Roman" w:hAnsi="Times New Roman" w:cs="Times New Roman"/>
          <w:sz w:val="24"/>
        </w:rPr>
        <w:t>Secondly, as there</w:t>
      </w:r>
      <w:r w:rsidR="009F57CC" w:rsidRPr="00AE4CE4">
        <w:rPr>
          <w:rFonts w:ascii="Times New Roman" w:hAnsi="Times New Roman" w:cs="Times New Roman"/>
          <w:sz w:val="24"/>
        </w:rPr>
        <w:t xml:space="preserve"> is an entire week dedicated to Mary Magdalene, entitled</w:t>
      </w:r>
      <w:r w:rsidR="00AA5B2D" w:rsidRPr="00AE4CE4">
        <w:rPr>
          <w:rFonts w:ascii="Times New Roman" w:hAnsi="Times New Roman" w:cs="Times New Roman"/>
          <w:sz w:val="24"/>
        </w:rPr>
        <w:t xml:space="preserve"> the feast of Mary </w:t>
      </w:r>
      <w:r w:rsidR="00FB0E4E" w:rsidRPr="00AE4CE4">
        <w:rPr>
          <w:rFonts w:ascii="Times New Roman" w:hAnsi="Times New Roman" w:cs="Times New Roman"/>
          <w:sz w:val="24"/>
        </w:rPr>
        <w:t>Magdalene</w:t>
      </w:r>
      <w:r w:rsidR="00A372B2" w:rsidRPr="00AE4CE4">
        <w:rPr>
          <w:rStyle w:val="FootnoteReference"/>
          <w:rFonts w:ascii="Times New Roman" w:hAnsi="Times New Roman" w:cs="Times New Roman"/>
          <w:sz w:val="24"/>
        </w:rPr>
        <w:footnoteReference w:id="24"/>
      </w:r>
      <w:r w:rsidR="0070536F" w:rsidRPr="00AE4CE4">
        <w:rPr>
          <w:rFonts w:ascii="Times New Roman" w:hAnsi="Times New Roman" w:cs="Times New Roman"/>
          <w:sz w:val="24"/>
        </w:rPr>
        <w:t>, such</w:t>
      </w:r>
      <w:r w:rsidR="009F57CC" w:rsidRPr="00AE4CE4">
        <w:rPr>
          <w:rFonts w:ascii="Times New Roman" w:hAnsi="Times New Roman" w:cs="Times New Roman"/>
          <w:sz w:val="24"/>
        </w:rPr>
        <w:t xml:space="preserve"> a</w:t>
      </w:r>
      <w:r w:rsidR="0070536F" w:rsidRPr="00AE4CE4">
        <w:rPr>
          <w:rFonts w:ascii="Times New Roman" w:hAnsi="Times New Roman" w:cs="Times New Roman"/>
          <w:sz w:val="24"/>
        </w:rPr>
        <w:t xml:space="preserve"> decision</w:t>
      </w:r>
      <w:r w:rsidR="009F57CC" w:rsidRPr="00AE4CE4">
        <w:rPr>
          <w:rFonts w:ascii="Times New Roman" w:hAnsi="Times New Roman" w:cs="Times New Roman"/>
          <w:sz w:val="24"/>
        </w:rPr>
        <w:t xml:space="preserve"> to make the reliquary large and solely gold </w:t>
      </w:r>
      <w:r w:rsidR="0070536F" w:rsidRPr="00AE4CE4">
        <w:rPr>
          <w:rFonts w:ascii="Times New Roman" w:hAnsi="Times New Roman" w:cs="Times New Roman"/>
          <w:sz w:val="24"/>
        </w:rPr>
        <w:t>could have also been done to bring attention to the reli</w:t>
      </w:r>
      <w:r w:rsidR="00FB0E4E" w:rsidRPr="00AE4CE4">
        <w:rPr>
          <w:rFonts w:ascii="Times New Roman" w:hAnsi="Times New Roman" w:cs="Times New Roman"/>
          <w:sz w:val="24"/>
        </w:rPr>
        <w:t>c</w:t>
      </w:r>
      <w:r w:rsidR="0070536F" w:rsidRPr="00AE4CE4">
        <w:rPr>
          <w:rFonts w:ascii="Times New Roman" w:hAnsi="Times New Roman" w:cs="Times New Roman"/>
          <w:sz w:val="24"/>
        </w:rPr>
        <w:t xml:space="preserve"> and </w:t>
      </w:r>
      <w:r w:rsidR="003055C5" w:rsidRPr="00AE4CE4">
        <w:rPr>
          <w:rFonts w:ascii="Times New Roman" w:hAnsi="Times New Roman" w:cs="Times New Roman"/>
          <w:sz w:val="24"/>
        </w:rPr>
        <w:t xml:space="preserve">further demonstrate the </w:t>
      </w:r>
      <w:r w:rsidR="00671BCB" w:rsidRPr="00AE4CE4">
        <w:rPr>
          <w:rFonts w:ascii="Times New Roman" w:hAnsi="Times New Roman" w:cs="Times New Roman"/>
          <w:sz w:val="24"/>
        </w:rPr>
        <w:t xml:space="preserve">significance of this particular object of devotion. </w:t>
      </w:r>
      <w:r w:rsidR="00A372B2" w:rsidRPr="00AE4CE4">
        <w:rPr>
          <w:rFonts w:ascii="Times New Roman" w:hAnsi="Times New Roman" w:cs="Times New Roman"/>
          <w:sz w:val="24"/>
        </w:rPr>
        <w:t>Also, as the reliquary was and still is used in a procession through the streets</w:t>
      </w:r>
      <w:r w:rsidR="009F57CC" w:rsidRPr="00AE4CE4">
        <w:rPr>
          <w:rFonts w:ascii="Times New Roman" w:hAnsi="Times New Roman" w:cs="Times New Roman"/>
          <w:sz w:val="24"/>
        </w:rPr>
        <w:t xml:space="preserve"> of</w:t>
      </w:r>
      <w:r w:rsidR="00A372B2" w:rsidRPr="00AE4CE4">
        <w:rPr>
          <w:rFonts w:ascii="Times New Roman" w:hAnsi="Times New Roman" w:cs="Times New Roman"/>
          <w:sz w:val="24"/>
        </w:rPr>
        <w:t xml:space="preserve"> St. Maximin-la-Sainte-Baume, often under candlelight, the gold gilding would </w:t>
      </w:r>
      <w:r w:rsidR="00141C06" w:rsidRPr="00AE4CE4">
        <w:rPr>
          <w:rFonts w:ascii="Times New Roman" w:hAnsi="Times New Roman" w:cs="Times New Roman"/>
          <w:sz w:val="24"/>
        </w:rPr>
        <w:t xml:space="preserve">reflect the light and </w:t>
      </w:r>
      <w:r w:rsidR="005B2CB5" w:rsidRPr="00AE4CE4">
        <w:rPr>
          <w:rFonts w:ascii="Times New Roman" w:hAnsi="Times New Roman" w:cs="Times New Roman"/>
          <w:sz w:val="24"/>
        </w:rPr>
        <w:t>add a</w:t>
      </w:r>
      <w:r w:rsidR="004B0984" w:rsidRPr="00AE4CE4">
        <w:rPr>
          <w:rFonts w:ascii="Times New Roman" w:hAnsi="Times New Roman" w:cs="Times New Roman"/>
          <w:sz w:val="24"/>
        </w:rPr>
        <w:t xml:space="preserve"> </w:t>
      </w:r>
      <w:r w:rsidR="009F57CC" w:rsidRPr="00AE4CE4">
        <w:rPr>
          <w:rFonts w:ascii="Times New Roman" w:hAnsi="Times New Roman" w:cs="Times New Roman"/>
          <w:sz w:val="24"/>
        </w:rPr>
        <w:t>heavenly</w:t>
      </w:r>
      <w:r w:rsidR="004B0984" w:rsidRPr="00AE4CE4">
        <w:rPr>
          <w:rFonts w:ascii="Times New Roman" w:hAnsi="Times New Roman" w:cs="Times New Roman"/>
          <w:sz w:val="24"/>
        </w:rPr>
        <w:t xml:space="preserve"> aura to it and adding to the overall affect of the piece</w:t>
      </w:r>
      <w:r w:rsidR="009F57CC" w:rsidRPr="00AE4CE4">
        <w:rPr>
          <w:rFonts w:ascii="Times New Roman" w:hAnsi="Times New Roman" w:cs="Times New Roman"/>
          <w:sz w:val="24"/>
        </w:rPr>
        <w:t xml:space="preserve">, conveying the intercessional power of the relic and saint to those who saw it. </w:t>
      </w:r>
    </w:p>
    <w:p w:rsidR="004B0984" w:rsidRDefault="004B0984" w:rsidP="00AE4CE4">
      <w:pPr>
        <w:spacing w:line="360" w:lineRule="auto"/>
        <w:rPr>
          <w:rFonts w:ascii="Times New Roman" w:hAnsi="Times New Roman" w:cs="Times New Roman"/>
          <w:sz w:val="24"/>
        </w:rPr>
      </w:pPr>
      <w:r w:rsidRPr="00AE4CE4">
        <w:rPr>
          <w:rFonts w:ascii="Times New Roman" w:hAnsi="Times New Roman" w:cs="Times New Roman"/>
          <w:sz w:val="24"/>
        </w:rPr>
        <w:t xml:space="preserve">In addition, it is important to point out the structural design of the reliquary and how it adds to the message. To understand what the message of the reliquary is beyond that of healing, it is necessary to look at what Mary </w:t>
      </w:r>
      <w:r w:rsidR="00FB0E4E" w:rsidRPr="00AE4CE4">
        <w:rPr>
          <w:rFonts w:ascii="Times New Roman" w:hAnsi="Times New Roman" w:cs="Times New Roman"/>
          <w:sz w:val="24"/>
        </w:rPr>
        <w:t>Magdalene</w:t>
      </w:r>
      <w:r w:rsidRPr="00AE4CE4">
        <w:rPr>
          <w:rFonts w:ascii="Times New Roman" w:hAnsi="Times New Roman" w:cs="Times New Roman"/>
          <w:sz w:val="24"/>
        </w:rPr>
        <w:t xml:space="preserve"> represents. It is unclear what the precise dates of her birth and death are, however she was a great sinner, being either a prostitute or sexually immoral. Accord to the gospels, Christ cast seven demons out of her and became one of his followers. </w:t>
      </w:r>
      <w:r w:rsidR="00984D91" w:rsidRPr="00AE4CE4">
        <w:rPr>
          <w:rFonts w:ascii="Times New Roman" w:hAnsi="Times New Roman" w:cs="Times New Roman"/>
          <w:sz w:val="24"/>
        </w:rPr>
        <w:t xml:space="preserve">She would later also be one of the first people to witness Christs resurrection. Why this is important as it shows that even those of profoundly immoral backgrounds or pasts can be saved, and the way the reliquary is designed shows this. The </w:t>
      </w:r>
      <w:r w:rsidR="005D71A7" w:rsidRPr="00AE4CE4">
        <w:rPr>
          <w:rFonts w:ascii="Times New Roman" w:hAnsi="Times New Roman" w:cs="Times New Roman"/>
          <w:sz w:val="24"/>
        </w:rPr>
        <w:t>way that</w:t>
      </w:r>
      <w:r w:rsidR="00984D91" w:rsidRPr="00AE4CE4">
        <w:rPr>
          <w:rFonts w:ascii="Times New Roman" w:hAnsi="Times New Roman" w:cs="Times New Roman"/>
          <w:sz w:val="24"/>
        </w:rPr>
        <w:t xml:space="preserve"> her skull</w:t>
      </w:r>
      <w:r w:rsidR="005D71A7" w:rsidRPr="00AE4CE4">
        <w:rPr>
          <w:rFonts w:ascii="Times New Roman" w:hAnsi="Times New Roman" w:cs="Times New Roman"/>
          <w:sz w:val="24"/>
        </w:rPr>
        <w:t xml:space="preserve"> is </w:t>
      </w:r>
      <w:r w:rsidR="00984D91" w:rsidRPr="00AE4CE4">
        <w:rPr>
          <w:rFonts w:ascii="Times New Roman" w:hAnsi="Times New Roman" w:cs="Times New Roman"/>
          <w:sz w:val="24"/>
        </w:rPr>
        <w:t>held aloft by angels</w:t>
      </w:r>
      <w:r w:rsidR="005D71A7" w:rsidRPr="00AE4CE4">
        <w:rPr>
          <w:rFonts w:ascii="Times New Roman" w:hAnsi="Times New Roman" w:cs="Times New Roman"/>
          <w:sz w:val="24"/>
        </w:rPr>
        <w:t xml:space="preserve">, shows that even someone who has gravely sinned can be ascended into heaven, carried by angels such as those </w:t>
      </w:r>
      <w:r w:rsidR="00FB0E4E" w:rsidRPr="00AE4CE4">
        <w:rPr>
          <w:rFonts w:ascii="Times New Roman" w:hAnsi="Times New Roman" w:cs="Times New Roman"/>
          <w:sz w:val="24"/>
        </w:rPr>
        <w:t>depicted</w:t>
      </w:r>
      <w:r w:rsidR="005D71A7" w:rsidRPr="00AE4CE4">
        <w:rPr>
          <w:rFonts w:ascii="Times New Roman" w:hAnsi="Times New Roman" w:cs="Times New Roman"/>
          <w:sz w:val="24"/>
        </w:rPr>
        <w:t xml:space="preserve">. Furthermore, the high elevation of her skull, holds further </w:t>
      </w:r>
      <w:r w:rsidR="002E5B0F" w:rsidRPr="00AE4CE4">
        <w:rPr>
          <w:rFonts w:ascii="Times New Roman" w:hAnsi="Times New Roman" w:cs="Times New Roman"/>
          <w:sz w:val="24"/>
        </w:rPr>
        <w:t>significance</w:t>
      </w:r>
      <w:r w:rsidR="005D71A7" w:rsidRPr="00AE4CE4">
        <w:rPr>
          <w:rFonts w:ascii="Times New Roman" w:hAnsi="Times New Roman" w:cs="Times New Roman"/>
          <w:sz w:val="24"/>
        </w:rPr>
        <w:t xml:space="preserve"> as it means that anyone come to pray at the shrine will be made to look up at the skull, which carries with it two messages. The first message being that </w:t>
      </w:r>
      <w:r w:rsidR="00433FA1" w:rsidRPr="00AE4CE4">
        <w:rPr>
          <w:rFonts w:ascii="Times New Roman" w:hAnsi="Times New Roman" w:cs="Times New Roman"/>
          <w:sz w:val="24"/>
        </w:rPr>
        <w:t>salvation, and by extension Heaven</w:t>
      </w:r>
      <w:r w:rsidR="00431205" w:rsidRPr="00AE4CE4">
        <w:rPr>
          <w:rFonts w:ascii="Times New Roman" w:hAnsi="Times New Roman" w:cs="Times New Roman"/>
          <w:sz w:val="24"/>
        </w:rPr>
        <w:t xml:space="preserve"> is obtainable</w:t>
      </w:r>
      <w:r w:rsidR="00433FA1" w:rsidRPr="00AE4CE4">
        <w:rPr>
          <w:rFonts w:ascii="Times New Roman" w:hAnsi="Times New Roman" w:cs="Times New Roman"/>
          <w:sz w:val="24"/>
        </w:rPr>
        <w:t xml:space="preserve">. The </w:t>
      </w:r>
      <w:r w:rsidR="00662B70" w:rsidRPr="00AE4CE4">
        <w:rPr>
          <w:rFonts w:ascii="Times New Roman" w:hAnsi="Times New Roman" w:cs="Times New Roman"/>
          <w:sz w:val="24"/>
        </w:rPr>
        <w:t>skull of a saint looking down</w:t>
      </w:r>
      <w:r w:rsidR="00431205" w:rsidRPr="00AE4CE4">
        <w:rPr>
          <w:rFonts w:ascii="Times New Roman" w:hAnsi="Times New Roman" w:cs="Times New Roman"/>
          <w:sz w:val="24"/>
        </w:rPr>
        <w:t xml:space="preserve">, </w:t>
      </w:r>
      <w:r w:rsidR="00662B70" w:rsidRPr="00AE4CE4">
        <w:rPr>
          <w:rFonts w:ascii="Times New Roman" w:hAnsi="Times New Roman" w:cs="Times New Roman"/>
          <w:sz w:val="24"/>
        </w:rPr>
        <w:t>almost as if from Heaven, acts as</w:t>
      </w:r>
      <w:r w:rsidR="00431205" w:rsidRPr="00AE4CE4">
        <w:rPr>
          <w:rFonts w:ascii="Times New Roman" w:hAnsi="Times New Roman" w:cs="Times New Roman"/>
          <w:sz w:val="24"/>
        </w:rPr>
        <w:t xml:space="preserve"> a</w:t>
      </w:r>
      <w:r w:rsidR="00662B70" w:rsidRPr="00AE4CE4">
        <w:rPr>
          <w:rFonts w:ascii="Times New Roman" w:hAnsi="Times New Roman" w:cs="Times New Roman"/>
          <w:sz w:val="24"/>
        </w:rPr>
        <w:t xml:space="preserve"> reminder and a hope to those who look upon it that even though death is inevitable, there is life after death and </w:t>
      </w:r>
      <w:r w:rsidR="00431205" w:rsidRPr="00AE4CE4">
        <w:rPr>
          <w:rFonts w:ascii="Times New Roman" w:hAnsi="Times New Roman" w:cs="Times New Roman"/>
          <w:sz w:val="24"/>
        </w:rPr>
        <w:t xml:space="preserve">that even a terrible sinner can achieve it. moreover, this is further compounded by the design of the skulls case. The skulls case replicates long flowing hair, </w:t>
      </w:r>
      <w:r w:rsidR="002E5B0F" w:rsidRPr="00AE4CE4">
        <w:rPr>
          <w:rFonts w:ascii="Times New Roman" w:hAnsi="Times New Roman" w:cs="Times New Roman"/>
          <w:sz w:val="24"/>
        </w:rPr>
        <w:t xml:space="preserve">showing that there is a beauty in death or that death has not diminished the </w:t>
      </w:r>
      <w:r w:rsidR="00FB0E4E" w:rsidRPr="00AE4CE4">
        <w:rPr>
          <w:rFonts w:ascii="Times New Roman" w:hAnsi="Times New Roman" w:cs="Times New Roman"/>
          <w:sz w:val="24"/>
        </w:rPr>
        <w:t>saint’s</w:t>
      </w:r>
      <w:r w:rsidR="002E5B0F" w:rsidRPr="00AE4CE4">
        <w:rPr>
          <w:rFonts w:ascii="Times New Roman" w:hAnsi="Times New Roman" w:cs="Times New Roman"/>
          <w:sz w:val="24"/>
        </w:rPr>
        <w:t xml:space="preserve"> power, further supported by the extensive use of gold. Plus, the contrast between the golden features and the skull reinforces the idea of memento mori, making those who come to see or seek aid from the relic contemplate their mortality, reminding those of wealthier backgrounds that wealth is useless when they are dead. </w:t>
      </w:r>
    </w:p>
    <w:p w:rsidR="00A26A80" w:rsidRPr="00AE4CE4" w:rsidRDefault="00A26A80" w:rsidP="00AE4CE4">
      <w:pPr>
        <w:spacing w:line="360" w:lineRule="auto"/>
        <w:rPr>
          <w:rFonts w:ascii="Times New Roman" w:hAnsi="Times New Roman" w:cs="Times New Roman"/>
          <w:sz w:val="24"/>
        </w:rPr>
      </w:pPr>
    </w:p>
    <w:p w:rsidR="004F52D7" w:rsidRDefault="004F52D7" w:rsidP="00326AA0">
      <w:pPr>
        <w:pStyle w:val="Heading1"/>
        <w:rPr>
          <w:b/>
          <w:u w:val="single"/>
        </w:rPr>
      </w:pPr>
      <w:r w:rsidRPr="00326AA0">
        <w:rPr>
          <w:b/>
          <w:u w:val="single"/>
        </w:rPr>
        <w:t xml:space="preserve">4 – Canto 7, Dante’s Inferno </w:t>
      </w:r>
    </w:p>
    <w:p w:rsidR="00326AA0" w:rsidRPr="00326AA0" w:rsidRDefault="00326AA0" w:rsidP="00326AA0"/>
    <w:p w:rsidR="00DE51E3" w:rsidRPr="00AE4CE4" w:rsidRDefault="0054769A" w:rsidP="00BB615F">
      <w:pPr>
        <w:spacing w:line="360" w:lineRule="auto"/>
        <w:rPr>
          <w:rFonts w:ascii="Times New Roman" w:hAnsi="Times New Roman" w:cs="Times New Roman"/>
          <w:sz w:val="24"/>
        </w:rPr>
      </w:pPr>
      <w:r w:rsidRPr="00AE4CE4">
        <w:rPr>
          <w:rFonts w:ascii="Times New Roman" w:hAnsi="Times New Roman" w:cs="Times New Roman"/>
          <w:sz w:val="24"/>
        </w:rPr>
        <w:t xml:space="preserve">For the written source extract, I have chosen look at Canto 7 of Italian poet Dante Alighieri’s ‘Inferno’, the first part his </w:t>
      </w:r>
      <w:r w:rsidR="00DC6A92" w:rsidRPr="00AE4CE4">
        <w:rPr>
          <w:rFonts w:ascii="Times New Roman" w:hAnsi="Times New Roman" w:cs="Times New Roman"/>
          <w:sz w:val="24"/>
        </w:rPr>
        <w:t>three-part</w:t>
      </w:r>
      <w:r w:rsidRPr="00AE4CE4">
        <w:rPr>
          <w:rFonts w:ascii="Times New Roman" w:hAnsi="Times New Roman" w:cs="Times New Roman"/>
          <w:sz w:val="24"/>
        </w:rPr>
        <w:t xml:space="preserve"> epic poem the “Divine Comedy”. Written in the early 14</w:t>
      </w:r>
      <w:r w:rsidRPr="00AE4CE4">
        <w:rPr>
          <w:rFonts w:ascii="Times New Roman" w:hAnsi="Times New Roman" w:cs="Times New Roman"/>
          <w:sz w:val="24"/>
          <w:vertAlign w:val="superscript"/>
        </w:rPr>
        <w:t>th</w:t>
      </w:r>
      <w:r w:rsidRPr="00AE4CE4">
        <w:rPr>
          <w:rFonts w:ascii="Times New Roman" w:hAnsi="Times New Roman" w:cs="Times New Roman"/>
          <w:sz w:val="24"/>
        </w:rPr>
        <w:t xml:space="preserve"> century, the seventh canto deals with Dante and </w:t>
      </w:r>
      <w:r w:rsidR="00DC6A92" w:rsidRPr="00AE4CE4">
        <w:rPr>
          <w:rFonts w:ascii="Times New Roman" w:hAnsi="Times New Roman" w:cs="Times New Roman"/>
          <w:sz w:val="24"/>
        </w:rPr>
        <w:t>Virgil’s</w:t>
      </w:r>
      <w:r w:rsidRPr="00AE4CE4">
        <w:rPr>
          <w:rFonts w:ascii="Times New Roman" w:hAnsi="Times New Roman" w:cs="Times New Roman"/>
          <w:sz w:val="24"/>
        </w:rPr>
        <w:t xml:space="preserve"> descent through the fourth level of hell, reserved</w:t>
      </w:r>
      <w:r w:rsidR="00DC6A92" w:rsidRPr="00AE4CE4">
        <w:rPr>
          <w:rFonts w:ascii="Times New Roman" w:hAnsi="Times New Roman" w:cs="Times New Roman"/>
          <w:sz w:val="24"/>
        </w:rPr>
        <w:t xml:space="preserve"> whose sins are related to wealth and money. The canto opens with the figure “Pluto</w:t>
      </w:r>
      <w:r w:rsidR="004C69F0" w:rsidRPr="00AE4CE4">
        <w:rPr>
          <w:rStyle w:val="FootnoteReference"/>
          <w:rFonts w:ascii="Times New Roman" w:hAnsi="Times New Roman" w:cs="Times New Roman"/>
          <w:sz w:val="24"/>
        </w:rPr>
        <w:footnoteReference w:id="25"/>
      </w:r>
      <w:r w:rsidR="00DC6A92" w:rsidRPr="00AE4CE4">
        <w:rPr>
          <w:rFonts w:ascii="Times New Roman" w:hAnsi="Times New Roman" w:cs="Times New Roman"/>
          <w:sz w:val="24"/>
        </w:rPr>
        <w:t xml:space="preserve">” crying out to </w:t>
      </w:r>
      <w:r w:rsidR="00941D3D" w:rsidRPr="00AE4CE4">
        <w:rPr>
          <w:rFonts w:ascii="Times New Roman" w:hAnsi="Times New Roman" w:cs="Times New Roman"/>
          <w:sz w:val="24"/>
        </w:rPr>
        <w:t>Satan</w:t>
      </w:r>
      <w:r w:rsidR="00DC6A92" w:rsidRPr="00AE4CE4">
        <w:rPr>
          <w:rFonts w:ascii="Times New Roman" w:hAnsi="Times New Roman" w:cs="Times New Roman"/>
          <w:sz w:val="24"/>
        </w:rPr>
        <w:t xml:space="preserve">. While what this character says is confusing, Dante’s decision to include ‘Pluto’ shows that this work is not aimed for the masses but rather those of more intellectual or a </w:t>
      </w:r>
      <w:r w:rsidR="0009681E" w:rsidRPr="00AE4CE4">
        <w:rPr>
          <w:rFonts w:ascii="Times New Roman" w:hAnsi="Times New Roman" w:cs="Times New Roman"/>
          <w:sz w:val="24"/>
        </w:rPr>
        <w:t>well-off</w:t>
      </w:r>
      <w:r w:rsidR="00DC6A92" w:rsidRPr="00AE4CE4">
        <w:rPr>
          <w:rFonts w:ascii="Times New Roman" w:hAnsi="Times New Roman" w:cs="Times New Roman"/>
          <w:sz w:val="24"/>
        </w:rPr>
        <w:t xml:space="preserve"> status. For the figure of ‘Pluto’ refers to </w:t>
      </w:r>
      <w:r w:rsidR="004C69F0" w:rsidRPr="00AE4CE4">
        <w:rPr>
          <w:rFonts w:ascii="Times New Roman" w:hAnsi="Times New Roman" w:cs="Times New Roman"/>
          <w:sz w:val="24"/>
        </w:rPr>
        <w:t>Plutus, the Greek god of wealth, something that only those who were educated would know off. Considering what this level of hell deals with</w:t>
      </w:r>
      <w:r w:rsidR="0009681E" w:rsidRPr="00AE4CE4">
        <w:rPr>
          <w:rFonts w:ascii="Times New Roman" w:hAnsi="Times New Roman" w:cs="Times New Roman"/>
          <w:sz w:val="24"/>
        </w:rPr>
        <w:t xml:space="preserve"> and the audience it was aimed at, it is clear that Dante aimed to impart a moral message about living a good life. </w:t>
      </w:r>
    </w:p>
    <w:p w:rsidR="00132E34" w:rsidRDefault="00132E34" w:rsidP="00BB615F">
      <w:pPr>
        <w:spacing w:line="360" w:lineRule="auto"/>
        <w:rPr>
          <w:rFonts w:ascii="Times New Roman" w:hAnsi="Times New Roman" w:cs="Times New Roman"/>
          <w:sz w:val="24"/>
        </w:rPr>
      </w:pPr>
      <w:r w:rsidRPr="00AE4CE4">
        <w:rPr>
          <w:rFonts w:ascii="Times New Roman" w:hAnsi="Times New Roman" w:cs="Times New Roman"/>
          <w:sz w:val="24"/>
        </w:rPr>
        <w:t xml:space="preserve">This </w:t>
      </w:r>
      <w:r w:rsidR="00941D3D" w:rsidRPr="00AE4CE4">
        <w:rPr>
          <w:rFonts w:ascii="Times New Roman" w:hAnsi="Times New Roman" w:cs="Times New Roman"/>
          <w:sz w:val="24"/>
        </w:rPr>
        <w:t xml:space="preserve">message is expanded upon when Dante says that “all The evils of the world are pocketed” in the abyss of </w:t>
      </w:r>
      <w:r w:rsidR="00921920" w:rsidRPr="00AE4CE4">
        <w:rPr>
          <w:rFonts w:ascii="Times New Roman" w:hAnsi="Times New Roman" w:cs="Times New Roman"/>
          <w:sz w:val="24"/>
        </w:rPr>
        <w:t xml:space="preserve">the fourth level. Again, considering that this level deals with the sins </w:t>
      </w:r>
      <w:r w:rsidR="00154603" w:rsidRPr="00AE4CE4">
        <w:rPr>
          <w:rFonts w:ascii="Times New Roman" w:hAnsi="Times New Roman" w:cs="Times New Roman"/>
          <w:sz w:val="24"/>
        </w:rPr>
        <w:t>related to</w:t>
      </w:r>
      <w:r w:rsidR="002013BF" w:rsidRPr="00AE4CE4">
        <w:rPr>
          <w:rFonts w:ascii="Times New Roman" w:hAnsi="Times New Roman" w:cs="Times New Roman"/>
          <w:sz w:val="24"/>
        </w:rPr>
        <w:t xml:space="preserve"> wealth, it is possible to infer that </w:t>
      </w:r>
      <w:r w:rsidR="006F2CDB" w:rsidRPr="00AE4CE4">
        <w:rPr>
          <w:rFonts w:ascii="Times New Roman" w:hAnsi="Times New Roman" w:cs="Times New Roman"/>
          <w:sz w:val="24"/>
        </w:rPr>
        <w:t>the attitude towards those of wealth, especially in 14</w:t>
      </w:r>
      <w:r w:rsidR="006F2CDB" w:rsidRPr="00AE4CE4">
        <w:rPr>
          <w:rFonts w:ascii="Times New Roman" w:hAnsi="Times New Roman" w:cs="Times New Roman"/>
          <w:sz w:val="24"/>
          <w:vertAlign w:val="superscript"/>
        </w:rPr>
        <w:t>th</w:t>
      </w:r>
      <w:r w:rsidR="006F2CDB" w:rsidRPr="00AE4CE4">
        <w:rPr>
          <w:rFonts w:ascii="Times New Roman" w:hAnsi="Times New Roman" w:cs="Times New Roman"/>
          <w:sz w:val="24"/>
        </w:rPr>
        <w:t xml:space="preserve"> century Italy, was that they had a greater propensity to sin, and much of the world’s problems could be attributed to these men. </w:t>
      </w:r>
      <w:r w:rsidR="00154603" w:rsidRPr="00AE4CE4">
        <w:rPr>
          <w:rFonts w:ascii="Times New Roman" w:hAnsi="Times New Roman" w:cs="Times New Roman"/>
          <w:sz w:val="24"/>
        </w:rPr>
        <w:t>In addition, it is further shown that this work is a reflection of Italian attitudes towards death by Dante’s mention of the “Charybdis</w:t>
      </w:r>
      <w:r w:rsidR="00154603" w:rsidRPr="00AE4CE4">
        <w:rPr>
          <w:rStyle w:val="FootnoteReference"/>
          <w:rFonts w:ascii="Times New Roman" w:hAnsi="Times New Roman" w:cs="Times New Roman"/>
          <w:sz w:val="24"/>
        </w:rPr>
        <w:footnoteReference w:id="26"/>
      </w:r>
      <w:r w:rsidR="00154603" w:rsidRPr="00AE4CE4">
        <w:rPr>
          <w:rFonts w:ascii="Times New Roman" w:hAnsi="Times New Roman" w:cs="Times New Roman"/>
          <w:sz w:val="24"/>
        </w:rPr>
        <w:t>”, referencing a whirlpool in the Straits of Messina</w:t>
      </w:r>
      <w:r w:rsidR="00154603" w:rsidRPr="00AE4CE4">
        <w:rPr>
          <w:rStyle w:val="FootnoteReference"/>
          <w:rFonts w:ascii="Times New Roman" w:hAnsi="Times New Roman" w:cs="Times New Roman"/>
          <w:sz w:val="24"/>
        </w:rPr>
        <w:footnoteReference w:id="27"/>
      </w:r>
      <w:r w:rsidR="00154603" w:rsidRPr="00AE4CE4">
        <w:rPr>
          <w:rFonts w:ascii="Times New Roman" w:hAnsi="Times New Roman" w:cs="Times New Roman"/>
          <w:sz w:val="24"/>
        </w:rPr>
        <w:t>, located between Sicily and Italy</w:t>
      </w:r>
      <w:r w:rsidR="00C04986" w:rsidRPr="00AE4CE4">
        <w:rPr>
          <w:rFonts w:ascii="Times New Roman" w:hAnsi="Times New Roman" w:cs="Times New Roman"/>
          <w:sz w:val="24"/>
        </w:rPr>
        <w:t xml:space="preserve">, something that would have presumably been known of by Italians. Thus, when Dante places this sin at the fourth level of hell, giving it greater sinfulness than lust or gluttony, it may well just be a reflection of Italian attitudes towards this particular set of sins. </w:t>
      </w:r>
    </w:p>
    <w:p w:rsidR="003D71B5" w:rsidRDefault="00683DAE" w:rsidP="00BB615F">
      <w:pPr>
        <w:spacing w:line="360" w:lineRule="auto"/>
        <w:rPr>
          <w:rFonts w:ascii="Times New Roman" w:hAnsi="Times New Roman" w:cs="Times New Roman"/>
          <w:sz w:val="24"/>
        </w:rPr>
      </w:pPr>
      <w:r>
        <w:rPr>
          <w:rFonts w:ascii="Times New Roman" w:hAnsi="Times New Roman" w:cs="Times New Roman"/>
          <w:sz w:val="24"/>
        </w:rPr>
        <w:t xml:space="preserve">The </w:t>
      </w:r>
      <w:r w:rsidR="000274DE">
        <w:rPr>
          <w:rFonts w:ascii="Times New Roman" w:hAnsi="Times New Roman" w:cs="Times New Roman"/>
          <w:sz w:val="24"/>
        </w:rPr>
        <w:t xml:space="preserve">actual punishments that </w:t>
      </w:r>
      <w:r w:rsidR="00897831">
        <w:rPr>
          <w:rFonts w:ascii="Times New Roman" w:hAnsi="Times New Roman" w:cs="Times New Roman"/>
          <w:sz w:val="24"/>
        </w:rPr>
        <w:t>take place in the fourth level of hell</w:t>
      </w:r>
      <w:r w:rsidR="00E062E9">
        <w:rPr>
          <w:rFonts w:ascii="Times New Roman" w:hAnsi="Times New Roman" w:cs="Times New Roman"/>
          <w:sz w:val="24"/>
        </w:rPr>
        <w:t xml:space="preserve"> </w:t>
      </w:r>
      <w:r w:rsidR="0050516B">
        <w:rPr>
          <w:rFonts w:ascii="Times New Roman" w:hAnsi="Times New Roman" w:cs="Times New Roman"/>
          <w:sz w:val="24"/>
        </w:rPr>
        <w:t>are poetic</w:t>
      </w:r>
      <w:r w:rsidR="00E062E9">
        <w:rPr>
          <w:rFonts w:ascii="Times New Roman" w:hAnsi="Times New Roman" w:cs="Times New Roman"/>
          <w:sz w:val="24"/>
        </w:rPr>
        <w:t>, where men “rolling great weights</w:t>
      </w:r>
      <w:r w:rsidR="00E062E9">
        <w:rPr>
          <w:rStyle w:val="FootnoteReference"/>
          <w:rFonts w:ascii="Times New Roman" w:hAnsi="Times New Roman" w:cs="Times New Roman"/>
          <w:sz w:val="24"/>
        </w:rPr>
        <w:footnoteReference w:id="28"/>
      </w:r>
      <w:r w:rsidR="00E062E9">
        <w:rPr>
          <w:rFonts w:ascii="Times New Roman" w:hAnsi="Times New Roman" w:cs="Times New Roman"/>
          <w:sz w:val="24"/>
        </w:rPr>
        <w:t>” while “howling out loud</w:t>
      </w:r>
      <w:r w:rsidR="00E062E9">
        <w:rPr>
          <w:rStyle w:val="FootnoteReference"/>
          <w:rFonts w:ascii="Times New Roman" w:hAnsi="Times New Roman" w:cs="Times New Roman"/>
          <w:sz w:val="24"/>
        </w:rPr>
        <w:footnoteReference w:id="29"/>
      </w:r>
      <w:r w:rsidR="00E062E9">
        <w:rPr>
          <w:rFonts w:ascii="Times New Roman" w:hAnsi="Times New Roman" w:cs="Times New Roman"/>
          <w:sz w:val="24"/>
        </w:rPr>
        <w:t>” from one side of the abyss to the other, ever alternating between shouts of “’Why do you hoard?’ and ‘Why d’you throw away?’</w:t>
      </w:r>
      <w:r w:rsidR="00E062E9">
        <w:rPr>
          <w:rStyle w:val="FootnoteReference"/>
          <w:rFonts w:ascii="Times New Roman" w:hAnsi="Times New Roman" w:cs="Times New Roman"/>
          <w:sz w:val="24"/>
        </w:rPr>
        <w:footnoteReference w:id="30"/>
      </w:r>
      <w:r w:rsidR="00E062E9">
        <w:rPr>
          <w:rFonts w:ascii="Times New Roman" w:hAnsi="Times New Roman" w:cs="Times New Roman"/>
          <w:sz w:val="24"/>
        </w:rPr>
        <w:t>”</w:t>
      </w:r>
      <w:r w:rsidR="0050516B">
        <w:rPr>
          <w:rFonts w:ascii="Times New Roman" w:hAnsi="Times New Roman" w:cs="Times New Roman"/>
          <w:sz w:val="24"/>
        </w:rPr>
        <w:t>. Th</w:t>
      </w:r>
      <w:r w:rsidR="00AB77B6">
        <w:rPr>
          <w:rFonts w:ascii="Times New Roman" w:hAnsi="Times New Roman" w:cs="Times New Roman"/>
          <w:sz w:val="24"/>
        </w:rPr>
        <w:t xml:space="preserve">is punishment, aside from showing the fate of sinners, also imparts wisdom relating to </w:t>
      </w:r>
      <w:r w:rsidR="00260B1E">
        <w:rPr>
          <w:rFonts w:ascii="Times New Roman" w:hAnsi="Times New Roman" w:cs="Times New Roman"/>
          <w:sz w:val="24"/>
        </w:rPr>
        <w:t xml:space="preserve">how people should live their lives. The contrasting shouts of the damned indicate that a golden </w:t>
      </w:r>
      <w:r w:rsidR="00260B1E">
        <w:rPr>
          <w:rFonts w:ascii="Times New Roman" w:hAnsi="Times New Roman" w:cs="Times New Roman"/>
          <w:sz w:val="24"/>
        </w:rPr>
        <w:lastRenderedPageBreak/>
        <w:t>mean must be maintained throughout life</w:t>
      </w:r>
      <w:r w:rsidR="00C6168C">
        <w:rPr>
          <w:rFonts w:ascii="Times New Roman" w:hAnsi="Times New Roman" w:cs="Times New Roman"/>
          <w:sz w:val="24"/>
        </w:rPr>
        <w:t>, choosing neither to be wasteful with money nor greedy and hoarding wealth. Moreover, given the audience that would read such a work, it is clear that Dante argues that many are falling short of this ideal. Furthermore, this is reinforced when Dante is shown that the people down there are “clerics… and popes and cardinals</w:t>
      </w:r>
      <w:r w:rsidR="00C6168C">
        <w:rPr>
          <w:rStyle w:val="FootnoteReference"/>
          <w:rFonts w:ascii="Times New Roman" w:hAnsi="Times New Roman" w:cs="Times New Roman"/>
          <w:sz w:val="24"/>
        </w:rPr>
        <w:footnoteReference w:id="31"/>
      </w:r>
      <w:r w:rsidR="007A5E9A">
        <w:rPr>
          <w:rFonts w:ascii="Times New Roman" w:hAnsi="Times New Roman" w:cs="Times New Roman"/>
          <w:sz w:val="24"/>
        </w:rPr>
        <w:t xml:space="preserve">”. </w:t>
      </w:r>
      <w:r w:rsidR="000E1FBC">
        <w:rPr>
          <w:rFonts w:ascii="Times New Roman" w:hAnsi="Times New Roman" w:cs="Times New Roman"/>
          <w:sz w:val="24"/>
        </w:rPr>
        <w:t>As well as being a possible critic of the conduct of certain members of the catholic church, this line conveys both the ideas of memento mori and those expressed by the Danse Macabre. In fact, considering those involved in the punishment are described as being “led a merry dance</w:t>
      </w:r>
      <w:r w:rsidR="000E1FBC">
        <w:rPr>
          <w:rStyle w:val="FootnoteReference"/>
          <w:rFonts w:ascii="Times New Roman" w:hAnsi="Times New Roman" w:cs="Times New Roman"/>
          <w:sz w:val="24"/>
        </w:rPr>
        <w:footnoteReference w:id="32"/>
      </w:r>
      <w:r w:rsidR="000E1FBC">
        <w:rPr>
          <w:rFonts w:ascii="Times New Roman" w:hAnsi="Times New Roman" w:cs="Times New Roman"/>
          <w:sz w:val="24"/>
        </w:rPr>
        <w:t>”</w:t>
      </w:r>
      <w:r w:rsidR="00325FF5">
        <w:rPr>
          <w:rFonts w:ascii="Times New Roman" w:hAnsi="Times New Roman" w:cs="Times New Roman"/>
          <w:sz w:val="24"/>
        </w:rPr>
        <w:t>, it further implies that death is the great leveller, and that even those of great power will face punishment for their sins. Additionally, the specific mention of high ranks of the Catholic Church, coupled with the later remark of how “their features harder to discern</w:t>
      </w:r>
      <w:r w:rsidR="00325FF5">
        <w:rPr>
          <w:rStyle w:val="FootnoteReference"/>
          <w:rFonts w:ascii="Times New Roman" w:hAnsi="Times New Roman" w:cs="Times New Roman"/>
          <w:sz w:val="24"/>
        </w:rPr>
        <w:footnoteReference w:id="33"/>
      </w:r>
      <w:r w:rsidR="00325FF5">
        <w:rPr>
          <w:rFonts w:ascii="Times New Roman" w:hAnsi="Times New Roman" w:cs="Times New Roman"/>
          <w:sz w:val="24"/>
        </w:rPr>
        <w:t>”</w:t>
      </w:r>
      <w:r w:rsidR="001B0CB2">
        <w:rPr>
          <w:rFonts w:ascii="Times New Roman" w:hAnsi="Times New Roman" w:cs="Times New Roman"/>
          <w:sz w:val="24"/>
        </w:rPr>
        <w:t xml:space="preserve">, reinforces the notion that all are subject to death and judgement and that all can fall short of salvation, even the Bishop of Rome. </w:t>
      </w:r>
      <w:r w:rsidR="00AE3C20">
        <w:rPr>
          <w:rFonts w:ascii="Times New Roman" w:hAnsi="Times New Roman" w:cs="Times New Roman"/>
          <w:sz w:val="24"/>
        </w:rPr>
        <w:t xml:space="preserve">On the other hand, the fact that the punished lack facial features </w:t>
      </w:r>
      <w:r w:rsidR="00705FA3">
        <w:rPr>
          <w:rFonts w:ascii="Times New Roman" w:hAnsi="Times New Roman" w:cs="Times New Roman"/>
          <w:sz w:val="24"/>
        </w:rPr>
        <w:t>indicate</w:t>
      </w:r>
      <w:r w:rsidR="00AE3C20">
        <w:rPr>
          <w:rFonts w:ascii="Times New Roman" w:hAnsi="Times New Roman" w:cs="Times New Roman"/>
          <w:sz w:val="24"/>
        </w:rPr>
        <w:t xml:space="preserve"> a belief that </w:t>
      </w:r>
      <w:r w:rsidR="00042850">
        <w:rPr>
          <w:rFonts w:ascii="Times New Roman" w:hAnsi="Times New Roman" w:cs="Times New Roman"/>
          <w:sz w:val="24"/>
        </w:rPr>
        <w:t xml:space="preserve">those in hell, or specifically those on this level, are on a personal level forgotten. This suggests a strong theme of memento mori, arguing that no matter the power or wealth you obtained in life, such material deeds would be forgotten when facing judgment and damnation. </w:t>
      </w:r>
    </w:p>
    <w:p w:rsidR="005457DD" w:rsidRPr="00AE4CE4" w:rsidRDefault="004E5E9F" w:rsidP="00BB615F">
      <w:pPr>
        <w:spacing w:line="360" w:lineRule="auto"/>
        <w:rPr>
          <w:rFonts w:ascii="Times New Roman" w:hAnsi="Times New Roman" w:cs="Times New Roman"/>
          <w:sz w:val="24"/>
        </w:rPr>
      </w:pPr>
      <w:r>
        <w:rPr>
          <w:rFonts w:ascii="Times New Roman" w:hAnsi="Times New Roman" w:cs="Times New Roman"/>
          <w:sz w:val="24"/>
        </w:rPr>
        <w:t xml:space="preserve">Overall, </w:t>
      </w:r>
      <w:r w:rsidR="000274DE">
        <w:rPr>
          <w:rFonts w:ascii="Times New Roman" w:hAnsi="Times New Roman" w:cs="Times New Roman"/>
          <w:sz w:val="24"/>
        </w:rPr>
        <w:t>Dante</w:t>
      </w:r>
      <w:r>
        <w:rPr>
          <w:rFonts w:ascii="Times New Roman" w:hAnsi="Times New Roman" w:cs="Times New Roman"/>
          <w:sz w:val="24"/>
        </w:rPr>
        <w:t>’s</w:t>
      </w:r>
      <w:r w:rsidR="000274DE">
        <w:rPr>
          <w:rFonts w:ascii="Times New Roman" w:hAnsi="Times New Roman" w:cs="Times New Roman"/>
          <w:sz w:val="24"/>
        </w:rPr>
        <w:t xml:space="preserve"> </w:t>
      </w:r>
      <w:r w:rsidR="003D71B5">
        <w:rPr>
          <w:rFonts w:ascii="Times New Roman" w:hAnsi="Times New Roman" w:cs="Times New Roman"/>
          <w:sz w:val="24"/>
        </w:rPr>
        <w:t>description</w:t>
      </w:r>
      <w:r>
        <w:rPr>
          <w:rFonts w:ascii="Times New Roman" w:hAnsi="Times New Roman" w:cs="Times New Roman"/>
          <w:sz w:val="24"/>
        </w:rPr>
        <w:t xml:space="preserve"> of this level of hell</w:t>
      </w:r>
      <w:r w:rsidR="000274DE">
        <w:rPr>
          <w:rFonts w:ascii="Times New Roman" w:hAnsi="Times New Roman" w:cs="Times New Roman"/>
          <w:sz w:val="24"/>
        </w:rPr>
        <w:t xml:space="preserve"> fits with the period belief that “the punishment given in hell were appropriate to the crime</w:t>
      </w:r>
      <w:r w:rsidR="000274DE">
        <w:rPr>
          <w:rStyle w:val="FootnoteReference"/>
          <w:rFonts w:ascii="Times New Roman" w:hAnsi="Times New Roman" w:cs="Times New Roman"/>
          <w:sz w:val="24"/>
        </w:rPr>
        <w:footnoteReference w:id="34"/>
      </w:r>
      <w:r w:rsidR="000274DE">
        <w:rPr>
          <w:rFonts w:ascii="Times New Roman" w:hAnsi="Times New Roman" w:cs="Times New Roman"/>
          <w:sz w:val="24"/>
        </w:rPr>
        <w:t>”</w:t>
      </w:r>
      <w:r>
        <w:rPr>
          <w:rFonts w:ascii="Times New Roman" w:hAnsi="Times New Roman" w:cs="Times New Roman"/>
          <w:sz w:val="24"/>
        </w:rPr>
        <w:t xml:space="preserve">, presenting to </w:t>
      </w:r>
      <w:r w:rsidR="003D71B5">
        <w:rPr>
          <w:rFonts w:ascii="Times New Roman" w:hAnsi="Times New Roman" w:cs="Times New Roman"/>
          <w:sz w:val="24"/>
        </w:rPr>
        <w:t xml:space="preserve">us a clear image about how one should live their life, as well as portraying the familiar messages about death and the afterlife that were common for medieval works. </w:t>
      </w:r>
    </w:p>
    <w:p w:rsidR="00612E2E" w:rsidRDefault="00612E2E">
      <w:pPr>
        <w:rPr>
          <w:rFonts w:ascii="Times New Roman" w:hAnsi="Times New Roman" w:cs="Times New Roman"/>
          <w:b/>
          <w:sz w:val="36"/>
          <w:u w:val="single"/>
        </w:rPr>
      </w:pPr>
    </w:p>
    <w:p w:rsidR="00612E2E" w:rsidRDefault="00612E2E">
      <w:pPr>
        <w:rPr>
          <w:rFonts w:ascii="Times New Roman" w:hAnsi="Times New Roman" w:cs="Times New Roman"/>
          <w:b/>
          <w:sz w:val="36"/>
          <w:u w:val="single"/>
        </w:rPr>
      </w:pPr>
    </w:p>
    <w:p w:rsidR="005754F7" w:rsidRDefault="005754F7">
      <w:pPr>
        <w:rPr>
          <w:rFonts w:ascii="Times New Roman" w:hAnsi="Times New Roman" w:cs="Times New Roman"/>
          <w:b/>
          <w:sz w:val="36"/>
          <w:u w:val="single"/>
        </w:rPr>
      </w:pPr>
    </w:p>
    <w:p w:rsidR="005754F7" w:rsidRDefault="005754F7">
      <w:pPr>
        <w:rPr>
          <w:rFonts w:ascii="Times New Roman" w:hAnsi="Times New Roman" w:cs="Times New Roman"/>
          <w:b/>
          <w:sz w:val="36"/>
          <w:u w:val="single"/>
        </w:rPr>
      </w:pPr>
    </w:p>
    <w:p w:rsidR="005754F7" w:rsidRDefault="005754F7">
      <w:pPr>
        <w:rPr>
          <w:rFonts w:ascii="Times New Roman" w:hAnsi="Times New Roman" w:cs="Times New Roman"/>
          <w:b/>
          <w:sz w:val="36"/>
          <w:u w:val="single"/>
        </w:rPr>
      </w:pPr>
    </w:p>
    <w:p w:rsidR="005754F7" w:rsidRDefault="005754F7">
      <w:pPr>
        <w:rPr>
          <w:rFonts w:ascii="Times New Roman" w:hAnsi="Times New Roman" w:cs="Times New Roman"/>
          <w:b/>
          <w:sz w:val="36"/>
          <w:u w:val="single"/>
        </w:rPr>
      </w:pPr>
    </w:p>
    <w:p w:rsidR="0054769A" w:rsidRDefault="00B06919">
      <w:pPr>
        <w:rPr>
          <w:rFonts w:ascii="Times New Roman" w:hAnsi="Times New Roman" w:cs="Times New Roman"/>
          <w:b/>
          <w:sz w:val="36"/>
          <w:u w:val="single"/>
        </w:rPr>
      </w:pPr>
      <w:r w:rsidRPr="00612E2E">
        <w:rPr>
          <w:rFonts w:ascii="Times New Roman" w:hAnsi="Times New Roman" w:cs="Times New Roman"/>
          <w:b/>
          <w:sz w:val="36"/>
          <w:u w:val="single"/>
        </w:rPr>
        <w:lastRenderedPageBreak/>
        <w:t xml:space="preserve">Bibliography </w:t>
      </w:r>
      <w:bookmarkStart w:id="3" w:name="_GoBack"/>
      <w:bookmarkEnd w:id="3"/>
    </w:p>
    <w:p w:rsidR="005754F7" w:rsidRPr="005754F7" w:rsidRDefault="005754F7" w:rsidP="005754F7">
      <w:pPr>
        <w:spacing w:line="360" w:lineRule="auto"/>
        <w:rPr>
          <w:rFonts w:ascii="Times New Roman" w:hAnsi="Times New Roman" w:cs="Times New Roman"/>
          <w:sz w:val="24"/>
        </w:rPr>
      </w:pPr>
      <w:r w:rsidRPr="005754F7">
        <w:rPr>
          <w:rFonts w:ascii="Times New Roman" w:hAnsi="Times New Roman" w:cs="Times New Roman"/>
          <w:sz w:val="24"/>
        </w:rPr>
        <w:t xml:space="preserve">Alighieri, D., </w:t>
      </w:r>
      <w:r w:rsidRPr="005754F7">
        <w:rPr>
          <w:rFonts w:ascii="Times New Roman" w:hAnsi="Times New Roman" w:cs="Times New Roman"/>
          <w:i/>
          <w:sz w:val="24"/>
        </w:rPr>
        <w:t>The Divine Comedy: Inferno, translated by J.G. Nichols</w:t>
      </w:r>
      <w:r w:rsidRPr="005754F7">
        <w:rPr>
          <w:rFonts w:ascii="Times New Roman" w:hAnsi="Times New Roman" w:cs="Times New Roman"/>
          <w:sz w:val="24"/>
        </w:rPr>
        <w:t>. London: Alma Classics Ltd, 2014.</w:t>
      </w:r>
    </w:p>
    <w:p w:rsidR="00B06919" w:rsidRPr="005754F7" w:rsidRDefault="005754F7" w:rsidP="005754F7">
      <w:pPr>
        <w:spacing w:line="360" w:lineRule="auto"/>
        <w:rPr>
          <w:rFonts w:ascii="Times New Roman" w:hAnsi="Times New Roman" w:cs="Times New Roman"/>
          <w:sz w:val="24"/>
        </w:rPr>
      </w:pPr>
      <w:r w:rsidRPr="005754F7">
        <w:rPr>
          <w:rFonts w:ascii="Times New Roman" w:hAnsi="Times New Roman" w:cs="Times New Roman"/>
          <w:sz w:val="24"/>
        </w:rPr>
        <w:t>Bynum</w:t>
      </w:r>
      <w:r w:rsidRPr="005754F7">
        <w:rPr>
          <w:rFonts w:ascii="Times New Roman" w:hAnsi="Times New Roman" w:cs="Times New Roman"/>
          <w:sz w:val="24"/>
        </w:rPr>
        <w:t xml:space="preserve">, </w:t>
      </w:r>
      <w:r w:rsidR="00612E2E" w:rsidRPr="005754F7">
        <w:rPr>
          <w:rFonts w:ascii="Times New Roman" w:hAnsi="Times New Roman" w:cs="Times New Roman"/>
          <w:sz w:val="24"/>
        </w:rPr>
        <w:t>C.</w:t>
      </w:r>
      <w:r w:rsidRPr="005754F7">
        <w:rPr>
          <w:rFonts w:ascii="Times New Roman" w:hAnsi="Times New Roman" w:cs="Times New Roman"/>
          <w:sz w:val="24"/>
        </w:rPr>
        <w:t>W</w:t>
      </w:r>
      <w:r w:rsidR="00612E2E" w:rsidRPr="005754F7">
        <w:rPr>
          <w:rFonts w:ascii="Times New Roman" w:hAnsi="Times New Roman" w:cs="Times New Roman"/>
          <w:sz w:val="24"/>
        </w:rPr>
        <w:t xml:space="preserve">, </w:t>
      </w:r>
      <w:r w:rsidR="00612E2E" w:rsidRPr="005754F7">
        <w:rPr>
          <w:rFonts w:ascii="Times New Roman" w:hAnsi="Times New Roman" w:cs="Times New Roman"/>
          <w:i/>
          <w:sz w:val="24"/>
        </w:rPr>
        <w:t>‘</w:t>
      </w:r>
      <w:r w:rsidR="00612E2E" w:rsidRPr="005754F7">
        <w:rPr>
          <w:rFonts w:ascii="Times New Roman" w:hAnsi="Times New Roman" w:cs="Times New Roman"/>
          <w:sz w:val="24"/>
        </w:rPr>
        <w:t>Material Continuity, Personal Survival, and the Resurrection of the Body: A Scholastic Discussion in its Medieval and Modern Contexts,’</w:t>
      </w:r>
      <w:r w:rsidR="00612E2E" w:rsidRPr="005754F7">
        <w:rPr>
          <w:rFonts w:ascii="Times New Roman" w:hAnsi="Times New Roman" w:cs="Times New Roman"/>
          <w:i/>
          <w:sz w:val="24"/>
        </w:rPr>
        <w:t xml:space="preserve"> History of Religions, </w:t>
      </w:r>
      <w:r w:rsidR="00612E2E" w:rsidRPr="005754F7">
        <w:rPr>
          <w:rFonts w:ascii="Times New Roman" w:hAnsi="Times New Roman" w:cs="Times New Roman"/>
          <w:sz w:val="24"/>
        </w:rPr>
        <w:t>Vol. 30, No. 1, The Body (Aug, 1990), 51 – 85.</w:t>
      </w:r>
      <w:r w:rsidRPr="005754F7">
        <w:rPr>
          <w:rFonts w:ascii="Times New Roman" w:hAnsi="Times New Roman" w:cs="Times New Roman"/>
          <w:sz w:val="24"/>
        </w:rPr>
        <w:t xml:space="preserve"> </w:t>
      </w:r>
      <w:r w:rsidRPr="005754F7">
        <w:rPr>
          <w:rFonts w:ascii="Times New Roman" w:hAnsi="Times New Roman" w:cs="Times New Roman"/>
          <w:sz w:val="24"/>
        </w:rPr>
        <w:t xml:space="preserve">Available online: </w:t>
      </w:r>
      <w:hyperlink r:id="rId8" w:history="1">
        <w:r w:rsidRPr="005754F7">
          <w:rPr>
            <w:rStyle w:val="Hyperlink"/>
            <w:rFonts w:ascii="Times New Roman" w:hAnsi="Times New Roman" w:cs="Times New Roman"/>
            <w:sz w:val="24"/>
          </w:rPr>
          <w:t>https://www.jstor.org/stable/1062792?seq=1#metadata_info_tab_contents</w:t>
        </w:r>
      </w:hyperlink>
      <w:r w:rsidRPr="005754F7">
        <w:rPr>
          <w:rFonts w:ascii="Times New Roman" w:hAnsi="Times New Roman" w:cs="Times New Roman"/>
          <w:sz w:val="24"/>
        </w:rPr>
        <w:t xml:space="preserve">. </w:t>
      </w:r>
      <w:r w:rsidRPr="005754F7">
        <w:rPr>
          <w:rFonts w:ascii="Times New Roman" w:hAnsi="Times New Roman" w:cs="Times New Roman"/>
          <w:sz w:val="24"/>
        </w:rPr>
        <w:t>Accessed 01/02/19.</w:t>
      </w:r>
    </w:p>
    <w:p w:rsidR="00612E2E" w:rsidRPr="005754F7" w:rsidRDefault="005754F7" w:rsidP="005754F7">
      <w:pPr>
        <w:spacing w:line="360" w:lineRule="auto"/>
        <w:rPr>
          <w:rFonts w:ascii="Times New Roman" w:hAnsi="Times New Roman" w:cs="Times New Roman"/>
          <w:sz w:val="24"/>
        </w:rPr>
      </w:pPr>
      <w:r w:rsidRPr="005754F7">
        <w:rPr>
          <w:rFonts w:ascii="Times New Roman" w:hAnsi="Times New Roman" w:cs="Times New Roman"/>
          <w:sz w:val="24"/>
        </w:rPr>
        <w:t xml:space="preserve">Huizinga, </w:t>
      </w:r>
      <w:r w:rsidR="00612E2E" w:rsidRPr="005754F7">
        <w:rPr>
          <w:rFonts w:ascii="Times New Roman" w:hAnsi="Times New Roman" w:cs="Times New Roman"/>
          <w:sz w:val="24"/>
        </w:rPr>
        <w:t xml:space="preserve">J. ‘The Waning of the Middle Ages’, </w:t>
      </w:r>
      <w:r w:rsidR="00612E2E" w:rsidRPr="005754F7">
        <w:rPr>
          <w:rFonts w:ascii="Times New Roman" w:hAnsi="Times New Roman" w:cs="Times New Roman"/>
          <w:i/>
          <w:sz w:val="24"/>
        </w:rPr>
        <w:t xml:space="preserve">Daedalus, Vol. 103, No. 1, Twentieth-Century Classics Revisited (Winter, 1974). </w:t>
      </w:r>
      <w:r w:rsidR="00612E2E" w:rsidRPr="005754F7">
        <w:rPr>
          <w:rFonts w:ascii="Times New Roman" w:hAnsi="Times New Roman" w:cs="Times New Roman"/>
          <w:sz w:val="24"/>
        </w:rPr>
        <w:t>Available online:</w:t>
      </w:r>
      <w:r w:rsidR="00612E2E" w:rsidRPr="005754F7">
        <w:rPr>
          <w:rFonts w:ascii="Times New Roman" w:hAnsi="Times New Roman" w:cs="Times New Roman"/>
          <w:i/>
          <w:sz w:val="24"/>
        </w:rPr>
        <w:t xml:space="preserve"> </w:t>
      </w:r>
      <w:hyperlink r:id="rId9" w:history="1">
        <w:r w:rsidR="00612E2E" w:rsidRPr="005754F7">
          <w:rPr>
            <w:rStyle w:val="Hyperlink"/>
            <w:rFonts w:ascii="Times New Roman" w:hAnsi="Times New Roman" w:cs="Times New Roman"/>
            <w:sz w:val="24"/>
          </w:rPr>
          <w:t>https://moodle.uwtsd.ac.uk/pluginfile.php/227773/mod_resource/content/1/J%20Huizinga%2C%20Ch.%2011.pdf</w:t>
        </w:r>
      </w:hyperlink>
      <w:r w:rsidR="00612E2E" w:rsidRPr="005754F7">
        <w:rPr>
          <w:rFonts w:ascii="Times New Roman" w:hAnsi="Times New Roman" w:cs="Times New Roman"/>
          <w:sz w:val="24"/>
        </w:rPr>
        <w:t xml:space="preserve">. </w:t>
      </w:r>
      <w:r w:rsidRPr="005754F7">
        <w:rPr>
          <w:rFonts w:ascii="Times New Roman" w:hAnsi="Times New Roman" w:cs="Times New Roman"/>
          <w:sz w:val="24"/>
        </w:rPr>
        <w:t>Accessed: 01/02/19</w:t>
      </w:r>
    </w:p>
    <w:p w:rsidR="00634873" w:rsidRPr="005754F7" w:rsidRDefault="005754F7" w:rsidP="005754F7">
      <w:pPr>
        <w:spacing w:line="360" w:lineRule="auto"/>
        <w:rPr>
          <w:rFonts w:ascii="Times New Roman" w:hAnsi="Times New Roman" w:cs="Times New Roman"/>
          <w:sz w:val="24"/>
        </w:rPr>
      </w:pPr>
      <w:r w:rsidRPr="005754F7">
        <w:rPr>
          <w:rFonts w:ascii="Times New Roman" w:hAnsi="Times New Roman" w:cs="Times New Roman"/>
          <w:sz w:val="24"/>
        </w:rPr>
        <w:t xml:space="preserve">Cohen, </w:t>
      </w:r>
      <w:r w:rsidR="00634873" w:rsidRPr="005754F7">
        <w:rPr>
          <w:rFonts w:ascii="Times New Roman" w:hAnsi="Times New Roman" w:cs="Times New Roman"/>
          <w:sz w:val="24"/>
        </w:rPr>
        <w:t>K</w:t>
      </w:r>
      <w:r w:rsidR="00634873" w:rsidRPr="005754F7">
        <w:rPr>
          <w:rFonts w:ascii="Times New Roman" w:hAnsi="Times New Roman" w:cs="Times New Roman"/>
          <w:sz w:val="24"/>
        </w:rPr>
        <w:t xml:space="preserve">. </w:t>
      </w:r>
      <w:r w:rsidR="00634873" w:rsidRPr="005754F7">
        <w:rPr>
          <w:rFonts w:ascii="Times New Roman" w:hAnsi="Times New Roman" w:cs="Times New Roman"/>
          <w:i/>
          <w:sz w:val="24"/>
        </w:rPr>
        <w:t>Metamorphosis of a Death Symbol: the Transi Tomb in the Late Middle Ages and the Renaissance</w:t>
      </w:r>
      <w:r w:rsidR="00634873" w:rsidRPr="005754F7">
        <w:rPr>
          <w:rFonts w:ascii="Times New Roman" w:hAnsi="Times New Roman" w:cs="Times New Roman"/>
          <w:sz w:val="24"/>
        </w:rPr>
        <w:t>, (California: University of California Press, 1992)</w:t>
      </w:r>
    </w:p>
    <w:p w:rsidR="005754F7" w:rsidRPr="005754F7" w:rsidRDefault="005754F7" w:rsidP="005754F7">
      <w:pPr>
        <w:spacing w:line="360" w:lineRule="auto"/>
        <w:rPr>
          <w:rFonts w:ascii="Times New Roman" w:hAnsi="Times New Roman" w:cs="Times New Roman"/>
          <w:sz w:val="24"/>
        </w:rPr>
      </w:pPr>
      <w:r w:rsidRPr="005754F7">
        <w:rPr>
          <w:rFonts w:ascii="Times New Roman" w:hAnsi="Times New Roman" w:cs="Times New Roman"/>
          <w:sz w:val="24"/>
        </w:rPr>
        <w:t xml:space="preserve">Dawson, C., </w:t>
      </w:r>
      <w:r w:rsidRPr="005754F7">
        <w:rPr>
          <w:rFonts w:ascii="Times New Roman" w:hAnsi="Times New Roman" w:cs="Times New Roman"/>
          <w:i/>
          <w:sz w:val="24"/>
        </w:rPr>
        <w:t>Death and Burial in Medieval England: 1066 – 1550</w:t>
      </w:r>
      <w:r w:rsidRPr="005754F7">
        <w:rPr>
          <w:rFonts w:ascii="Times New Roman" w:hAnsi="Times New Roman" w:cs="Times New Roman"/>
          <w:sz w:val="24"/>
        </w:rPr>
        <w:t>. London: Routledge, 1998.</w:t>
      </w:r>
    </w:p>
    <w:p w:rsidR="00F00AB2" w:rsidRPr="005754F7" w:rsidRDefault="002F2288" w:rsidP="005754F7">
      <w:pPr>
        <w:spacing w:line="360" w:lineRule="auto"/>
        <w:rPr>
          <w:rFonts w:ascii="Times New Roman" w:hAnsi="Times New Roman" w:cs="Times New Roman"/>
          <w:sz w:val="24"/>
        </w:rPr>
      </w:pPr>
      <w:r w:rsidRPr="005754F7">
        <w:rPr>
          <w:rFonts w:ascii="Times New Roman" w:hAnsi="Times New Roman" w:cs="Times New Roman"/>
          <w:sz w:val="24"/>
        </w:rPr>
        <w:t>Orderic Vitalis, The Ecclesiarchal History of Orderic Vitalis, translated by M. Chibnall. Oxford: Oxford University Press, 1973.</w:t>
      </w:r>
    </w:p>
    <w:p w:rsidR="00F00AB2" w:rsidRPr="005754F7" w:rsidRDefault="00F00AB2" w:rsidP="005754F7">
      <w:pPr>
        <w:spacing w:line="360" w:lineRule="auto"/>
        <w:rPr>
          <w:rFonts w:ascii="Times New Roman" w:hAnsi="Times New Roman" w:cs="Times New Roman"/>
          <w:sz w:val="24"/>
        </w:rPr>
      </w:pPr>
      <w:r w:rsidRPr="005754F7">
        <w:rPr>
          <w:rFonts w:ascii="Times New Roman" w:hAnsi="Times New Roman" w:cs="Times New Roman"/>
          <w:sz w:val="24"/>
        </w:rPr>
        <w:t xml:space="preserve">Skull of Mary Magdalene (2015). </w:t>
      </w:r>
      <w:r w:rsidR="0028294E" w:rsidRPr="005754F7">
        <w:rPr>
          <w:rFonts w:ascii="Times New Roman" w:hAnsi="Times New Roman" w:cs="Times New Roman"/>
          <w:sz w:val="24"/>
        </w:rPr>
        <w:t>Available</w:t>
      </w:r>
      <w:r w:rsidRPr="005754F7">
        <w:rPr>
          <w:rFonts w:ascii="Times New Roman" w:hAnsi="Times New Roman" w:cs="Times New Roman"/>
          <w:sz w:val="24"/>
        </w:rPr>
        <w:t xml:space="preserve"> Online: </w:t>
      </w:r>
      <w:hyperlink r:id="rId10" w:history="1">
        <w:r w:rsidRPr="005754F7">
          <w:rPr>
            <w:rStyle w:val="Hyperlink"/>
            <w:rFonts w:ascii="Times New Roman" w:hAnsi="Times New Roman" w:cs="Times New Roman"/>
            <w:sz w:val="24"/>
          </w:rPr>
          <w:t>http://www.magdalenepublishing.org/skull-mary-magdalene/</w:t>
        </w:r>
      </w:hyperlink>
      <w:r w:rsidR="005754F7" w:rsidRPr="005754F7">
        <w:rPr>
          <w:rFonts w:ascii="Times New Roman" w:hAnsi="Times New Roman" w:cs="Times New Roman"/>
          <w:sz w:val="24"/>
        </w:rPr>
        <w:t xml:space="preserve"> Accessed: 31/01/19.</w:t>
      </w:r>
    </w:p>
    <w:p w:rsidR="005754F7" w:rsidRDefault="005754F7"/>
    <w:p w:rsidR="005754F7" w:rsidRDefault="005754F7"/>
    <w:sectPr w:rsidR="005754F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2E2E" w:rsidRDefault="00612E2E" w:rsidP="00A372B2">
      <w:pPr>
        <w:spacing w:after="0" w:line="240" w:lineRule="auto"/>
      </w:pPr>
      <w:r>
        <w:separator/>
      </w:r>
    </w:p>
  </w:endnote>
  <w:endnote w:type="continuationSeparator" w:id="0">
    <w:p w:rsidR="00612E2E" w:rsidRDefault="00612E2E" w:rsidP="00A37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2E2E" w:rsidRDefault="00612E2E" w:rsidP="00A372B2">
      <w:pPr>
        <w:spacing w:after="0" w:line="240" w:lineRule="auto"/>
      </w:pPr>
      <w:r>
        <w:separator/>
      </w:r>
    </w:p>
  </w:footnote>
  <w:footnote w:type="continuationSeparator" w:id="0">
    <w:p w:rsidR="00612E2E" w:rsidRDefault="00612E2E" w:rsidP="00A372B2">
      <w:pPr>
        <w:spacing w:after="0" w:line="240" w:lineRule="auto"/>
      </w:pPr>
      <w:r>
        <w:continuationSeparator/>
      </w:r>
    </w:p>
  </w:footnote>
  <w:footnote w:id="1">
    <w:p w:rsidR="00DD5CE2" w:rsidRPr="00612E2E" w:rsidRDefault="00612E2E">
      <w:pPr>
        <w:pStyle w:val="FootnoteText"/>
      </w:pPr>
      <w:r>
        <w:rPr>
          <w:rStyle w:val="FootnoteReference"/>
        </w:rPr>
        <w:footnoteRef/>
      </w:r>
      <w:r>
        <w:t xml:space="preserve"> </w:t>
      </w:r>
      <w:bookmarkStart w:id="1" w:name="_Hlk536827080"/>
      <w:r w:rsidRPr="00612E2E">
        <w:t>C. Walker</w:t>
      </w:r>
      <w:r>
        <w:t xml:space="preserve"> </w:t>
      </w:r>
      <w:r w:rsidRPr="00612E2E">
        <w:t xml:space="preserve">Bynum, </w:t>
      </w:r>
      <w:r w:rsidRPr="00612E2E">
        <w:rPr>
          <w:i/>
        </w:rPr>
        <w:t>‘</w:t>
      </w:r>
      <w:r w:rsidRPr="00612E2E">
        <w:t>Material Continuity, Personal Survival, and the Resurrection of the Body: A Scholastic Discussion in its Medieval and Modern Contexts,’</w:t>
      </w:r>
      <w:r>
        <w:rPr>
          <w:i/>
        </w:rPr>
        <w:t xml:space="preserve"> History of Religions, </w:t>
      </w:r>
      <w:r>
        <w:t xml:space="preserve">Vol. 30, No. 1, The Body (Aug, 1990). </w:t>
      </w:r>
      <w:r w:rsidR="00DD5CE2">
        <w:t>Available</w:t>
      </w:r>
      <w:r>
        <w:t xml:space="preserve"> online: </w:t>
      </w:r>
      <w:hyperlink r:id="rId1" w:history="1">
        <w:r w:rsidR="00DD5CE2" w:rsidRPr="00FE6208">
          <w:rPr>
            <w:rStyle w:val="Hyperlink"/>
          </w:rPr>
          <w:t>https://www.jstor.org/stable/1062792?seq=1#metadata_info_tab_contents</w:t>
        </w:r>
      </w:hyperlink>
      <w:r w:rsidR="00DD5CE2">
        <w:t xml:space="preserve"> [Accessed 01/02/19].</w:t>
      </w:r>
      <w:bookmarkEnd w:id="1"/>
    </w:p>
  </w:footnote>
  <w:footnote w:id="2">
    <w:p w:rsidR="00612E2E" w:rsidRDefault="00612E2E">
      <w:pPr>
        <w:pStyle w:val="FootnoteText"/>
      </w:pPr>
      <w:r>
        <w:rPr>
          <w:rStyle w:val="FootnoteReference"/>
        </w:rPr>
        <w:footnoteRef/>
      </w:r>
      <w:r>
        <w:t xml:space="preserve"> Ibid. 52</w:t>
      </w:r>
    </w:p>
  </w:footnote>
  <w:footnote w:id="3">
    <w:p w:rsidR="00612E2E" w:rsidRDefault="00612E2E">
      <w:pPr>
        <w:pStyle w:val="FootnoteText"/>
      </w:pPr>
      <w:r>
        <w:rPr>
          <w:rStyle w:val="FootnoteReference"/>
        </w:rPr>
        <w:footnoteRef/>
      </w:r>
      <w:r>
        <w:t xml:space="preserve"> Ibid. 52</w:t>
      </w:r>
    </w:p>
  </w:footnote>
  <w:footnote w:id="4">
    <w:p w:rsidR="00612E2E" w:rsidRDefault="00612E2E">
      <w:pPr>
        <w:pStyle w:val="FootnoteText"/>
      </w:pPr>
      <w:r>
        <w:rPr>
          <w:rStyle w:val="FootnoteReference"/>
        </w:rPr>
        <w:footnoteRef/>
      </w:r>
      <w:r>
        <w:t xml:space="preserve"> Ibid. 53</w:t>
      </w:r>
    </w:p>
  </w:footnote>
  <w:footnote w:id="5">
    <w:p w:rsidR="00612E2E" w:rsidRPr="00612E2E" w:rsidRDefault="00612E2E">
      <w:pPr>
        <w:pStyle w:val="FootnoteText"/>
        <w:rPr>
          <w:i/>
        </w:rPr>
      </w:pPr>
      <w:r>
        <w:rPr>
          <w:rStyle w:val="FootnoteReference"/>
        </w:rPr>
        <w:footnoteRef/>
      </w:r>
      <w:r>
        <w:t xml:space="preserve"> J. Huizinga, ‘</w:t>
      </w:r>
      <w:r w:rsidRPr="00612E2E">
        <w:t xml:space="preserve">The Waning of the </w:t>
      </w:r>
      <w:r>
        <w:t>M</w:t>
      </w:r>
      <w:r w:rsidRPr="00612E2E">
        <w:t xml:space="preserve">iddle </w:t>
      </w:r>
      <w:r>
        <w:t>A</w:t>
      </w:r>
      <w:r w:rsidRPr="00612E2E">
        <w:t>ges</w:t>
      </w:r>
      <w:r>
        <w:t xml:space="preserve">’, </w:t>
      </w:r>
      <w:r w:rsidRPr="00612E2E">
        <w:rPr>
          <w:i/>
        </w:rPr>
        <w:t>Daedalus</w:t>
      </w:r>
      <w:r>
        <w:rPr>
          <w:i/>
        </w:rPr>
        <w:t xml:space="preserve">, </w:t>
      </w:r>
      <w:r w:rsidRPr="00612E2E">
        <w:rPr>
          <w:i/>
        </w:rPr>
        <w:t>Vol. 103, No. 1, Twentieth-Century Classics Revisited (Winter, 1974)</w:t>
      </w:r>
      <w:r>
        <w:rPr>
          <w:i/>
        </w:rPr>
        <w:t xml:space="preserve">. </w:t>
      </w:r>
      <w:r w:rsidRPr="00612E2E">
        <w:t>Available online:</w:t>
      </w:r>
      <w:r>
        <w:rPr>
          <w:i/>
        </w:rPr>
        <w:t xml:space="preserve"> </w:t>
      </w:r>
      <w:hyperlink r:id="rId2" w:history="1">
        <w:r w:rsidRPr="00FE6208">
          <w:rPr>
            <w:rStyle w:val="Hyperlink"/>
          </w:rPr>
          <w:t>https://moodle.uwtsd.ac.uk/pluginfile.php/227773/mod_resource/content/1/J%20Huizinga%2C%20Ch.%2011.pdf</w:t>
        </w:r>
      </w:hyperlink>
      <w:r>
        <w:t xml:space="preserve">. </w:t>
      </w:r>
      <w:r w:rsidR="00DD5CE2">
        <w:t xml:space="preserve">[Accessed 01/02/19]. </w:t>
      </w:r>
      <w:r>
        <w:t>124.</w:t>
      </w:r>
    </w:p>
  </w:footnote>
  <w:footnote w:id="6">
    <w:p w:rsidR="00612E2E" w:rsidRDefault="00612E2E">
      <w:pPr>
        <w:pStyle w:val="FootnoteText"/>
      </w:pPr>
      <w:r>
        <w:rPr>
          <w:rStyle w:val="FootnoteReference"/>
        </w:rPr>
        <w:footnoteRef/>
      </w:r>
      <w:r>
        <w:t xml:space="preserve"> </w:t>
      </w:r>
      <w:r w:rsidR="00DD5CE2" w:rsidRPr="00DD5CE2">
        <w:t xml:space="preserve">C. Walker Bynum, </w:t>
      </w:r>
      <w:r w:rsidR="00DD5CE2" w:rsidRPr="00DD5CE2">
        <w:rPr>
          <w:i/>
        </w:rPr>
        <w:t>‘</w:t>
      </w:r>
      <w:r w:rsidR="00DD5CE2" w:rsidRPr="00DD5CE2">
        <w:t>Material Continuity, Personal Survival, and the Resurrection of the Body: A Scholastic Discussion in its Medieval and Modern Contexts,’</w:t>
      </w:r>
      <w:r w:rsidR="00DD5CE2" w:rsidRPr="00DD5CE2">
        <w:rPr>
          <w:i/>
        </w:rPr>
        <w:t xml:space="preserve"> History of Religions, </w:t>
      </w:r>
      <w:r w:rsidR="00DD5CE2" w:rsidRPr="00DD5CE2">
        <w:t xml:space="preserve">Vol. 30, No. 1, The Body (Aug, 1990). </w:t>
      </w:r>
      <w:bookmarkStart w:id="2" w:name="_Hlk536828518"/>
      <w:r w:rsidR="00DD5CE2" w:rsidRPr="00DD5CE2">
        <w:t xml:space="preserve">Available online: </w:t>
      </w:r>
      <w:hyperlink r:id="rId3" w:history="1">
        <w:r w:rsidR="00DD5CE2" w:rsidRPr="00DD5CE2">
          <w:rPr>
            <w:rStyle w:val="Hyperlink"/>
          </w:rPr>
          <w:t>https://www.jstor.org/stable/1062792?seq=1#metadata_info_tab_contents</w:t>
        </w:r>
      </w:hyperlink>
      <w:r w:rsidR="00DD5CE2" w:rsidRPr="00DD5CE2">
        <w:t xml:space="preserve"> [Accessed 01/02/19].</w:t>
      </w:r>
      <w:r w:rsidR="00DD5CE2">
        <w:t xml:space="preserve"> </w:t>
      </w:r>
      <w:bookmarkEnd w:id="2"/>
      <w:r>
        <w:t>53</w:t>
      </w:r>
    </w:p>
  </w:footnote>
  <w:footnote w:id="7">
    <w:p w:rsidR="00612E2E" w:rsidRDefault="00612E2E">
      <w:pPr>
        <w:pStyle w:val="FootnoteText"/>
      </w:pPr>
      <w:r>
        <w:rPr>
          <w:rStyle w:val="FootnoteReference"/>
        </w:rPr>
        <w:footnoteRef/>
      </w:r>
      <w:r>
        <w:t xml:space="preserve"> </w:t>
      </w:r>
      <w:r w:rsidR="00DD5CE2">
        <w:t xml:space="preserve">Ibid. </w:t>
      </w:r>
      <w:r>
        <w:t>53</w:t>
      </w:r>
    </w:p>
  </w:footnote>
  <w:footnote w:id="8">
    <w:p w:rsidR="00612E2E" w:rsidRDefault="00612E2E">
      <w:pPr>
        <w:pStyle w:val="FootnoteText"/>
      </w:pPr>
      <w:r>
        <w:rPr>
          <w:rStyle w:val="FootnoteReference"/>
        </w:rPr>
        <w:footnoteRef/>
      </w:r>
      <w:r>
        <w:t xml:space="preserve"> </w:t>
      </w:r>
      <w:r w:rsidR="00DD5CE2">
        <w:t xml:space="preserve">Ibid. </w:t>
      </w:r>
      <w:r>
        <w:t>54</w:t>
      </w:r>
    </w:p>
  </w:footnote>
  <w:footnote w:id="9">
    <w:p w:rsidR="00612E2E" w:rsidRDefault="00612E2E">
      <w:pPr>
        <w:pStyle w:val="FootnoteText"/>
      </w:pPr>
      <w:r>
        <w:rPr>
          <w:rStyle w:val="FootnoteReference"/>
        </w:rPr>
        <w:footnoteRef/>
      </w:r>
      <w:r>
        <w:t xml:space="preserve"> </w:t>
      </w:r>
      <w:r w:rsidR="00DD5CE2">
        <w:t xml:space="preserve">Ibid. </w:t>
      </w:r>
      <w:r>
        <w:t>54</w:t>
      </w:r>
    </w:p>
  </w:footnote>
  <w:footnote w:id="10">
    <w:p w:rsidR="00612E2E" w:rsidRDefault="00612E2E">
      <w:pPr>
        <w:pStyle w:val="FootnoteText"/>
      </w:pPr>
      <w:r>
        <w:rPr>
          <w:rStyle w:val="FootnoteReference"/>
        </w:rPr>
        <w:footnoteRef/>
      </w:r>
      <w:r>
        <w:t xml:space="preserve"> </w:t>
      </w:r>
      <w:r w:rsidR="00DD5CE2">
        <w:t xml:space="preserve">Ibid. </w:t>
      </w:r>
      <w:r>
        <w:t>60</w:t>
      </w:r>
    </w:p>
  </w:footnote>
  <w:footnote w:id="11">
    <w:p w:rsidR="00612E2E" w:rsidRDefault="00612E2E">
      <w:pPr>
        <w:pStyle w:val="FootnoteText"/>
      </w:pPr>
      <w:r>
        <w:rPr>
          <w:rStyle w:val="FootnoteReference"/>
        </w:rPr>
        <w:footnoteRef/>
      </w:r>
      <w:r>
        <w:t xml:space="preserve"> </w:t>
      </w:r>
      <w:r w:rsidR="00DD5CE2">
        <w:t xml:space="preserve">Ibid. </w:t>
      </w:r>
      <w:r>
        <w:t>64</w:t>
      </w:r>
    </w:p>
  </w:footnote>
  <w:footnote w:id="12">
    <w:p w:rsidR="00612E2E" w:rsidRDefault="00612E2E">
      <w:pPr>
        <w:pStyle w:val="FootnoteText"/>
      </w:pPr>
      <w:r>
        <w:rPr>
          <w:rStyle w:val="FootnoteReference"/>
        </w:rPr>
        <w:footnoteRef/>
      </w:r>
      <w:r>
        <w:t xml:space="preserve"> </w:t>
      </w:r>
      <w:r w:rsidR="00DD5CE2">
        <w:t xml:space="preserve">Ibid. </w:t>
      </w:r>
      <w:r>
        <w:t>74</w:t>
      </w:r>
    </w:p>
  </w:footnote>
  <w:footnote w:id="13">
    <w:p w:rsidR="00612E2E" w:rsidRDefault="00612E2E">
      <w:pPr>
        <w:pStyle w:val="FootnoteText"/>
      </w:pPr>
      <w:r>
        <w:rPr>
          <w:rStyle w:val="FootnoteReference"/>
        </w:rPr>
        <w:footnoteRef/>
      </w:r>
      <w:r>
        <w:t xml:space="preserve"> </w:t>
      </w:r>
      <w:r w:rsidR="00DD5CE2">
        <w:t xml:space="preserve">Ibid. </w:t>
      </w:r>
      <w:r>
        <w:t>53</w:t>
      </w:r>
    </w:p>
  </w:footnote>
  <w:footnote w:id="14">
    <w:p w:rsidR="00612E2E" w:rsidRDefault="00612E2E">
      <w:pPr>
        <w:pStyle w:val="FootnoteText"/>
      </w:pPr>
      <w:r>
        <w:rPr>
          <w:rStyle w:val="FootnoteReference"/>
        </w:rPr>
        <w:footnoteRef/>
      </w:r>
      <w:r>
        <w:t xml:space="preserve"> </w:t>
      </w:r>
      <w:r w:rsidR="00DD5CE2">
        <w:t xml:space="preserve">Ibid. </w:t>
      </w:r>
      <w:r>
        <w:t>76</w:t>
      </w:r>
    </w:p>
  </w:footnote>
  <w:footnote w:id="15">
    <w:p w:rsidR="00612E2E" w:rsidRDefault="00612E2E">
      <w:pPr>
        <w:pStyle w:val="FootnoteText"/>
      </w:pPr>
      <w:r>
        <w:rPr>
          <w:rStyle w:val="FootnoteReference"/>
        </w:rPr>
        <w:footnoteRef/>
      </w:r>
      <w:r>
        <w:t xml:space="preserve"> </w:t>
      </w:r>
      <w:r w:rsidR="00DD5CE2">
        <w:t xml:space="preserve">Ibid. </w:t>
      </w:r>
      <w:r>
        <w:t>77</w:t>
      </w:r>
    </w:p>
  </w:footnote>
  <w:footnote w:id="16">
    <w:p w:rsidR="00612E2E" w:rsidRDefault="00612E2E">
      <w:pPr>
        <w:pStyle w:val="FootnoteText"/>
      </w:pPr>
      <w:r>
        <w:rPr>
          <w:rStyle w:val="FootnoteReference"/>
        </w:rPr>
        <w:footnoteRef/>
      </w:r>
      <w:r>
        <w:t xml:space="preserve"> </w:t>
      </w:r>
      <w:r w:rsidR="00DD5CE2">
        <w:t xml:space="preserve">Ibid. </w:t>
      </w:r>
      <w:r>
        <w:t>78</w:t>
      </w:r>
    </w:p>
  </w:footnote>
  <w:footnote w:id="17">
    <w:p w:rsidR="00612E2E" w:rsidRDefault="00612E2E">
      <w:pPr>
        <w:pStyle w:val="FootnoteText"/>
      </w:pPr>
      <w:r>
        <w:rPr>
          <w:rStyle w:val="FootnoteReference"/>
        </w:rPr>
        <w:footnoteRef/>
      </w:r>
      <w:r>
        <w:t xml:space="preserve"> </w:t>
      </w:r>
      <w:r w:rsidR="00634873">
        <w:t xml:space="preserve">K. Cohen, </w:t>
      </w:r>
      <w:r w:rsidR="00634873" w:rsidRPr="00634873">
        <w:rPr>
          <w:i/>
        </w:rPr>
        <w:t>Metamorphosis of a Death Symbol: the Transi Tomb in the Late Middle Ages and the Renaissance</w:t>
      </w:r>
      <w:r w:rsidR="00634873" w:rsidRPr="00634873">
        <w:t xml:space="preserve">, </w:t>
      </w:r>
      <w:r w:rsidR="00634873">
        <w:t>(</w:t>
      </w:r>
      <w:r w:rsidR="00634873">
        <w:t>California</w:t>
      </w:r>
      <w:r w:rsidR="00634873">
        <w:t xml:space="preserve">: </w:t>
      </w:r>
      <w:r w:rsidR="00634873" w:rsidRPr="00634873">
        <w:t>University of California Press</w:t>
      </w:r>
      <w:r w:rsidR="00634873">
        <w:t xml:space="preserve">, </w:t>
      </w:r>
      <w:r w:rsidR="00634873" w:rsidRPr="00634873">
        <w:t>1992</w:t>
      </w:r>
      <w:r w:rsidR="00634873">
        <w:t xml:space="preserve">) </w:t>
      </w:r>
    </w:p>
  </w:footnote>
  <w:footnote w:id="18">
    <w:p w:rsidR="00612E2E" w:rsidRDefault="00612E2E">
      <w:pPr>
        <w:pStyle w:val="FootnoteText"/>
      </w:pPr>
      <w:r>
        <w:rPr>
          <w:rStyle w:val="FootnoteReference"/>
        </w:rPr>
        <w:footnoteRef/>
      </w:r>
      <w:r>
        <w:t xml:space="preserve"> </w:t>
      </w:r>
      <w:r w:rsidR="002F2288">
        <w:t xml:space="preserve">Ibid. 17. </w:t>
      </w:r>
    </w:p>
  </w:footnote>
  <w:footnote w:id="19">
    <w:p w:rsidR="00612E2E" w:rsidRDefault="00612E2E">
      <w:pPr>
        <w:pStyle w:val="FootnoteText"/>
      </w:pPr>
      <w:r>
        <w:rPr>
          <w:rStyle w:val="FootnoteReference"/>
        </w:rPr>
        <w:footnoteRef/>
      </w:r>
      <w:r>
        <w:t xml:space="preserve"> </w:t>
      </w:r>
      <w:r w:rsidR="002F2288">
        <w:t>Ibid. 17.</w:t>
      </w:r>
    </w:p>
  </w:footnote>
  <w:footnote w:id="20">
    <w:p w:rsidR="00612E2E" w:rsidRDefault="00612E2E">
      <w:pPr>
        <w:pStyle w:val="FootnoteText"/>
      </w:pPr>
      <w:r>
        <w:rPr>
          <w:rStyle w:val="FootnoteReference"/>
        </w:rPr>
        <w:footnoteRef/>
      </w:r>
      <w:r>
        <w:t xml:space="preserve"> </w:t>
      </w:r>
      <w:r w:rsidR="002F2288">
        <w:t xml:space="preserve">Ibid. 18. </w:t>
      </w:r>
    </w:p>
  </w:footnote>
  <w:footnote w:id="21">
    <w:p w:rsidR="00612E2E" w:rsidRDefault="00612E2E">
      <w:pPr>
        <w:pStyle w:val="FootnoteText"/>
      </w:pPr>
      <w:r>
        <w:rPr>
          <w:rStyle w:val="FootnoteReference"/>
        </w:rPr>
        <w:footnoteRef/>
      </w:r>
      <w:r>
        <w:t xml:space="preserve"> </w:t>
      </w:r>
      <w:r w:rsidR="002F2288">
        <w:t>Orderic Vitalis, The Ecclesiarchal History of Orderic Vitalis, translated by M. Chibnall. (Oxford: Oxford University Press, 1973.) 139.</w:t>
      </w:r>
    </w:p>
  </w:footnote>
  <w:footnote w:id="22">
    <w:p w:rsidR="00612E2E" w:rsidRDefault="00612E2E">
      <w:pPr>
        <w:pStyle w:val="FootnoteText"/>
      </w:pPr>
      <w:r>
        <w:rPr>
          <w:rStyle w:val="FootnoteReference"/>
        </w:rPr>
        <w:footnoteRef/>
      </w:r>
      <w:r>
        <w:t xml:space="preserve"> </w:t>
      </w:r>
      <w:r w:rsidR="002F2288">
        <w:t>Ibid. 145.</w:t>
      </w:r>
    </w:p>
  </w:footnote>
  <w:footnote w:id="23">
    <w:p w:rsidR="002110EC" w:rsidRDefault="002110EC">
      <w:pPr>
        <w:pStyle w:val="FootnoteText"/>
      </w:pPr>
      <w:r>
        <w:rPr>
          <w:rStyle w:val="FootnoteReference"/>
        </w:rPr>
        <w:footnoteRef/>
      </w:r>
      <w:r>
        <w:t xml:space="preserve"> </w:t>
      </w:r>
      <w:r w:rsidRPr="002110EC">
        <w:rPr>
          <w:i/>
        </w:rPr>
        <w:t>Skull of Mary Magdalene</w:t>
      </w:r>
      <w:r>
        <w:t xml:space="preserve"> (2015). </w:t>
      </w:r>
      <w:r w:rsidR="00F00AB2">
        <w:t>Available</w:t>
      </w:r>
      <w:r>
        <w:t xml:space="preserve"> Online: </w:t>
      </w:r>
      <w:hyperlink r:id="rId4" w:history="1">
        <w:r w:rsidRPr="00FE6208">
          <w:rPr>
            <w:rStyle w:val="Hyperlink"/>
          </w:rPr>
          <w:t>http://www.magdalenepublishing.org/skull-mary-magdalene/</w:t>
        </w:r>
      </w:hyperlink>
    </w:p>
  </w:footnote>
  <w:footnote w:id="24">
    <w:p w:rsidR="00612E2E" w:rsidRDefault="00612E2E">
      <w:pPr>
        <w:pStyle w:val="FootnoteText"/>
      </w:pPr>
      <w:r>
        <w:rPr>
          <w:rStyle w:val="FootnoteReference"/>
        </w:rPr>
        <w:footnoteRef/>
      </w:r>
      <w:r>
        <w:t xml:space="preserve"> </w:t>
      </w:r>
      <w:r w:rsidR="00F00AB2">
        <w:t xml:space="preserve">Skull of Mary Magdalene (2015). </w:t>
      </w:r>
      <w:r w:rsidR="003A2992">
        <w:t>Available</w:t>
      </w:r>
      <w:r w:rsidR="00F00AB2">
        <w:t xml:space="preserve"> Online: </w:t>
      </w:r>
      <w:hyperlink r:id="rId5" w:history="1">
        <w:r w:rsidR="00F00AB2" w:rsidRPr="00FE6208">
          <w:rPr>
            <w:rStyle w:val="Hyperlink"/>
          </w:rPr>
          <w:t>http://www.magdalenepublishing.org/skull-mary-magdalene/</w:t>
        </w:r>
      </w:hyperlink>
    </w:p>
  </w:footnote>
  <w:footnote w:id="25">
    <w:p w:rsidR="00612E2E" w:rsidRDefault="00612E2E">
      <w:pPr>
        <w:pStyle w:val="FootnoteText"/>
      </w:pPr>
      <w:r>
        <w:rPr>
          <w:rStyle w:val="FootnoteReference"/>
        </w:rPr>
        <w:footnoteRef/>
      </w:r>
      <w:r>
        <w:t xml:space="preserve"> </w:t>
      </w:r>
      <w:r w:rsidR="003A2992">
        <w:t xml:space="preserve">D. Alighieri, </w:t>
      </w:r>
      <w:r w:rsidR="003A2992" w:rsidRPr="005754F7">
        <w:rPr>
          <w:i/>
        </w:rPr>
        <w:t>The Divine Comedy: Inferno, translated by J.G. Nichols</w:t>
      </w:r>
      <w:r w:rsidR="005754F7">
        <w:t xml:space="preserve">. (London: Alma Classics Ltd, 2014). </w:t>
      </w:r>
      <w:r>
        <w:t>69</w:t>
      </w:r>
    </w:p>
  </w:footnote>
  <w:footnote w:id="26">
    <w:p w:rsidR="00612E2E" w:rsidRDefault="00612E2E">
      <w:pPr>
        <w:pStyle w:val="FootnoteText"/>
      </w:pPr>
      <w:r>
        <w:rPr>
          <w:rStyle w:val="FootnoteReference"/>
        </w:rPr>
        <w:footnoteRef/>
      </w:r>
      <w:r>
        <w:t xml:space="preserve"> </w:t>
      </w:r>
      <w:r w:rsidR="005754F7">
        <w:t xml:space="preserve">Ibid. </w:t>
      </w:r>
      <w:r>
        <w:t>69</w:t>
      </w:r>
    </w:p>
  </w:footnote>
  <w:footnote w:id="27">
    <w:p w:rsidR="00612E2E" w:rsidRDefault="00612E2E">
      <w:pPr>
        <w:pStyle w:val="FootnoteText"/>
      </w:pPr>
      <w:r>
        <w:rPr>
          <w:rStyle w:val="FootnoteReference"/>
        </w:rPr>
        <w:footnoteRef/>
      </w:r>
      <w:r>
        <w:t xml:space="preserve"> </w:t>
      </w:r>
      <w:r w:rsidR="005754F7">
        <w:t xml:space="preserve">Ibid. </w:t>
      </w:r>
      <w:r>
        <w:t>69</w:t>
      </w:r>
      <w:r w:rsidR="005754F7">
        <w:t>,</w:t>
      </w:r>
      <w:r>
        <w:t xml:space="preserve"> footnote 3</w:t>
      </w:r>
    </w:p>
  </w:footnote>
  <w:footnote w:id="28">
    <w:p w:rsidR="00612E2E" w:rsidRDefault="00612E2E">
      <w:pPr>
        <w:pStyle w:val="FootnoteText"/>
      </w:pPr>
      <w:r>
        <w:rPr>
          <w:rStyle w:val="FootnoteReference"/>
        </w:rPr>
        <w:footnoteRef/>
      </w:r>
      <w:r>
        <w:t xml:space="preserve"> </w:t>
      </w:r>
      <w:r w:rsidR="005754F7">
        <w:t xml:space="preserve">Ibid, </w:t>
      </w:r>
      <w:r>
        <w:t>69</w:t>
      </w:r>
    </w:p>
  </w:footnote>
  <w:footnote w:id="29">
    <w:p w:rsidR="00612E2E" w:rsidRDefault="00612E2E">
      <w:pPr>
        <w:pStyle w:val="FootnoteText"/>
      </w:pPr>
      <w:r>
        <w:rPr>
          <w:rStyle w:val="FootnoteReference"/>
        </w:rPr>
        <w:footnoteRef/>
      </w:r>
      <w:r>
        <w:t xml:space="preserve"> </w:t>
      </w:r>
      <w:r w:rsidR="005754F7">
        <w:t xml:space="preserve">Ibid, </w:t>
      </w:r>
      <w:r>
        <w:t>69</w:t>
      </w:r>
    </w:p>
  </w:footnote>
  <w:footnote w:id="30">
    <w:p w:rsidR="00612E2E" w:rsidRDefault="00612E2E">
      <w:pPr>
        <w:pStyle w:val="FootnoteText"/>
      </w:pPr>
      <w:r>
        <w:rPr>
          <w:rStyle w:val="FootnoteReference"/>
        </w:rPr>
        <w:footnoteRef/>
      </w:r>
      <w:r>
        <w:t xml:space="preserve"> </w:t>
      </w:r>
      <w:r w:rsidR="005754F7">
        <w:t xml:space="preserve">Ibid, </w:t>
      </w:r>
      <w:r>
        <w:t>69</w:t>
      </w:r>
    </w:p>
  </w:footnote>
  <w:footnote w:id="31">
    <w:p w:rsidR="00612E2E" w:rsidRDefault="00612E2E">
      <w:pPr>
        <w:pStyle w:val="FootnoteText"/>
      </w:pPr>
      <w:r>
        <w:rPr>
          <w:rStyle w:val="FootnoteReference"/>
        </w:rPr>
        <w:footnoteRef/>
      </w:r>
      <w:r>
        <w:t xml:space="preserve"> </w:t>
      </w:r>
      <w:r w:rsidR="005754F7">
        <w:t xml:space="preserve">Ibid, </w:t>
      </w:r>
      <w:r>
        <w:t>71</w:t>
      </w:r>
    </w:p>
  </w:footnote>
  <w:footnote w:id="32">
    <w:p w:rsidR="00612E2E" w:rsidRDefault="00612E2E">
      <w:pPr>
        <w:pStyle w:val="FootnoteText"/>
      </w:pPr>
      <w:r>
        <w:rPr>
          <w:rStyle w:val="FootnoteReference"/>
        </w:rPr>
        <w:footnoteRef/>
      </w:r>
      <w:r>
        <w:t xml:space="preserve"> </w:t>
      </w:r>
      <w:r w:rsidR="005754F7">
        <w:t xml:space="preserve">Ibid, </w:t>
      </w:r>
      <w:r>
        <w:t>69</w:t>
      </w:r>
    </w:p>
  </w:footnote>
  <w:footnote w:id="33">
    <w:p w:rsidR="00612E2E" w:rsidRDefault="00612E2E">
      <w:pPr>
        <w:pStyle w:val="FootnoteText"/>
      </w:pPr>
      <w:r>
        <w:rPr>
          <w:rStyle w:val="FootnoteReference"/>
        </w:rPr>
        <w:footnoteRef/>
      </w:r>
      <w:r>
        <w:t xml:space="preserve"> </w:t>
      </w:r>
      <w:r w:rsidR="005754F7">
        <w:t xml:space="preserve">Ibid, </w:t>
      </w:r>
      <w:r>
        <w:t>71</w:t>
      </w:r>
    </w:p>
  </w:footnote>
  <w:footnote w:id="34">
    <w:p w:rsidR="00612E2E" w:rsidRDefault="00612E2E">
      <w:pPr>
        <w:pStyle w:val="FootnoteText"/>
      </w:pPr>
      <w:r>
        <w:rPr>
          <w:rStyle w:val="FootnoteReference"/>
        </w:rPr>
        <w:footnoteRef/>
      </w:r>
      <w:r>
        <w:t xml:space="preserve"> </w:t>
      </w:r>
      <w:r w:rsidR="005754F7">
        <w:t xml:space="preserve">C. Dawson, </w:t>
      </w:r>
      <w:r w:rsidRPr="005754F7">
        <w:rPr>
          <w:i/>
        </w:rPr>
        <w:t>Death and</w:t>
      </w:r>
      <w:r w:rsidR="005754F7" w:rsidRPr="005754F7">
        <w:rPr>
          <w:i/>
        </w:rPr>
        <w:t xml:space="preserve"> B</w:t>
      </w:r>
      <w:r w:rsidRPr="005754F7">
        <w:rPr>
          <w:i/>
        </w:rPr>
        <w:t>urial</w:t>
      </w:r>
      <w:r w:rsidR="005754F7" w:rsidRPr="005754F7">
        <w:rPr>
          <w:i/>
        </w:rPr>
        <w:t xml:space="preserve"> in Medieval England: 1066 – 1550</w:t>
      </w:r>
      <w:r w:rsidR="005754F7">
        <w:t>. (London: Routledge, 1998).</w:t>
      </w:r>
      <w:r>
        <w:t xml:space="preserve"> 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882492"/>
      <w:docPartObj>
        <w:docPartGallery w:val="Page Numbers (Top of Page)"/>
        <w:docPartUnique/>
      </w:docPartObj>
    </w:sdtPr>
    <w:sdtEndPr>
      <w:rPr>
        <w:noProof/>
      </w:rPr>
    </w:sdtEndPr>
    <w:sdtContent>
      <w:p w:rsidR="006A71EC" w:rsidRDefault="006A71EC">
        <w:pPr>
          <w:pStyle w:val="Head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1600831</w:t>
        </w:r>
      </w:p>
    </w:sdtContent>
  </w:sdt>
  <w:p w:rsidR="006A71EC" w:rsidRDefault="006A71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B72"/>
    <w:rsid w:val="000274DE"/>
    <w:rsid w:val="00042850"/>
    <w:rsid w:val="00065A9C"/>
    <w:rsid w:val="00066F14"/>
    <w:rsid w:val="0009681E"/>
    <w:rsid w:val="000C0858"/>
    <w:rsid w:val="000D0943"/>
    <w:rsid w:val="000D243E"/>
    <w:rsid w:val="000E1C11"/>
    <w:rsid w:val="000E1FBC"/>
    <w:rsid w:val="000F1810"/>
    <w:rsid w:val="00132E34"/>
    <w:rsid w:val="00140A36"/>
    <w:rsid w:val="00141C06"/>
    <w:rsid w:val="00154603"/>
    <w:rsid w:val="001B0CB2"/>
    <w:rsid w:val="001B4F57"/>
    <w:rsid w:val="001B5F78"/>
    <w:rsid w:val="002013BF"/>
    <w:rsid w:val="002110EC"/>
    <w:rsid w:val="0021187F"/>
    <w:rsid w:val="002318D9"/>
    <w:rsid w:val="002448CC"/>
    <w:rsid w:val="00260B1E"/>
    <w:rsid w:val="00280886"/>
    <w:rsid w:val="0028294E"/>
    <w:rsid w:val="00293148"/>
    <w:rsid w:val="002A2DA6"/>
    <w:rsid w:val="002E5B0F"/>
    <w:rsid w:val="002F2288"/>
    <w:rsid w:val="002F523D"/>
    <w:rsid w:val="003055C5"/>
    <w:rsid w:val="00317717"/>
    <w:rsid w:val="00325FF5"/>
    <w:rsid w:val="00326AA0"/>
    <w:rsid w:val="00341096"/>
    <w:rsid w:val="003469A3"/>
    <w:rsid w:val="00353479"/>
    <w:rsid w:val="003A2992"/>
    <w:rsid w:val="003B1654"/>
    <w:rsid w:val="003D71B5"/>
    <w:rsid w:val="003E46BE"/>
    <w:rsid w:val="00431205"/>
    <w:rsid w:val="00433FA1"/>
    <w:rsid w:val="0046527A"/>
    <w:rsid w:val="004760DB"/>
    <w:rsid w:val="004A51DA"/>
    <w:rsid w:val="004B0984"/>
    <w:rsid w:val="004B5307"/>
    <w:rsid w:val="004C69F0"/>
    <w:rsid w:val="004E5E9F"/>
    <w:rsid w:val="004F52D7"/>
    <w:rsid w:val="0050516B"/>
    <w:rsid w:val="005457DD"/>
    <w:rsid w:val="0054769A"/>
    <w:rsid w:val="00551C8E"/>
    <w:rsid w:val="00574190"/>
    <w:rsid w:val="005754F7"/>
    <w:rsid w:val="00587524"/>
    <w:rsid w:val="005B2CB5"/>
    <w:rsid w:val="005C0697"/>
    <w:rsid w:val="005C288A"/>
    <w:rsid w:val="005D23C9"/>
    <w:rsid w:val="005D71A7"/>
    <w:rsid w:val="00606419"/>
    <w:rsid w:val="00611D0F"/>
    <w:rsid w:val="00612E2E"/>
    <w:rsid w:val="0062215E"/>
    <w:rsid w:val="00634873"/>
    <w:rsid w:val="00662B70"/>
    <w:rsid w:val="00667B60"/>
    <w:rsid w:val="00671BCB"/>
    <w:rsid w:val="00677EED"/>
    <w:rsid w:val="00683DAE"/>
    <w:rsid w:val="006A71EC"/>
    <w:rsid w:val="006C57B3"/>
    <w:rsid w:val="006C5A22"/>
    <w:rsid w:val="006E07BF"/>
    <w:rsid w:val="006F2CDB"/>
    <w:rsid w:val="0070536F"/>
    <w:rsid w:val="00705FA3"/>
    <w:rsid w:val="007A5E9A"/>
    <w:rsid w:val="00802636"/>
    <w:rsid w:val="00810923"/>
    <w:rsid w:val="00897831"/>
    <w:rsid w:val="00921920"/>
    <w:rsid w:val="0093165A"/>
    <w:rsid w:val="00941D3D"/>
    <w:rsid w:val="0094620D"/>
    <w:rsid w:val="0094686D"/>
    <w:rsid w:val="00984D91"/>
    <w:rsid w:val="009C1687"/>
    <w:rsid w:val="009C601B"/>
    <w:rsid w:val="009F57CC"/>
    <w:rsid w:val="00A164D1"/>
    <w:rsid w:val="00A26A80"/>
    <w:rsid w:val="00A372B2"/>
    <w:rsid w:val="00A52D13"/>
    <w:rsid w:val="00A8293E"/>
    <w:rsid w:val="00A8366B"/>
    <w:rsid w:val="00AA5B2D"/>
    <w:rsid w:val="00AB77B6"/>
    <w:rsid w:val="00AD021D"/>
    <w:rsid w:val="00AE3C20"/>
    <w:rsid w:val="00AE4CE4"/>
    <w:rsid w:val="00B06919"/>
    <w:rsid w:val="00B37B72"/>
    <w:rsid w:val="00B739F7"/>
    <w:rsid w:val="00B74B61"/>
    <w:rsid w:val="00BB615F"/>
    <w:rsid w:val="00C04986"/>
    <w:rsid w:val="00C44ABE"/>
    <w:rsid w:val="00C6168C"/>
    <w:rsid w:val="00C75D8D"/>
    <w:rsid w:val="00CB316C"/>
    <w:rsid w:val="00D074EE"/>
    <w:rsid w:val="00D17707"/>
    <w:rsid w:val="00D75151"/>
    <w:rsid w:val="00D819B8"/>
    <w:rsid w:val="00DC6A92"/>
    <w:rsid w:val="00DD5CE2"/>
    <w:rsid w:val="00DE51E3"/>
    <w:rsid w:val="00E062E9"/>
    <w:rsid w:val="00E23B01"/>
    <w:rsid w:val="00E350DA"/>
    <w:rsid w:val="00E4391F"/>
    <w:rsid w:val="00E629E7"/>
    <w:rsid w:val="00EB4DB8"/>
    <w:rsid w:val="00EC2247"/>
    <w:rsid w:val="00EE1D4C"/>
    <w:rsid w:val="00F00AB2"/>
    <w:rsid w:val="00F15CC1"/>
    <w:rsid w:val="00F61850"/>
    <w:rsid w:val="00F77E42"/>
    <w:rsid w:val="00F87EAD"/>
    <w:rsid w:val="00F92FFA"/>
    <w:rsid w:val="00FB0E4E"/>
    <w:rsid w:val="00FB2F04"/>
    <w:rsid w:val="00FB65AF"/>
    <w:rsid w:val="00FC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DF1ED"/>
  <w15:chartTrackingRefBased/>
  <w15:docId w15:val="{7D1B4606-66DB-4603-AAD9-C49A914CB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A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372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72B2"/>
    <w:rPr>
      <w:sz w:val="20"/>
      <w:szCs w:val="20"/>
    </w:rPr>
  </w:style>
  <w:style w:type="character" w:styleId="FootnoteReference">
    <w:name w:val="footnote reference"/>
    <w:basedOn w:val="DefaultParagraphFont"/>
    <w:uiPriority w:val="99"/>
    <w:semiHidden/>
    <w:unhideWhenUsed/>
    <w:rsid w:val="00A372B2"/>
    <w:rPr>
      <w:vertAlign w:val="superscript"/>
    </w:rPr>
  </w:style>
  <w:style w:type="character" w:styleId="Hyperlink">
    <w:name w:val="Hyperlink"/>
    <w:basedOn w:val="DefaultParagraphFont"/>
    <w:uiPriority w:val="99"/>
    <w:unhideWhenUsed/>
    <w:rsid w:val="00FB2F04"/>
    <w:rPr>
      <w:color w:val="0563C1" w:themeColor="hyperlink"/>
      <w:u w:val="single"/>
    </w:rPr>
  </w:style>
  <w:style w:type="character" w:styleId="UnresolvedMention">
    <w:name w:val="Unresolved Mention"/>
    <w:basedOn w:val="DefaultParagraphFont"/>
    <w:uiPriority w:val="99"/>
    <w:semiHidden/>
    <w:unhideWhenUsed/>
    <w:rsid w:val="00FB2F04"/>
    <w:rPr>
      <w:color w:val="605E5C"/>
      <w:shd w:val="clear" w:color="auto" w:fill="E1DFDD"/>
    </w:rPr>
  </w:style>
  <w:style w:type="character" w:customStyle="1" w:styleId="Heading1Char">
    <w:name w:val="Heading 1 Char"/>
    <w:basedOn w:val="DefaultParagraphFont"/>
    <w:link w:val="Heading1"/>
    <w:uiPriority w:val="9"/>
    <w:rsid w:val="00326AA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629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9E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A7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1EC"/>
  </w:style>
  <w:style w:type="paragraph" w:styleId="Footer">
    <w:name w:val="footer"/>
    <w:basedOn w:val="Normal"/>
    <w:link w:val="FooterChar"/>
    <w:uiPriority w:val="99"/>
    <w:unhideWhenUsed/>
    <w:rsid w:val="006A7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062792?seq=1#metadata_info_tab_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magdalenepublishing.org/skull-mary-magdalene/" TargetMode="External"/><Relationship Id="rId4" Type="http://schemas.openxmlformats.org/officeDocument/2006/relationships/webSettings" Target="webSettings.xml"/><Relationship Id="rId9" Type="http://schemas.openxmlformats.org/officeDocument/2006/relationships/hyperlink" Target="https://moodle.uwtsd.ac.uk/pluginfile.php/227773/mod_resource/content/1/J%20Huizinga%2C%20Ch.%2011.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1062792?seq=1#metadata_info_tab_contents" TargetMode="External"/><Relationship Id="rId2" Type="http://schemas.openxmlformats.org/officeDocument/2006/relationships/hyperlink" Target="https://moodle.uwtsd.ac.uk/pluginfile.php/227773/mod_resource/content/1/J%20Huizinga%2C%20Ch.%2011.pdf" TargetMode="External"/><Relationship Id="rId1" Type="http://schemas.openxmlformats.org/officeDocument/2006/relationships/hyperlink" Target="https://www.jstor.org/stable/1062792?seq=1#metadata_info_tab_contents" TargetMode="External"/><Relationship Id="rId5" Type="http://schemas.openxmlformats.org/officeDocument/2006/relationships/hyperlink" Target="http://www.magdalenepublishing.org/skull-mary-magdalene/" TargetMode="External"/><Relationship Id="rId4" Type="http://schemas.openxmlformats.org/officeDocument/2006/relationships/hyperlink" Target="http://www.magdalenepublishing.org/skull-mary-magdale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D18CA-7182-47A5-BA9F-F4138A067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3139</TotalTime>
  <Pages>10</Pages>
  <Words>3127</Words>
  <Characters>17825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77</cp:revision>
  <dcterms:created xsi:type="dcterms:W3CDTF">2019-01-29T20:40:00Z</dcterms:created>
  <dcterms:modified xsi:type="dcterms:W3CDTF">2019-02-01T23:56:00Z</dcterms:modified>
</cp:coreProperties>
</file>