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191554" w14:textId="77777777" w:rsidR="00CF5B05" w:rsidRDefault="00CF5B05" w:rsidP="00CF5B05">
      <w:pPr>
        <w:jc w:val="center"/>
        <w:rPr>
          <w:rFonts w:ascii="Calibri" w:hAnsi="Calibri" w:cs="Calibri"/>
          <w:b/>
          <w:bCs/>
          <w:sz w:val="40"/>
          <w:szCs w:val="40"/>
        </w:rPr>
      </w:pPr>
    </w:p>
    <w:p w14:paraId="3B09FE3E" w14:textId="77777777" w:rsidR="00CF5B05" w:rsidRDefault="00CF5B05" w:rsidP="00CF5B05">
      <w:pPr>
        <w:jc w:val="center"/>
        <w:rPr>
          <w:rFonts w:ascii="Calibri" w:hAnsi="Calibri" w:cs="Calibri"/>
          <w:b/>
          <w:bCs/>
          <w:sz w:val="40"/>
          <w:szCs w:val="40"/>
        </w:rPr>
      </w:pPr>
    </w:p>
    <w:p w14:paraId="64306BF0" w14:textId="77777777" w:rsidR="00F6043B" w:rsidRDefault="00F6043B" w:rsidP="00CF5B05">
      <w:pPr>
        <w:jc w:val="center"/>
        <w:rPr>
          <w:rFonts w:ascii="Calibri" w:hAnsi="Calibri" w:cs="Calibri"/>
          <w:b/>
          <w:bCs/>
          <w:sz w:val="40"/>
          <w:szCs w:val="40"/>
        </w:rPr>
      </w:pPr>
    </w:p>
    <w:p w14:paraId="7A21AF1C" w14:textId="77777777" w:rsidR="00F6043B" w:rsidRDefault="00F6043B" w:rsidP="00CF5B05">
      <w:pPr>
        <w:jc w:val="center"/>
        <w:rPr>
          <w:rFonts w:ascii="Calibri" w:hAnsi="Calibri" w:cs="Calibri"/>
          <w:b/>
          <w:bCs/>
          <w:sz w:val="40"/>
          <w:szCs w:val="40"/>
        </w:rPr>
      </w:pPr>
    </w:p>
    <w:p w14:paraId="4DDF6E7D" w14:textId="77777777" w:rsidR="00F6043B" w:rsidRDefault="00F6043B" w:rsidP="00CF5B05">
      <w:pPr>
        <w:jc w:val="center"/>
        <w:rPr>
          <w:rFonts w:ascii="Calibri" w:hAnsi="Calibri" w:cs="Calibri"/>
          <w:b/>
          <w:bCs/>
          <w:sz w:val="40"/>
          <w:szCs w:val="40"/>
        </w:rPr>
      </w:pPr>
    </w:p>
    <w:p w14:paraId="70404C89" w14:textId="7947ADB2" w:rsidR="00991232" w:rsidRPr="00657BB2" w:rsidRDefault="00CF5B05" w:rsidP="00CF5B05">
      <w:pPr>
        <w:jc w:val="center"/>
        <w:rPr>
          <w:rFonts w:ascii="Calibri" w:hAnsi="Calibri" w:cs="Calibri"/>
          <w:sz w:val="24"/>
          <w:szCs w:val="24"/>
        </w:rPr>
      </w:pPr>
      <w:r w:rsidRPr="00CF5B05">
        <w:rPr>
          <w:rFonts w:ascii="Calibri" w:hAnsi="Calibri" w:cs="Calibri"/>
          <w:b/>
          <w:bCs/>
          <w:sz w:val="40"/>
          <w:szCs w:val="40"/>
        </w:rPr>
        <w:t>Written reflection and peer review</w:t>
      </w:r>
    </w:p>
    <w:p w14:paraId="6DC507CC" w14:textId="77777777" w:rsidR="00991232" w:rsidRPr="00657BB2" w:rsidRDefault="00991232" w:rsidP="00991232">
      <w:pPr>
        <w:jc w:val="both"/>
        <w:rPr>
          <w:rFonts w:ascii="Calibri" w:hAnsi="Calibri" w:cs="Calibri"/>
          <w:sz w:val="24"/>
          <w:szCs w:val="24"/>
        </w:rPr>
      </w:pPr>
    </w:p>
    <w:p w14:paraId="3AC909D5" w14:textId="77777777" w:rsidR="00991232" w:rsidRPr="00657BB2" w:rsidRDefault="00991232" w:rsidP="00991232">
      <w:pPr>
        <w:jc w:val="both"/>
        <w:rPr>
          <w:rFonts w:ascii="Calibri" w:hAnsi="Calibri" w:cs="Calibri"/>
          <w:sz w:val="24"/>
          <w:szCs w:val="24"/>
        </w:rPr>
      </w:pPr>
    </w:p>
    <w:p w14:paraId="4D8AF96F" w14:textId="77777777" w:rsidR="00991232" w:rsidRPr="00657BB2" w:rsidRDefault="00991232" w:rsidP="00991232">
      <w:pPr>
        <w:jc w:val="both"/>
        <w:rPr>
          <w:rFonts w:ascii="Calibri" w:hAnsi="Calibri" w:cs="Calibri"/>
          <w:sz w:val="24"/>
          <w:szCs w:val="24"/>
        </w:rPr>
      </w:pPr>
    </w:p>
    <w:p w14:paraId="678FF4FC" w14:textId="77777777" w:rsidR="00991232" w:rsidRPr="00657BB2" w:rsidRDefault="00991232" w:rsidP="00991232">
      <w:pPr>
        <w:jc w:val="both"/>
        <w:rPr>
          <w:rFonts w:ascii="Calibri" w:hAnsi="Calibri" w:cs="Calibri"/>
          <w:sz w:val="24"/>
          <w:szCs w:val="24"/>
        </w:rPr>
      </w:pPr>
    </w:p>
    <w:p w14:paraId="18B64356" w14:textId="77777777" w:rsidR="00991232" w:rsidRPr="00657BB2" w:rsidRDefault="00991232" w:rsidP="00991232">
      <w:pPr>
        <w:jc w:val="both"/>
        <w:rPr>
          <w:rFonts w:ascii="Calibri" w:hAnsi="Calibri" w:cs="Calibri"/>
          <w:sz w:val="24"/>
          <w:szCs w:val="24"/>
        </w:rPr>
      </w:pPr>
    </w:p>
    <w:p w14:paraId="23420147" w14:textId="77777777" w:rsidR="00991232" w:rsidRPr="00657BB2" w:rsidRDefault="00991232" w:rsidP="00991232">
      <w:pPr>
        <w:jc w:val="both"/>
        <w:rPr>
          <w:rFonts w:ascii="Calibri" w:hAnsi="Calibri" w:cs="Calibri"/>
          <w:sz w:val="24"/>
          <w:szCs w:val="24"/>
        </w:rPr>
      </w:pPr>
      <w:r w:rsidRPr="00736079">
        <w:rPr>
          <w:rFonts w:ascii="Calibri" w:hAnsi="Calibri" w:cs="Calibri"/>
          <w:b/>
          <w:bCs/>
          <w:sz w:val="24"/>
          <w:szCs w:val="24"/>
        </w:rPr>
        <w:t>Programme:</w:t>
      </w:r>
      <w:r w:rsidRPr="00657BB2">
        <w:rPr>
          <w:rFonts w:ascii="Calibri" w:hAnsi="Calibri" w:cs="Calibri"/>
          <w:sz w:val="24"/>
          <w:szCs w:val="24"/>
        </w:rPr>
        <w:t xml:space="preserve"> Professional Graduate Certificate in Education (PCET)</w:t>
      </w:r>
    </w:p>
    <w:p w14:paraId="3637BBC3" w14:textId="77777777" w:rsidR="00991232" w:rsidRPr="00657BB2" w:rsidRDefault="00991232" w:rsidP="00991232">
      <w:pPr>
        <w:jc w:val="both"/>
        <w:rPr>
          <w:rFonts w:ascii="Calibri" w:hAnsi="Calibri" w:cs="Calibri"/>
          <w:sz w:val="24"/>
          <w:szCs w:val="24"/>
        </w:rPr>
      </w:pPr>
      <w:r w:rsidRPr="00736079">
        <w:rPr>
          <w:rFonts w:ascii="Calibri" w:hAnsi="Calibri" w:cs="Calibri"/>
          <w:b/>
          <w:bCs/>
          <w:sz w:val="24"/>
          <w:szCs w:val="24"/>
        </w:rPr>
        <w:t>Module:</w:t>
      </w:r>
      <w:r w:rsidRPr="00657BB2">
        <w:rPr>
          <w:rFonts w:ascii="Calibri" w:hAnsi="Calibri" w:cs="Calibri"/>
          <w:sz w:val="24"/>
          <w:szCs w:val="24"/>
        </w:rPr>
        <w:t xml:space="preserve"> Teaching Toolkit 2</w:t>
      </w:r>
    </w:p>
    <w:p w14:paraId="132AFFCF" w14:textId="77777777" w:rsidR="00991232" w:rsidRPr="00B73AC5" w:rsidRDefault="00991232" w:rsidP="00991232">
      <w:pPr>
        <w:jc w:val="both"/>
        <w:rPr>
          <w:rFonts w:ascii="Calibri" w:hAnsi="Calibri" w:cs="Calibri"/>
          <w:sz w:val="24"/>
          <w:szCs w:val="24"/>
        </w:rPr>
      </w:pPr>
      <w:r w:rsidRPr="00B73AC5">
        <w:rPr>
          <w:rFonts w:ascii="Calibri" w:hAnsi="Calibri" w:cs="Calibri"/>
          <w:b/>
          <w:bCs/>
          <w:sz w:val="24"/>
          <w:szCs w:val="24"/>
        </w:rPr>
        <w:t>Module code:</w:t>
      </w:r>
      <w:r w:rsidRPr="00B73AC5">
        <w:rPr>
          <w:rFonts w:ascii="Calibri" w:hAnsi="Calibri" w:cs="Calibri"/>
          <w:sz w:val="24"/>
          <w:szCs w:val="24"/>
        </w:rPr>
        <w:t xml:space="preserve"> ECPT7004</w:t>
      </w:r>
    </w:p>
    <w:p w14:paraId="73A4651D" w14:textId="74B61810" w:rsidR="00991232" w:rsidRPr="0028327C" w:rsidRDefault="00991232" w:rsidP="00991232">
      <w:pPr>
        <w:jc w:val="both"/>
        <w:rPr>
          <w:rFonts w:ascii="Calibri" w:hAnsi="Calibri" w:cs="Calibri"/>
          <w:sz w:val="24"/>
          <w:szCs w:val="24"/>
        </w:rPr>
      </w:pPr>
      <w:r w:rsidRPr="0028327C">
        <w:rPr>
          <w:rFonts w:ascii="Calibri" w:hAnsi="Calibri" w:cs="Calibri"/>
          <w:b/>
          <w:bCs/>
          <w:sz w:val="24"/>
          <w:szCs w:val="24"/>
        </w:rPr>
        <w:t>Lecturer:</w:t>
      </w:r>
      <w:r w:rsidRPr="0028327C">
        <w:rPr>
          <w:rFonts w:ascii="Calibri" w:hAnsi="Calibri" w:cs="Calibri"/>
          <w:sz w:val="24"/>
          <w:szCs w:val="24"/>
        </w:rPr>
        <w:t xml:space="preserve"> Caroline Lewis, Katie Gardner</w:t>
      </w:r>
      <w:r w:rsidR="00F6043B" w:rsidRPr="0028327C">
        <w:rPr>
          <w:rFonts w:ascii="Calibri" w:hAnsi="Calibri" w:cs="Calibri"/>
          <w:sz w:val="24"/>
          <w:szCs w:val="24"/>
        </w:rPr>
        <w:t>, Mar</w:t>
      </w:r>
      <w:r w:rsidR="00C37DF3" w:rsidRPr="0028327C">
        <w:rPr>
          <w:rFonts w:ascii="Calibri" w:hAnsi="Calibri" w:cs="Calibri"/>
          <w:sz w:val="24"/>
          <w:szCs w:val="24"/>
        </w:rPr>
        <w:t>k</w:t>
      </w:r>
      <w:r w:rsidR="00F6043B" w:rsidRPr="0028327C">
        <w:rPr>
          <w:rFonts w:ascii="Calibri" w:hAnsi="Calibri" w:cs="Calibri"/>
          <w:sz w:val="24"/>
          <w:szCs w:val="24"/>
        </w:rPr>
        <w:t xml:space="preserve"> Flagg</w:t>
      </w:r>
    </w:p>
    <w:p w14:paraId="04C7FD3A" w14:textId="77777777" w:rsidR="00991232" w:rsidRPr="00657BB2" w:rsidRDefault="00991232" w:rsidP="00991232">
      <w:pPr>
        <w:jc w:val="both"/>
        <w:rPr>
          <w:rFonts w:ascii="Calibri" w:hAnsi="Calibri" w:cs="Calibri"/>
          <w:sz w:val="24"/>
          <w:szCs w:val="24"/>
        </w:rPr>
      </w:pPr>
      <w:r w:rsidRPr="00736079">
        <w:rPr>
          <w:rFonts w:ascii="Calibri" w:hAnsi="Calibri" w:cs="Calibri"/>
          <w:b/>
          <w:bCs/>
          <w:sz w:val="24"/>
          <w:szCs w:val="24"/>
        </w:rPr>
        <w:t>Student name:</w:t>
      </w:r>
      <w:r w:rsidRPr="00657BB2">
        <w:rPr>
          <w:rFonts w:ascii="Calibri" w:hAnsi="Calibri" w:cs="Calibri"/>
          <w:sz w:val="24"/>
          <w:szCs w:val="24"/>
        </w:rPr>
        <w:t xml:space="preserve"> Lola Villard-Coles</w:t>
      </w:r>
    </w:p>
    <w:p w14:paraId="074A5EEF" w14:textId="77777777" w:rsidR="00991232" w:rsidRPr="00657BB2" w:rsidRDefault="00991232" w:rsidP="00991232">
      <w:pPr>
        <w:jc w:val="both"/>
        <w:rPr>
          <w:rFonts w:ascii="Calibri" w:hAnsi="Calibri" w:cs="Calibri"/>
          <w:sz w:val="24"/>
          <w:szCs w:val="24"/>
        </w:rPr>
      </w:pPr>
      <w:r w:rsidRPr="00736079">
        <w:rPr>
          <w:rFonts w:ascii="Calibri" w:hAnsi="Calibri" w:cs="Calibri"/>
          <w:b/>
          <w:bCs/>
          <w:sz w:val="24"/>
          <w:szCs w:val="24"/>
        </w:rPr>
        <w:t>Student ID:</w:t>
      </w:r>
      <w:r w:rsidRPr="00657BB2">
        <w:rPr>
          <w:rFonts w:ascii="Calibri" w:hAnsi="Calibri" w:cs="Calibri"/>
          <w:sz w:val="24"/>
          <w:szCs w:val="24"/>
        </w:rPr>
        <w:t xml:space="preserve"> 2114927</w:t>
      </w:r>
    </w:p>
    <w:p w14:paraId="4B28A787" w14:textId="77777777" w:rsidR="00991232" w:rsidRPr="00657BB2" w:rsidRDefault="00991232" w:rsidP="00991232">
      <w:pPr>
        <w:jc w:val="both"/>
        <w:rPr>
          <w:rFonts w:ascii="Calibri" w:hAnsi="Calibri" w:cs="Calibri"/>
          <w:sz w:val="24"/>
          <w:szCs w:val="24"/>
        </w:rPr>
      </w:pPr>
    </w:p>
    <w:p w14:paraId="71AFC26D" w14:textId="77777777" w:rsidR="00991232" w:rsidRPr="00657BB2" w:rsidRDefault="00991232" w:rsidP="00991232">
      <w:pPr>
        <w:jc w:val="both"/>
        <w:rPr>
          <w:rFonts w:ascii="Calibri" w:hAnsi="Calibri" w:cs="Calibri"/>
          <w:sz w:val="24"/>
          <w:szCs w:val="24"/>
        </w:rPr>
      </w:pPr>
    </w:p>
    <w:p w14:paraId="1566DB1C" w14:textId="77777777" w:rsidR="007C3E42" w:rsidRDefault="007C3E42"/>
    <w:p w14:paraId="50FD6029" w14:textId="77777777" w:rsidR="00F6043B" w:rsidRDefault="00F6043B"/>
    <w:p w14:paraId="0CB2C005" w14:textId="77777777" w:rsidR="00F6043B" w:rsidRDefault="00F6043B"/>
    <w:p w14:paraId="1EDD8DA5" w14:textId="77777777" w:rsidR="00F6043B" w:rsidRDefault="00F6043B"/>
    <w:p w14:paraId="0696E10C" w14:textId="77777777" w:rsidR="00F6043B" w:rsidRDefault="00F6043B"/>
    <w:p w14:paraId="047A3F74" w14:textId="77777777" w:rsidR="00F6043B" w:rsidRDefault="00F6043B"/>
    <w:p w14:paraId="3374C2A3" w14:textId="77777777" w:rsidR="00F6043B" w:rsidRDefault="00F6043B"/>
    <w:p w14:paraId="582106B9" w14:textId="77777777" w:rsidR="00F6043B" w:rsidRDefault="00F6043B"/>
    <w:sdt>
      <w:sdtPr>
        <w:rPr>
          <w:rFonts w:asciiTheme="minorHAnsi" w:eastAsiaTheme="minorEastAsia" w:hAnsiTheme="minorHAnsi" w:cstheme="minorBidi"/>
          <w:color w:val="auto"/>
          <w:sz w:val="22"/>
          <w:szCs w:val="22"/>
          <w:lang w:val="en-GB" w:eastAsia="zh-CN"/>
        </w:rPr>
        <w:id w:val="-903137107"/>
        <w:docPartObj>
          <w:docPartGallery w:val="Table of Contents"/>
          <w:docPartUnique/>
        </w:docPartObj>
      </w:sdtPr>
      <w:sdtEndPr>
        <w:rPr>
          <w:b/>
          <w:bCs/>
          <w:noProof/>
        </w:rPr>
      </w:sdtEndPr>
      <w:sdtContent>
        <w:p w14:paraId="094682A3" w14:textId="10997365" w:rsidR="0068413F" w:rsidRPr="00AD7CB2" w:rsidRDefault="0068413F" w:rsidP="00AD7CB2">
          <w:pPr>
            <w:pStyle w:val="TOCHeading"/>
          </w:pPr>
          <w:r w:rsidRPr="0068413F">
            <w:rPr>
              <w:rFonts w:ascii="Calibri" w:hAnsi="Calibri" w:cs="Calibri"/>
            </w:rPr>
            <w:t>Table of Contents</w:t>
          </w:r>
        </w:p>
        <w:p w14:paraId="40C0B835" w14:textId="77777777" w:rsidR="0090470A" w:rsidRPr="0090470A" w:rsidRDefault="0090470A" w:rsidP="0090470A">
          <w:pPr>
            <w:rPr>
              <w:lang w:val="en-US" w:eastAsia="en-US"/>
            </w:rPr>
          </w:pPr>
        </w:p>
        <w:p w14:paraId="5D1453AF" w14:textId="09F97AA4" w:rsidR="00887419" w:rsidRDefault="0068413F">
          <w:pPr>
            <w:pStyle w:val="TOC1"/>
            <w:tabs>
              <w:tab w:val="right" w:leader="dot" w:pos="9016"/>
            </w:tabs>
            <w:rPr>
              <w:noProof/>
              <w:kern w:val="2"/>
              <w:sz w:val="24"/>
              <w:szCs w:val="24"/>
            </w:rPr>
          </w:pPr>
          <w:r w:rsidRPr="0068413F">
            <w:rPr>
              <w:rFonts w:ascii="Calibri" w:hAnsi="Calibri" w:cs="Calibri"/>
            </w:rPr>
            <w:fldChar w:fldCharType="begin"/>
          </w:r>
          <w:r w:rsidRPr="0068413F">
            <w:rPr>
              <w:rFonts w:ascii="Calibri" w:hAnsi="Calibri" w:cs="Calibri"/>
            </w:rPr>
            <w:instrText xml:space="preserve"> TOC \o "1-3" \h \z \u </w:instrText>
          </w:r>
          <w:r w:rsidRPr="0068413F">
            <w:rPr>
              <w:rFonts w:ascii="Calibri" w:hAnsi="Calibri" w:cs="Calibri"/>
            </w:rPr>
            <w:fldChar w:fldCharType="separate"/>
          </w:r>
          <w:hyperlink w:anchor="_Toc191035391" w:history="1">
            <w:r w:rsidR="00887419" w:rsidRPr="00B24AB0">
              <w:rPr>
                <w:rStyle w:val="Hyperlink"/>
                <w:noProof/>
              </w:rPr>
              <w:t>Part 2 – Reflective report</w:t>
            </w:r>
            <w:r w:rsidR="00887419">
              <w:rPr>
                <w:noProof/>
                <w:webHidden/>
              </w:rPr>
              <w:tab/>
            </w:r>
            <w:r w:rsidR="00887419">
              <w:rPr>
                <w:noProof/>
                <w:webHidden/>
              </w:rPr>
              <w:fldChar w:fldCharType="begin"/>
            </w:r>
            <w:r w:rsidR="00887419">
              <w:rPr>
                <w:noProof/>
                <w:webHidden/>
              </w:rPr>
              <w:instrText xml:space="preserve"> PAGEREF _Toc191035391 \h </w:instrText>
            </w:r>
            <w:r w:rsidR="00887419">
              <w:rPr>
                <w:noProof/>
                <w:webHidden/>
              </w:rPr>
            </w:r>
            <w:r w:rsidR="00887419">
              <w:rPr>
                <w:noProof/>
                <w:webHidden/>
              </w:rPr>
              <w:fldChar w:fldCharType="separate"/>
            </w:r>
            <w:r w:rsidR="00887419">
              <w:rPr>
                <w:noProof/>
                <w:webHidden/>
              </w:rPr>
              <w:t>3</w:t>
            </w:r>
            <w:r w:rsidR="00887419">
              <w:rPr>
                <w:noProof/>
                <w:webHidden/>
              </w:rPr>
              <w:fldChar w:fldCharType="end"/>
            </w:r>
          </w:hyperlink>
        </w:p>
        <w:p w14:paraId="6FDB450D" w14:textId="6316674D" w:rsidR="00887419" w:rsidRDefault="00887419">
          <w:pPr>
            <w:pStyle w:val="TOC2"/>
            <w:tabs>
              <w:tab w:val="right" w:leader="dot" w:pos="9016"/>
            </w:tabs>
            <w:rPr>
              <w:noProof/>
              <w:kern w:val="2"/>
              <w:sz w:val="24"/>
              <w:szCs w:val="24"/>
            </w:rPr>
          </w:pPr>
          <w:hyperlink w:anchor="_Toc191035392" w:history="1">
            <w:r w:rsidRPr="00B24AB0">
              <w:rPr>
                <w:rStyle w:val="Hyperlink"/>
                <w:noProof/>
              </w:rPr>
              <w:t>Introduction</w:t>
            </w:r>
            <w:r>
              <w:rPr>
                <w:noProof/>
                <w:webHidden/>
              </w:rPr>
              <w:tab/>
            </w:r>
            <w:r>
              <w:rPr>
                <w:noProof/>
                <w:webHidden/>
              </w:rPr>
              <w:fldChar w:fldCharType="begin"/>
            </w:r>
            <w:r>
              <w:rPr>
                <w:noProof/>
                <w:webHidden/>
              </w:rPr>
              <w:instrText xml:space="preserve"> PAGEREF _Toc191035392 \h </w:instrText>
            </w:r>
            <w:r>
              <w:rPr>
                <w:noProof/>
                <w:webHidden/>
              </w:rPr>
            </w:r>
            <w:r>
              <w:rPr>
                <w:noProof/>
                <w:webHidden/>
              </w:rPr>
              <w:fldChar w:fldCharType="separate"/>
            </w:r>
            <w:r>
              <w:rPr>
                <w:noProof/>
                <w:webHidden/>
              </w:rPr>
              <w:t>3</w:t>
            </w:r>
            <w:r>
              <w:rPr>
                <w:noProof/>
                <w:webHidden/>
              </w:rPr>
              <w:fldChar w:fldCharType="end"/>
            </w:r>
          </w:hyperlink>
        </w:p>
        <w:p w14:paraId="49F4F3D1" w14:textId="2574E36B" w:rsidR="00887419" w:rsidRDefault="00887419">
          <w:pPr>
            <w:pStyle w:val="TOC3"/>
            <w:tabs>
              <w:tab w:val="right" w:leader="dot" w:pos="9016"/>
            </w:tabs>
            <w:rPr>
              <w:noProof/>
              <w:kern w:val="2"/>
              <w:sz w:val="24"/>
              <w:szCs w:val="24"/>
            </w:rPr>
          </w:pPr>
          <w:hyperlink w:anchor="_Toc191035393" w:history="1">
            <w:r w:rsidRPr="00B24AB0">
              <w:rPr>
                <w:rStyle w:val="Hyperlink"/>
                <w:noProof/>
              </w:rPr>
              <w:t>1. Description – Designing the curriculum</w:t>
            </w:r>
            <w:r>
              <w:rPr>
                <w:noProof/>
                <w:webHidden/>
              </w:rPr>
              <w:tab/>
            </w:r>
            <w:r>
              <w:rPr>
                <w:noProof/>
                <w:webHidden/>
              </w:rPr>
              <w:fldChar w:fldCharType="begin"/>
            </w:r>
            <w:r>
              <w:rPr>
                <w:noProof/>
                <w:webHidden/>
              </w:rPr>
              <w:instrText xml:space="preserve"> PAGEREF _Toc191035393 \h </w:instrText>
            </w:r>
            <w:r>
              <w:rPr>
                <w:noProof/>
                <w:webHidden/>
              </w:rPr>
            </w:r>
            <w:r>
              <w:rPr>
                <w:noProof/>
                <w:webHidden/>
              </w:rPr>
              <w:fldChar w:fldCharType="separate"/>
            </w:r>
            <w:r>
              <w:rPr>
                <w:noProof/>
                <w:webHidden/>
              </w:rPr>
              <w:t>3</w:t>
            </w:r>
            <w:r>
              <w:rPr>
                <w:noProof/>
                <w:webHidden/>
              </w:rPr>
              <w:fldChar w:fldCharType="end"/>
            </w:r>
          </w:hyperlink>
        </w:p>
        <w:p w14:paraId="553A6893" w14:textId="39678F3E" w:rsidR="00887419" w:rsidRDefault="00887419">
          <w:pPr>
            <w:pStyle w:val="TOC3"/>
            <w:tabs>
              <w:tab w:val="right" w:leader="dot" w:pos="9016"/>
            </w:tabs>
            <w:rPr>
              <w:noProof/>
              <w:kern w:val="2"/>
              <w:sz w:val="24"/>
              <w:szCs w:val="24"/>
            </w:rPr>
          </w:pPr>
          <w:hyperlink w:anchor="_Toc191035394" w:history="1">
            <w:r w:rsidRPr="00B24AB0">
              <w:rPr>
                <w:rStyle w:val="Hyperlink"/>
                <w:noProof/>
              </w:rPr>
              <w:t>2. Feelings – My experience of the process</w:t>
            </w:r>
            <w:r>
              <w:rPr>
                <w:noProof/>
                <w:webHidden/>
              </w:rPr>
              <w:tab/>
            </w:r>
            <w:r>
              <w:rPr>
                <w:noProof/>
                <w:webHidden/>
              </w:rPr>
              <w:fldChar w:fldCharType="begin"/>
            </w:r>
            <w:r>
              <w:rPr>
                <w:noProof/>
                <w:webHidden/>
              </w:rPr>
              <w:instrText xml:space="preserve"> PAGEREF _Toc191035394 \h </w:instrText>
            </w:r>
            <w:r>
              <w:rPr>
                <w:noProof/>
                <w:webHidden/>
              </w:rPr>
            </w:r>
            <w:r>
              <w:rPr>
                <w:noProof/>
                <w:webHidden/>
              </w:rPr>
              <w:fldChar w:fldCharType="separate"/>
            </w:r>
            <w:r>
              <w:rPr>
                <w:noProof/>
                <w:webHidden/>
              </w:rPr>
              <w:t>4</w:t>
            </w:r>
            <w:r>
              <w:rPr>
                <w:noProof/>
                <w:webHidden/>
              </w:rPr>
              <w:fldChar w:fldCharType="end"/>
            </w:r>
          </w:hyperlink>
        </w:p>
        <w:p w14:paraId="3CCAAC77" w14:textId="59609742" w:rsidR="00887419" w:rsidRDefault="00887419">
          <w:pPr>
            <w:pStyle w:val="TOC3"/>
            <w:tabs>
              <w:tab w:val="right" w:leader="dot" w:pos="9016"/>
            </w:tabs>
            <w:rPr>
              <w:noProof/>
              <w:kern w:val="2"/>
              <w:sz w:val="24"/>
              <w:szCs w:val="24"/>
            </w:rPr>
          </w:pPr>
          <w:hyperlink w:anchor="_Toc191035395" w:history="1">
            <w:r w:rsidRPr="00B24AB0">
              <w:rPr>
                <w:rStyle w:val="Hyperlink"/>
                <w:noProof/>
              </w:rPr>
              <w:t>3. Evaluation – Strengths and areas for improvement</w:t>
            </w:r>
            <w:r>
              <w:rPr>
                <w:noProof/>
                <w:webHidden/>
              </w:rPr>
              <w:tab/>
            </w:r>
            <w:r>
              <w:rPr>
                <w:noProof/>
                <w:webHidden/>
              </w:rPr>
              <w:fldChar w:fldCharType="begin"/>
            </w:r>
            <w:r>
              <w:rPr>
                <w:noProof/>
                <w:webHidden/>
              </w:rPr>
              <w:instrText xml:space="preserve"> PAGEREF _Toc191035395 \h </w:instrText>
            </w:r>
            <w:r>
              <w:rPr>
                <w:noProof/>
                <w:webHidden/>
              </w:rPr>
            </w:r>
            <w:r>
              <w:rPr>
                <w:noProof/>
                <w:webHidden/>
              </w:rPr>
              <w:fldChar w:fldCharType="separate"/>
            </w:r>
            <w:r>
              <w:rPr>
                <w:noProof/>
                <w:webHidden/>
              </w:rPr>
              <w:t>4</w:t>
            </w:r>
            <w:r>
              <w:rPr>
                <w:noProof/>
                <w:webHidden/>
              </w:rPr>
              <w:fldChar w:fldCharType="end"/>
            </w:r>
          </w:hyperlink>
        </w:p>
        <w:p w14:paraId="46471BA2" w14:textId="63ACA9B2" w:rsidR="00887419" w:rsidRDefault="00887419">
          <w:pPr>
            <w:pStyle w:val="TOC3"/>
            <w:tabs>
              <w:tab w:val="right" w:leader="dot" w:pos="9016"/>
            </w:tabs>
            <w:rPr>
              <w:noProof/>
              <w:kern w:val="2"/>
              <w:sz w:val="24"/>
              <w:szCs w:val="24"/>
            </w:rPr>
          </w:pPr>
          <w:hyperlink w:anchor="_Toc191035396" w:history="1">
            <w:r w:rsidRPr="00B24AB0">
              <w:rPr>
                <w:rStyle w:val="Hyperlink"/>
                <w:noProof/>
              </w:rPr>
              <w:t>4. Analysis – Key professional learning</w:t>
            </w:r>
            <w:r>
              <w:rPr>
                <w:noProof/>
                <w:webHidden/>
              </w:rPr>
              <w:tab/>
            </w:r>
            <w:r>
              <w:rPr>
                <w:noProof/>
                <w:webHidden/>
              </w:rPr>
              <w:fldChar w:fldCharType="begin"/>
            </w:r>
            <w:r>
              <w:rPr>
                <w:noProof/>
                <w:webHidden/>
              </w:rPr>
              <w:instrText xml:space="preserve"> PAGEREF _Toc191035396 \h </w:instrText>
            </w:r>
            <w:r>
              <w:rPr>
                <w:noProof/>
                <w:webHidden/>
              </w:rPr>
            </w:r>
            <w:r>
              <w:rPr>
                <w:noProof/>
                <w:webHidden/>
              </w:rPr>
              <w:fldChar w:fldCharType="separate"/>
            </w:r>
            <w:r>
              <w:rPr>
                <w:noProof/>
                <w:webHidden/>
              </w:rPr>
              <w:t>6</w:t>
            </w:r>
            <w:r>
              <w:rPr>
                <w:noProof/>
                <w:webHidden/>
              </w:rPr>
              <w:fldChar w:fldCharType="end"/>
            </w:r>
          </w:hyperlink>
        </w:p>
        <w:p w14:paraId="30FBFDDA" w14:textId="18F059C4" w:rsidR="00887419" w:rsidRDefault="00887419">
          <w:pPr>
            <w:pStyle w:val="TOC3"/>
            <w:tabs>
              <w:tab w:val="right" w:leader="dot" w:pos="9016"/>
            </w:tabs>
            <w:rPr>
              <w:noProof/>
              <w:kern w:val="2"/>
              <w:sz w:val="24"/>
              <w:szCs w:val="24"/>
            </w:rPr>
          </w:pPr>
          <w:hyperlink w:anchor="_Toc191035397" w:history="1">
            <w:r w:rsidRPr="00B24AB0">
              <w:rPr>
                <w:rStyle w:val="Hyperlink"/>
                <w:noProof/>
              </w:rPr>
              <w:t>5. Conclusion – How this shapes future practice</w:t>
            </w:r>
            <w:r>
              <w:rPr>
                <w:noProof/>
                <w:webHidden/>
              </w:rPr>
              <w:tab/>
            </w:r>
            <w:r>
              <w:rPr>
                <w:noProof/>
                <w:webHidden/>
              </w:rPr>
              <w:fldChar w:fldCharType="begin"/>
            </w:r>
            <w:r>
              <w:rPr>
                <w:noProof/>
                <w:webHidden/>
              </w:rPr>
              <w:instrText xml:space="preserve"> PAGEREF _Toc191035397 \h </w:instrText>
            </w:r>
            <w:r>
              <w:rPr>
                <w:noProof/>
                <w:webHidden/>
              </w:rPr>
            </w:r>
            <w:r>
              <w:rPr>
                <w:noProof/>
                <w:webHidden/>
              </w:rPr>
              <w:fldChar w:fldCharType="separate"/>
            </w:r>
            <w:r>
              <w:rPr>
                <w:noProof/>
                <w:webHidden/>
              </w:rPr>
              <w:t>7</w:t>
            </w:r>
            <w:r>
              <w:rPr>
                <w:noProof/>
                <w:webHidden/>
              </w:rPr>
              <w:fldChar w:fldCharType="end"/>
            </w:r>
          </w:hyperlink>
        </w:p>
        <w:p w14:paraId="4E467288" w14:textId="1E89624C" w:rsidR="00887419" w:rsidRDefault="00887419">
          <w:pPr>
            <w:pStyle w:val="TOC3"/>
            <w:tabs>
              <w:tab w:val="right" w:leader="dot" w:pos="9016"/>
            </w:tabs>
            <w:rPr>
              <w:noProof/>
              <w:kern w:val="2"/>
              <w:sz w:val="24"/>
              <w:szCs w:val="24"/>
            </w:rPr>
          </w:pPr>
          <w:hyperlink w:anchor="_Toc191035398" w:history="1">
            <w:r w:rsidRPr="00B24AB0">
              <w:rPr>
                <w:rStyle w:val="Hyperlink"/>
                <w:noProof/>
              </w:rPr>
              <w:t>6. Action Plan</w:t>
            </w:r>
            <w:r>
              <w:rPr>
                <w:noProof/>
                <w:webHidden/>
              </w:rPr>
              <w:tab/>
            </w:r>
            <w:r>
              <w:rPr>
                <w:noProof/>
                <w:webHidden/>
              </w:rPr>
              <w:fldChar w:fldCharType="begin"/>
            </w:r>
            <w:r>
              <w:rPr>
                <w:noProof/>
                <w:webHidden/>
              </w:rPr>
              <w:instrText xml:space="preserve"> PAGEREF _Toc191035398 \h </w:instrText>
            </w:r>
            <w:r>
              <w:rPr>
                <w:noProof/>
                <w:webHidden/>
              </w:rPr>
            </w:r>
            <w:r>
              <w:rPr>
                <w:noProof/>
                <w:webHidden/>
              </w:rPr>
              <w:fldChar w:fldCharType="separate"/>
            </w:r>
            <w:r>
              <w:rPr>
                <w:noProof/>
                <w:webHidden/>
              </w:rPr>
              <w:t>8</w:t>
            </w:r>
            <w:r>
              <w:rPr>
                <w:noProof/>
                <w:webHidden/>
              </w:rPr>
              <w:fldChar w:fldCharType="end"/>
            </w:r>
          </w:hyperlink>
        </w:p>
        <w:p w14:paraId="7FA4992E" w14:textId="272AC71A" w:rsidR="00887419" w:rsidRDefault="00887419">
          <w:pPr>
            <w:pStyle w:val="TOC1"/>
            <w:tabs>
              <w:tab w:val="right" w:leader="dot" w:pos="9016"/>
            </w:tabs>
            <w:rPr>
              <w:noProof/>
              <w:kern w:val="2"/>
              <w:sz w:val="24"/>
              <w:szCs w:val="24"/>
            </w:rPr>
          </w:pPr>
          <w:hyperlink w:anchor="_Toc191035399" w:history="1">
            <w:r w:rsidRPr="00B24AB0">
              <w:rPr>
                <w:rStyle w:val="Hyperlink"/>
                <w:noProof/>
              </w:rPr>
              <w:t>Reference List</w:t>
            </w:r>
            <w:r>
              <w:rPr>
                <w:noProof/>
                <w:webHidden/>
              </w:rPr>
              <w:tab/>
            </w:r>
            <w:r>
              <w:rPr>
                <w:noProof/>
                <w:webHidden/>
              </w:rPr>
              <w:fldChar w:fldCharType="begin"/>
            </w:r>
            <w:r>
              <w:rPr>
                <w:noProof/>
                <w:webHidden/>
              </w:rPr>
              <w:instrText xml:space="preserve"> PAGEREF _Toc191035399 \h </w:instrText>
            </w:r>
            <w:r>
              <w:rPr>
                <w:noProof/>
                <w:webHidden/>
              </w:rPr>
            </w:r>
            <w:r>
              <w:rPr>
                <w:noProof/>
                <w:webHidden/>
              </w:rPr>
              <w:fldChar w:fldCharType="separate"/>
            </w:r>
            <w:r>
              <w:rPr>
                <w:noProof/>
                <w:webHidden/>
              </w:rPr>
              <w:t>9</w:t>
            </w:r>
            <w:r>
              <w:rPr>
                <w:noProof/>
                <w:webHidden/>
              </w:rPr>
              <w:fldChar w:fldCharType="end"/>
            </w:r>
          </w:hyperlink>
        </w:p>
        <w:p w14:paraId="68956861" w14:textId="5A9F01D0" w:rsidR="00887419" w:rsidRDefault="00887419">
          <w:pPr>
            <w:pStyle w:val="TOC1"/>
            <w:tabs>
              <w:tab w:val="right" w:leader="dot" w:pos="9016"/>
            </w:tabs>
            <w:rPr>
              <w:noProof/>
              <w:kern w:val="2"/>
              <w:sz w:val="24"/>
              <w:szCs w:val="24"/>
            </w:rPr>
          </w:pPr>
          <w:hyperlink w:anchor="_Toc191035400" w:history="1">
            <w:r w:rsidRPr="00B24AB0">
              <w:rPr>
                <w:rStyle w:val="Hyperlink"/>
                <w:noProof/>
              </w:rPr>
              <w:t>Part 1 – Peer review</w:t>
            </w:r>
            <w:r>
              <w:rPr>
                <w:noProof/>
                <w:webHidden/>
              </w:rPr>
              <w:tab/>
            </w:r>
            <w:r>
              <w:rPr>
                <w:noProof/>
                <w:webHidden/>
              </w:rPr>
              <w:fldChar w:fldCharType="begin"/>
            </w:r>
            <w:r>
              <w:rPr>
                <w:noProof/>
                <w:webHidden/>
              </w:rPr>
              <w:instrText xml:space="preserve"> PAGEREF _Toc191035400 \h </w:instrText>
            </w:r>
            <w:r>
              <w:rPr>
                <w:noProof/>
                <w:webHidden/>
              </w:rPr>
            </w:r>
            <w:r>
              <w:rPr>
                <w:noProof/>
                <w:webHidden/>
              </w:rPr>
              <w:fldChar w:fldCharType="separate"/>
            </w:r>
            <w:r>
              <w:rPr>
                <w:noProof/>
                <w:webHidden/>
              </w:rPr>
              <w:t>10</w:t>
            </w:r>
            <w:r>
              <w:rPr>
                <w:noProof/>
                <w:webHidden/>
              </w:rPr>
              <w:fldChar w:fldCharType="end"/>
            </w:r>
          </w:hyperlink>
        </w:p>
        <w:p w14:paraId="46D23604" w14:textId="4BDF14E7" w:rsidR="00887419" w:rsidRDefault="00887419">
          <w:pPr>
            <w:pStyle w:val="TOC2"/>
            <w:tabs>
              <w:tab w:val="right" w:leader="dot" w:pos="9016"/>
            </w:tabs>
            <w:rPr>
              <w:noProof/>
              <w:kern w:val="2"/>
              <w:sz w:val="24"/>
              <w:szCs w:val="24"/>
            </w:rPr>
          </w:pPr>
          <w:hyperlink w:anchor="_Toc191035401" w:history="1">
            <w:r w:rsidRPr="00B24AB0">
              <w:rPr>
                <w:rStyle w:val="Hyperlink"/>
                <w:noProof/>
              </w:rPr>
              <w:t>Appendix 1: A Beginner’s Guide to Navigating Wales (Project 2)</w:t>
            </w:r>
            <w:r>
              <w:rPr>
                <w:noProof/>
                <w:webHidden/>
              </w:rPr>
              <w:tab/>
            </w:r>
            <w:r>
              <w:rPr>
                <w:noProof/>
                <w:webHidden/>
              </w:rPr>
              <w:fldChar w:fldCharType="begin"/>
            </w:r>
            <w:r>
              <w:rPr>
                <w:noProof/>
                <w:webHidden/>
              </w:rPr>
              <w:instrText xml:space="preserve"> PAGEREF _Toc191035401 \h </w:instrText>
            </w:r>
            <w:r>
              <w:rPr>
                <w:noProof/>
                <w:webHidden/>
              </w:rPr>
            </w:r>
            <w:r>
              <w:rPr>
                <w:noProof/>
                <w:webHidden/>
              </w:rPr>
              <w:fldChar w:fldCharType="separate"/>
            </w:r>
            <w:r>
              <w:rPr>
                <w:noProof/>
                <w:webHidden/>
              </w:rPr>
              <w:t>10</w:t>
            </w:r>
            <w:r>
              <w:rPr>
                <w:noProof/>
                <w:webHidden/>
              </w:rPr>
              <w:fldChar w:fldCharType="end"/>
            </w:r>
          </w:hyperlink>
        </w:p>
        <w:p w14:paraId="096F1D0F" w14:textId="2F6137F1" w:rsidR="00887419" w:rsidRDefault="00887419">
          <w:pPr>
            <w:pStyle w:val="TOC2"/>
            <w:tabs>
              <w:tab w:val="right" w:leader="dot" w:pos="9016"/>
            </w:tabs>
            <w:rPr>
              <w:noProof/>
              <w:kern w:val="2"/>
              <w:sz w:val="24"/>
              <w:szCs w:val="24"/>
            </w:rPr>
          </w:pPr>
          <w:hyperlink w:anchor="_Toc191035402" w:history="1">
            <w:r w:rsidRPr="00B24AB0">
              <w:rPr>
                <w:rStyle w:val="Hyperlink"/>
                <w:noProof/>
              </w:rPr>
              <w:t>Appendix 2: Level 4 Chemistry module (Project 9)</w:t>
            </w:r>
            <w:r>
              <w:rPr>
                <w:noProof/>
                <w:webHidden/>
              </w:rPr>
              <w:tab/>
            </w:r>
            <w:r>
              <w:rPr>
                <w:noProof/>
                <w:webHidden/>
              </w:rPr>
              <w:fldChar w:fldCharType="begin"/>
            </w:r>
            <w:r>
              <w:rPr>
                <w:noProof/>
                <w:webHidden/>
              </w:rPr>
              <w:instrText xml:space="preserve"> PAGEREF _Toc191035402 \h </w:instrText>
            </w:r>
            <w:r>
              <w:rPr>
                <w:noProof/>
                <w:webHidden/>
              </w:rPr>
            </w:r>
            <w:r>
              <w:rPr>
                <w:noProof/>
                <w:webHidden/>
              </w:rPr>
              <w:fldChar w:fldCharType="separate"/>
            </w:r>
            <w:r>
              <w:rPr>
                <w:noProof/>
                <w:webHidden/>
              </w:rPr>
              <w:t>13</w:t>
            </w:r>
            <w:r>
              <w:rPr>
                <w:noProof/>
                <w:webHidden/>
              </w:rPr>
              <w:fldChar w:fldCharType="end"/>
            </w:r>
          </w:hyperlink>
        </w:p>
        <w:p w14:paraId="06BA879E" w14:textId="06FC5903" w:rsidR="00887419" w:rsidRDefault="00887419">
          <w:pPr>
            <w:pStyle w:val="TOC2"/>
            <w:tabs>
              <w:tab w:val="right" w:leader="dot" w:pos="9016"/>
            </w:tabs>
            <w:rPr>
              <w:noProof/>
              <w:kern w:val="2"/>
              <w:sz w:val="24"/>
              <w:szCs w:val="24"/>
            </w:rPr>
          </w:pPr>
          <w:hyperlink w:anchor="_Toc191035403" w:history="1">
            <w:r w:rsidRPr="00B24AB0">
              <w:rPr>
                <w:rStyle w:val="Hyperlink"/>
                <w:noProof/>
              </w:rPr>
              <w:t>Appendix 3: Mindfulness for Healthcare Workers (Project 14)</w:t>
            </w:r>
            <w:r>
              <w:rPr>
                <w:noProof/>
                <w:webHidden/>
              </w:rPr>
              <w:tab/>
            </w:r>
            <w:r>
              <w:rPr>
                <w:noProof/>
                <w:webHidden/>
              </w:rPr>
              <w:fldChar w:fldCharType="begin"/>
            </w:r>
            <w:r>
              <w:rPr>
                <w:noProof/>
                <w:webHidden/>
              </w:rPr>
              <w:instrText xml:space="preserve"> PAGEREF _Toc191035403 \h </w:instrText>
            </w:r>
            <w:r>
              <w:rPr>
                <w:noProof/>
                <w:webHidden/>
              </w:rPr>
            </w:r>
            <w:r>
              <w:rPr>
                <w:noProof/>
                <w:webHidden/>
              </w:rPr>
              <w:fldChar w:fldCharType="separate"/>
            </w:r>
            <w:r>
              <w:rPr>
                <w:noProof/>
                <w:webHidden/>
              </w:rPr>
              <w:t>17</w:t>
            </w:r>
            <w:r>
              <w:rPr>
                <w:noProof/>
                <w:webHidden/>
              </w:rPr>
              <w:fldChar w:fldCharType="end"/>
            </w:r>
          </w:hyperlink>
        </w:p>
        <w:p w14:paraId="710E4C60" w14:textId="3CF17098" w:rsidR="0068413F" w:rsidRDefault="0068413F">
          <w:r w:rsidRPr="0068413F">
            <w:rPr>
              <w:rFonts w:ascii="Calibri" w:hAnsi="Calibri" w:cs="Calibri"/>
              <w:b/>
              <w:bCs/>
              <w:noProof/>
            </w:rPr>
            <w:fldChar w:fldCharType="end"/>
          </w:r>
        </w:p>
      </w:sdtContent>
    </w:sdt>
    <w:p w14:paraId="55B85C3F" w14:textId="77777777" w:rsidR="00372F19" w:rsidRDefault="00372F19" w:rsidP="00BD36EF"/>
    <w:p w14:paraId="1DB7F689" w14:textId="77777777" w:rsidR="006E12DF" w:rsidRDefault="006E12DF" w:rsidP="00BD36EF"/>
    <w:p w14:paraId="15B96EE6" w14:textId="77777777" w:rsidR="006E12DF" w:rsidRDefault="006E12DF" w:rsidP="00BD36EF"/>
    <w:p w14:paraId="012C6F6C" w14:textId="77777777" w:rsidR="006E12DF" w:rsidRDefault="006E12DF" w:rsidP="00BD36EF"/>
    <w:p w14:paraId="460E9B10" w14:textId="77777777" w:rsidR="006E12DF" w:rsidRDefault="006E12DF" w:rsidP="00BD36EF"/>
    <w:p w14:paraId="2087AE89" w14:textId="77777777" w:rsidR="006E12DF" w:rsidRDefault="006E12DF" w:rsidP="00BD36EF"/>
    <w:p w14:paraId="6F15F677" w14:textId="77777777" w:rsidR="006E12DF" w:rsidRDefault="006E12DF" w:rsidP="00BD36EF"/>
    <w:p w14:paraId="02A5713F" w14:textId="42D92E12" w:rsidR="006E12DF" w:rsidRDefault="006E12DF" w:rsidP="00BD36EF">
      <w:r>
        <w:br w:type="page"/>
      </w:r>
    </w:p>
    <w:p w14:paraId="20806485" w14:textId="6BBE1F81" w:rsidR="004035C4" w:rsidRDefault="004035C4" w:rsidP="008B22E9">
      <w:pPr>
        <w:pStyle w:val="Heading1"/>
        <w:spacing w:before="100" w:beforeAutospacing="1" w:after="100" w:afterAutospacing="1" w:line="360" w:lineRule="auto"/>
      </w:pPr>
      <w:bookmarkStart w:id="0" w:name="_Toc191035391"/>
      <w:r w:rsidRPr="00603DBC">
        <w:lastRenderedPageBreak/>
        <w:t xml:space="preserve">Part </w:t>
      </w:r>
      <w:r>
        <w:t>2</w:t>
      </w:r>
      <w:r w:rsidRPr="00603DBC">
        <w:t xml:space="preserve"> – </w:t>
      </w:r>
      <w:r w:rsidR="00CE4669">
        <w:t>R</w:t>
      </w:r>
      <w:r w:rsidRPr="00603DBC">
        <w:t>efle</w:t>
      </w:r>
      <w:r w:rsidR="0090470A">
        <w:t>ctive report</w:t>
      </w:r>
      <w:bookmarkEnd w:id="0"/>
    </w:p>
    <w:p w14:paraId="1A5CBBF5" w14:textId="77777777" w:rsidR="00CA27AD" w:rsidRPr="008B22E9" w:rsidRDefault="00CA27AD" w:rsidP="008B22E9">
      <w:pPr>
        <w:pStyle w:val="Heading2"/>
        <w:spacing w:before="100" w:beforeAutospacing="1" w:after="100" w:afterAutospacing="1" w:line="360" w:lineRule="auto"/>
      </w:pPr>
      <w:bookmarkStart w:id="1" w:name="_Toc191035392"/>
      <w:r w:rsidRPr="008B22E9">
        <w:t>Introduction</w:t>
      </w:r>
      <w:bookmarkEnd w:id="1"/>
    </w:p>
    <w:p w14:paraId="72A3707B" w14:textId="77777777" w:rsidR="00CA27AD" w:rsidRPr="00CA27AD" w:rsidRDefault="00CA27AD" w:rsidP="008B22E9">
      <w:pPr>
        <w:spacing w:before="100" w:beforeAutospacing="1" w:after="100" w:afterAutospacing="1" w:line="360" w:lineRule="auto"/>
        <w:jc w:val="both"/>
        <w:rPr>
          <w:rFonts w:ascii="Calibri" w:hAnsi="Calibri" w:cs="Calibri"/>
          <w:sz w:val="24"/>
          <w:szCs w:val="24"/>
        </w:rPr>
      </w:pPr>
      <w:r w:rsidRPr="00CA27AD">
        <w:rPr>
          <w:rFonts w:ascii="Calibri" w:hAnsi="Calibri" w:cs="Calibri"/>
          <w:sz w:val="24"/>
          <w:szCs w:val="24"/>
        </w:rPr>
        <w:t xml:space="preserve">As part of my Professional Certificate in Education and Training (PCET) at the University of Wales Trinity Saint David (UWTSD), I was tasked with designing a curriculum proposal, </w:t>
      </w:r>
      <w:r w:rsidRPr="00CA27AD">
        <w:rPr>
          <w:rFonts w:ascii="Calibri" w:hAnsi="Calibri" w:cs="Calibri"/>
          <w:i/>
          <w:iCs/>
          <w:sz w:val="24"/>
          <w:szCs w:val="24"/>
        </w:rPr>
        <w:t>“Going the Extra Mile.”</w:t>
      </w:r>
      <w:r w:rsidRPr="00CA27AD">
        <w:rPr>
          <w:rFonts w:ascii="Calibri" w:hAnsi="Calibri" w:cs="Calibri"/>
          <w:sz w:val="24"/>
          <w:szCs w:val="24"/>
        </w:rPr>
        <w:t xml:space="preserve"> This curriculum aims to enhance the intangible elements of hospitality service delivery, such as empathy, cultural sensitivity, emotional intelligence, and proactive guest engagement.</w:t>
      </w:r>
    </w:p>
    <w:p w14:paraId="343FB068" w14:textId="5E84AC99" w:rsidR="00073B31" w:rsidRPr="00CA27AD" w:rsidRDefault="00CA27AD" w:rsidP="008B22E9">
      <w:pPr>
        <w:spacing w:before="100" w:beforeAutospacing="1" w:after="100" w:afterAutospacing="1" w:line="360" w:lineRule="auto"/>
        <w:jc w:val="both"/>
        <w:rPr>
          <w:rFonts w:ascii="Calibri" w:hAnsi="Calibri" w:cs="Calibri"/>
          <w:sz w:val="24"/>
          <w:szCs w:val="24"/>
        </w:rPr>
      </w:pPr>
      <w:r w:rsidRPr="00CA27AD">
        <w:rPr>
          <w:rFonts w:ascii="Calibri" w:hAnsi="Calibri" w:cs="Calibri"/>
          <w:sz w:val="24"/>
          <w:szCs w:val="24"/>
        </w:rPr>
        <w:t>As part of the assessment process, three of my peers reviewed my proposed curriculum and provided feedback based on structured questions. I will use Gibbs’ Reflective Cycle (1988) to critically evaluate my experience in designing the curriculum and incorporate my reflections on the feedback received. This reflection will highlight the professional learning gained, the impact of the peer review process, and future improvements that can be made to refine the curriculum.</w:t>
      </w:r>
    </w:p>
    <w:p w14:paraId="2A2E2120" w14:textId="5D55BDE2" w:rsidR="00CA27AD" w:rsidRPr="00B77E50" w:rsidRDefault="00CA27AD" w:rsidP="008B22E9">
      <w:pPr>
        <w:pStyle w:val="Heading3"/>
        <w:spacing w:before="100" w:beforeAutospacing="1" w:after="100" w:afterAutospacing="1" w:line="360" w:lineRule="auto"/>
      </w:pPr>
      <w:bookmarkStart w:id="2" w:name="_Toc191035393"/>
      <w:r w:rsidRPr="00B77E50">
        <w:t xml:space="preserve">1. Description – Designing the </w:t>
      </w:r>
      <w:r w:rsidR="008E4FB7" w:rsidRPr="00B77E50">
        <w:t>c</w:t>
      </w:r>
      <w:r w:rsidRPr="00B77E50">
        <w:t>urriculum</w:t>
      </w:r>
      <w:bookmarkEnd w:id="2"/>
    </w:p>
    <w:p w14:paraId="46B9A04B" w14:textId="51855A9E" w:rsidR="00CA27AD" w:rsidRPr="00CA27AD" w:rsidRDefault="00CA27AD" w:rsidP="00FE5A82">
      <w:pPr>
        <w:spacing w:before="100" w:beforeAutospacing="1" w:after="100" w:afterAutospacing="1" w:line="360" w:lineRule="auto"/>
        <w:jc w:val="both"/>
        <w:rPr>
          <w:rFonts w:ascii="Calibri" w:hAnsi="Calibri" w:cs="Calibri"/>
          <w:sz w:val="24"/>
          <w:szCs w:val="24"/>
        </w:rPr>
      </w:pPr>
      <w:r w:rsidRPr="00CA27AD">
        <w:rPr>
          <w:rFonts w:ascii="Calibri" w:hAnsi="Calibri" w:cs="Calibri"/>
          <w:sz w:val="24"/>
          <w:szCs w:val="24"/>
        </w:rPr>
        <w:t>Designing the curriculum was a</w:t>
      </w:r>
      <w:r w:rsidR="00902A8F">
        <w:rPr>
          <w:rFonts w:ascii="Calibri" w:hAnsi="Calibri" w:cs="Calibri"/>
          <w:sz w:val="24"/>
          <w:szCs w:val="24"/>
        </w:rPr>
        <w:t xml:space="preserve"> </w:t>
      </w:r>
      <w:r w:rsidRPr="00CA27AD">
        <w:rPr>
          <w:rFonts w:ascii="Calibri" w:hAnsi="Calibri" w:cs="Calibri"/>
          <w:sz w:val="24"/>
          <w:szCs w:val="24"/>
        </w:rPr>
        <w:t xml:space="preserve">rewarding experience that allowed me to </w:t>
      </w:r>
      <w:r w:rsidR="00FE5A82" w:rsidRPr="00CA27AD">
        <w:rPr>
          <w:rFonts w:ascii="Calibri" w:hAnsi="Calibri" w:cs="Calibri"/>
          <w:sz w:val="24"/>
          <w:szCs w:val="24"/>
        </w:rPr>
        <w:t>turn</w:t>
      </w:r>
      <w:r w:rsidRPr="00CA27AD">
        <w:rPr>
          <w:rFonts w:ascii="Calibri" w:hAnsi="Calibri" w:cs="Calibri"/>
          <w:sz w:val="24"/>
          <w:szCs w:val="24"/>
        </w:rPr>
        <w:t xml:space="preserve"> theoretical knowledge into a practical learning programme that aligns with industry standards and professional benchmarks. The process involved research on UK Professional Standards Framework (UKPSF</w:t>
      </w:r>
      <w:r w:rsidR="001D162B">
        <w:rPr>
          <w:rFonts w:ascii="Calibri" w:hAnsi="Calibri" w:cs="Calibri"/>
          <w:sz w:val="24"/>
          <w:szCs w:val="24"/>
        </w:rPr>
        <w:t xml:space="preserve">, </w:t>
      </w:r>
      <w:r w:rsidR="001D162B" w:rsidRPr="00F9757D">
        <w:rPr>
          <w:rFonts w:ascii="Calibri" w:hAnsi="Calibri" w:cs="Calibri"/>
          <w:sz w:val="24"/>
          <w:szCs w:val="24"/>
        </w:rPr>
        <w:t>2023</w:t>
      </w:r>
      <w:r w:rsidRPr="00CA27AD">
        <w:rPr>
          <w:rFonts w:ascii="Calibri" w:hAnsi="Calibri" w:cs="Calibri"/>
          <w:sz w:val="24"/>
          <w:szCs w:val="24"/>
        </w:rPr>
        <w:t>), QAA Subject Benchmark Statements for Hospitality, Leisure, Sport, and Tourism (2019), and accreditation expectations from the Institute of Hospitality (</w:t>
      </w:r>
      <w:proofErr w:type="spellStart"/>
      <w:r w:rsidRPr="00CA27AD">
        <w:rPr>
          <w:rFonts w:ascii="Calibri" w:hAnsi="Calibri" w:cs="Calibri"/>
          <w:sz w:val="24"/>
          <w:szCs w:val="24"/>
        </w:rPr>
        <w:t>IoH</w:t>
      </w:r>
      <w:proofErr w:type="spellEnd"/>
      <w:r w:rsidRPr="00CA27AD">
        <w:rPr>
          <w:rFonts w:ascii="Calibri" w:hAnsi="Calibri" w:cs="Calibri"/>
          <w:sz w:val="24"/>
          <w:szCs w:val="24"/>
        </w:rPr>
        <w:t>).</w:t>
      </w:r>
    </w:p>
    <w:p w14:paraId="5A4724A7" w14:textId="77777777" w:rsidR="00CA27AD" w:rsidRPr="00CA27AD" w:rsidRDefault="00CA27AD" w:rsidP="00F74EAC">
      <w:pPr>
        <w:spacing w:after="0" w:line="360" w:lineRule="auto"/>
        <w:jc w:val="both"/>
        <w:rPr>
          <w:rFonts w:ascii="Calibri" w:hAnsi="Calibri" w:cs="Calibri"/>
          <w:sz w:val="24"/>
          <w:szCs w:val="24"/>
        </w:rPr>
      </w:pPr>
      <w:r w:rsidRPr="00CA27AD">
        <w:rPr>
          <w:rFonts w:ascii="Calibri" w:hAnsi="Calibri" w:cs="Calibri"/>
          <w:sz w:val="24"/>
          <w:szCs w:val="24"/>
        </w:rPr>
        <w:t>The curriculum consists of three structured sessions:</w:t>
      </w:r>
    </w:p>
    <w:p w14:paraId="7655F87A" w14:textId="77777777" w:rsidR="00CA27AD" w:rsidRPr="00CA27AD" w:rsidRDefault="00CA27AD" w:rsidP="00F74EAC">
      <w:pPr>
        <w:numPr>
          <w:ilvl w:val="0"/>
          <w:numId w:val="2"/>
        </w:numPr>
        <w:tabs>
          <w:tab w:val="num" w:pos="720"/>
        </w:tabs>
        <w:spacing w:after="0" w:line="360" w:lineRule="auto"/>
        <w:jc w:val="both"/>
        <w:rPr>
          <w:rFonts w:ascii="Calibri" w:hAnsi="Calibri" w:cs="Calibri"/>
          <w:sz w:val="24"/>
          <w:szCs w:val="24"/>
        </w:rPr>
      </w:pPr>
      <w:r w:rsidRPr="00CA27AD">
        <w:rPr>
          <w:rFonts w:ascii="Calibri" w:hAnsi="Calibri" w:cs="Calibri"/>
          <w:sz w:val="24"/>
          <w:szCs w:val="24"/>
        </w:rPr>
        <w:t>A theoretical foundation to introduce key concepts.</w:t>
      </w:r>
    </w:p>
    <w:p w14:paraId="5B2A4A0B" w14:textId="77777777" w:rsidR="00CA27AD" w:rsidRPr="00CA27AD" w:rsidRDefault="00CA27AD" w:rsidP="008B22E9">
      <w:pPr>
        <w:numPr>
          <w:ilvl w:val="0"/>
          <w:numId w:val="2"/>
        </w:numPr>
        <w:tabs>
          <w:tab w:val="num" w:pos="720"/>
        </w:tabs>
        <w:spacing w:before="100" w:beforeAutospacing="1" w:after="100" w:afterAutospacing="1" w:line="360" w:lineRule="auto"/>
        <w:jc w:val="both"/>
        <w:rPr>
          <w:rFonts w:ascii="Calibri" w:hAnsi="Calibri" w:cs="Calibri"/>
          <w:sz w:val="24"/>
          <w:szCs w:val="24"/>
        </w:rPr>
      </w:pPr>
      <w:r w:rsidRPr="00CA27AD">
        <w:rPr>
          <w:rFonts w:ascii="Calibri" w:hAnsi="Calibri" w:cs="Calibri"/>
          <w:sz w:val="24"/>
          <w:szCs w:val="24"/>
        </w:rPr>
        <w:t>A practical application of hospitality skills through role-play and feedback-based learning.</w:t>
      </w:r>
    </w:p>
    <w:p w14:paraId="00676D3A" w14:textId="77777777" w:rsidR="00CA27AD" w:rsidRPr="00CA27AD" w:rsidRDefault="00CA27AD" w:rsidP="008B22E9">
      <w:pPr>
        <w:numPr>
          <w:ilvl w:val="0"/>
          <w:numId w:val="2"/>
        </w:numPr>
        <w:tabs>
          <w:tab w:val="num" w:pos="720"/>
        </w:tabs>
        <w:spacing w:before="100" w:beforeAutospacing="1" w:after="100" w:afterAutospacing="1" w:line="360" w:lineRule="auto"/>
        <w:jc w:val="both"/>
        <w:rPr>
          <w:rFonts w:ascii="Calibri" w:hAnsi="Calibri" w:cs="Calibri"/>
          <w:sz w:val="24"/>
          <w:szCs w:val="24"/>
        </w:rPr>
      </w:pPr>
      <w:r w:rsidRPr="00CA27AD">
        <w:rPr>
          <w:rFonts w:ascii="Calibri" w:hAnsi="Calibri" w:cs="Calibri"/>
          <w:sz w:val="24"/>
          <w:szCs w:val="24"/>
        </w:rPr>
        <w:t>A reflective analysis session to enhance self-awareness and professional development.</w:t>
      </w:r>
    </w:p>
    <w:p w14:paraId="2DD06429" w14:textId="48EBBFF7" w:rsidR="00B77E50" w:rsidRPr="00CA27AD" w:rsidRDefault="00CA27AD" w:rsidP="00A627B5">
      <w:pPr>
        <w:spacing w:before="100" w:beforeAutospacing="1" w:after="100" w:afterAutospacing="1" w:line="360" w:lineRule="auto"/>
        <w:jc w:val="both"/>
        <w:rPr>
          <w:rFonts w:ascii="Calibri" w:hAnsi="Calibri" w:cs="Calibri"/>
          <w:sz w:val="24"/>
          <w:szCs w:val="24"/>
        </w:rPr>
      </w:pPr>
      <w:r w:rsidRPr="00CA27AD">
        <w:rPr>
          <w:rFonts w:ascii="Calibri" w:hAnsi="Calibri" w:cs="Calibri"/>
          <w:sz w:val="24"/>
          <w:szCs w:val="24"/>
        </w:rPr>
        <w:t xml:space="preserve">A major focus of the curriculum was ensuring real-world applicability by embedding experiential learning </w:t>
      </w:r>
      <w:r w:rsidRPr="00B1374F">
        <w:rPr>
          <w:rFonts w:ascii="Calibri" w:hAnsi="Calibri" w:cs="Calibri"/>
          <w:sz w:val="24"/>
          <w:szCs w:val="24"/>
        </w:rPr>
        <w:t>(</w:t>
      </w:r>
      <w:r w:rsidR="00B1374F" w:rsidRPr="00B1374F">
        <w:rPr>
          <w:rFonts w:ascii="Calibri" w:hAnsi="Calibri" w:cs="Calibri"/>
          <w:sz w:val="24"/>
          <w:szCs w:val="24"/>
        </w:rPr>
        <w:t>Vygotsky</w:t>
      </w:r>
      <w:r w:rsidRPr="00B1374F">
        <w:rPr>
          <w:rFonts w:ascii="Calibri" w:hAnsi="Calibri" w:cs="Calibri"/>
          <w:sz w:val="24"/>
          <w:szCs w:val="24"/>
        </w:rPr>
        <w:t>,</w:t>
      </w:r>
      <w:r w:rsidR="00611017">
        <w:rPr>
          <w:rFonts w:ascii="Calibri" w:hAnsi="Calibri" w:cs="Calibri"/>
          <w:sz w:val="24"/>
          <w:szCs w:val="24"/>
        </w:rPr>
        <w:t xml:space="preserve"> </w:t>
      </w:r>
      <w:r w:rsidRPr="00B1374F">
        <w:rPr>
          <w:rFonts w:ascii="Calibri" w:hAnsi="Calibri" w:cs="Calibri"/>
          <w:sz w:val="24"/>
          <w:szCs w:val="24"/>
        </w:rPr>
        <w:t>19</w:t>
      </w:r>
      <w:r w:rsidR="00611017">
        <w:rPr>
          <w:rFonts w:ascii="Calibri" w:hAnsi="Calibri" w:cs="Calibri"/>
          <w:sz w:val="24"/>
          <w:szCs w:val="24"/>
        </w:rPr>
        <w:t>78</w:t>
      </w:r>
      <w:r w:rsidRPr="00CA27AD">
        <w:rPr>
          <w:rFonts w:ascii="Calibri" w:hAnsi="Calibri" w:cs="Calibri"/>
          <w:sz w:val="24"/>
          <w:szCs w:val="24"/>
        </w:rPr>
        <w:t>) and formative feedback mechanisms (</w:t>
      </w:r>
      <w:r w:rsidRPr="00B1374F">
        <w:rPr>
          <w:rFonts w:ascii="Calibri" w:hAnsi="Calibri" w:cs="Calibri"/>
          <w:sz w:val="24"/>
          <w:szCs w:val="24"/>
        </w:rPr>
        <w:t xml:space="preserve">Black </w:t>
      </w:r>
      <w:r w:rsidR="008F08FC" w:rsidRPr="00B1374F">
        <w:rPr>
          <w:rFonts w:ascii="Calibri" w:hAnsi="Calibri" w:cs="Calibri"/>
          <w:sz w:val="24"/>
          <w:szCs w:val="24"/>
        </w:rPr>
        <w:t>and</w:t>
      </w:r>
      <w:r w:rsidRPr="00B1374F">
        <w:rPr>
          <w:rFonts w:ascii="Calibri" w:hAnsi="Calibri" w:cs="Calibri"/>
          <w:sz w:val="24"/>
          <w:szCs w:val="24"/>
        </w:rPr>
        <w:t xml:space="preserve"> </w:t>
      </w:r>
      <w:r w:rsidRPr="00B1374F">
        <w:rPr>
          <w:rFonts w:ascii="Calibri" w:hAnsi="Calibri" w:cs="Calibri"/>
          <w:sz w:val="24"/>
          <w:szCs w:val="24"/>
        </w:rPr>
        <w:lastRenderedPageBreak/>
        <w:t>Wiliam, 1998).</w:t>
      </w:r>
      <w:r w:rsidRPr="00CA27AD">
        <w:rPr>
          <w:rFonts w:ascii="Calibri" w:hAnsi="Calibri" w:cs="Calibri"/>
          <w:sz w:val="24"/>
          <w:szCs w:val="24"/>
        </w:rPr>
        <w:t xml:space="preserve"> Throughout this process, I gained greater appreciation of structured curriculum design and learner-centred assessment strategies.</w:t>
      </w:r>
    </w:p>
    <w:p w14:paraId="3D5301FD" w14:textId="440DEA01" w:rsidR="00CA27AD" w:rsidRPr="00B77E50" w:rsidRDefault="00CA27AD" w:rsidP="008B22E9">
      <w:pPr>
        <w:pStyle w:val="Heading3"/>
        <w:spacing w:before="100" w:beforeAutospacing="1" w:after="100" w:afterAutospacing="1" w:line="360" w:lineRule="auto"/>
      </w:pPr>
      <w:bookmarkStart w:id="3" w:name="_Toc191035394"/>
      <w:r w:rsidRPr="00B77E50">
        <w:t xml:space="preserve">2. Feelings – My </w:t>
      </w:r>
      <w:r w:rsidR="008E4FB7" w:rsidRPr="00B77E50">
        <w:t>e</w:t>
      </w:r>
      <w:r w:rsidRPr="00B77E50">
        <w:t xml:space="preserve">xperience of the </w:t>
      </w:r>
      <w:r w:rsidR="008E4FB7" w:rsidRPr="00B77E50">
        <w:t>p</w:t>
      </w:r>
      <w:r w:rsidRPr="00B77E50">
        <w:t>rocess</w:t>
      </w:r>
      <w:bookmarkEnd w:id="3"/>
    </w:p>
    <w:p w14:paraId="34800FAB" w14:textId="77777777" w:rsidR="00CA27AD" w:rsidRPr="00CA27AD" w:rsidRDefault="00CA27AD" w:rsidP="008B22E9">
      <w:pPr>
        <w:spacing w:before="100" w:beforeAutospacing="1" w:after="100" w:afterAutospacing="1" w:line="360" w:lineRule="auto"/>
        <w:jc w:val="both"/>
        <w:rPr>
          <w:rFonts w:ascii="Calibri" w:hAnsi="Calibri" w:cs="Calibri"/>
          <w:sz w:val="24"/>
          <w:szCs w:val="24"/>
        </w:rPr>
      </w:pPr>
      <w:r w:rsidRPr="00CA27AD">
        <w:rPr>
          <w:rFonts w:ascii="Calibri" w:hAnsi="Calibri" w:cs="Calibri"/>
          <w:sz w:val="24"/>
          <w:szCs w:val="24"/>
        </w:rPr>
        <w:t>Initially, I felt challenged by the responsibility of designing a curriculum that must be both academically rigorous and practically relevant. However, as I progressed, I found the process exciting because it allowed me to integrate my industry experience with evidence-based educational principles.</w:t>
      </w:r>
    </w:p>
    <w:p w14:paraId="2FE5D4E9" w14:textId="606E166D" w:rsidR="00CA27AD" w:rsidRPr="00CA27AD" w:rsidRDefault="00CA27AD" w:rsidP="008B22E9">
      <w:pPr>
        <w:spacing w:before="100" w:beforeAutospacing="1" w:after="100" w:afterAutospacing="1" w:line="360" w:lineRule="auto"/>
        <w:jc w:val="both"/>
        <w:rPr>
          <w:rFonts w:ascii="Calibri" w:hAnsi="Calibri" w:cs="Calibri"/>
          <w:sz w:val="24"/>
          <w:szCs w:val="24"/>
        </w:rPr>
      </w:pPr>
      <w:r w:rsidRPr="00CA27AD">
        <w:rPr>
          <w:rFonts w:ascii="Calibri" w:hAnsi="Calibri" w:cs="Calibri"/>
          <w:sz w:val="24"/>
          <w:szCs w:val="24"/>
        </w:rPr>
        <w:t>One rewarding aspect was mapping learning outcomes to professional benchmarks, such as the UKPSF Descriptors</w:t>
      </w:r>
      <w:r w:rsidR="00FD2B68">
        <w:rPr>
          <w:rFonts w:ascii="Calibri" w:hAnsi="Calibri" w:cs="Calibri"/>
          <w:sz w:val="24"/>
          <w:szCs w:val="24"/>
        </w:rPr>
        <w:t xml:space="preserve"> (2023)</w:t>
      </w:r>
      <w:r w:rsidRPr="00CA27AD">
        <w:rPr>
          <w:rFonts w:ascii="Calibri" w:hAnsi="Calibri" w:cs="Calibri"/>
          <w:sz w:val="24"/>
          <w:szCs w:val="24"/>
        </w:rPr>
        <w:t xml:space="preserve"> and QAA Subject </w:t>
      </w:r>
      <w:r w:rsidR="00CF61CE">
        <w:rPr>
          <w:rFonts w:ascii="Calibri" w:hAnsi="Calibri" w:cs="Calibri"/>
          <w:sz w:val="24"/>
          <w:szCs w:val="24"/>
        </w:rPr>
        <w:t xml:space="preserve">Benchmark </w:t>
      </w:r>
      <w:r w:rsidR="00AB1729">
        <w:rPr>
          <w:rFonts w:ascii="Calibri" w:hAnsi="Calibri" w:cs="Calibri"/>
          <w:sz w:val="24"/>
          <w:szCs w:val="24"/>
        </w:rPr>
        <w:t xml:space="preserve">for Hospitality </w:t>
      </w:r>
      <w:r w:rsidR="00CF61CE">
        <w:rPr>
          <w:rFonts w:ascii="Calibri" w:hAnsi="Calibri" w:cs="Calibri"/>
          <w:sz w:val="24"/>
          <w:szCs w:val="24"/>
        </w:rPr>
        <w:t>(2019)</w:t>
      </w:r>
      <w:r w:rsidRPr="00CA27AD">
        <w:rPr>
          <w:rFonts w:ascii="Calibri" w:hAnsi="Calibri" w:cs="Calibri"/>
          <w:sz w:val="24"/>
          <w:szCs w:val="24"/>
        </w:rPr>
        <w:t>. This helped me better understand the role of quality standards in hospitality education and the importance of ensuring professional credibility in a curriculum.</w:t>
      </w:r>
    </w:p>
    <w:p w14:paraId="2C5EDFB6" w14:textId="7F6A2AD9" w:rsidR="00B77E50" w:rsidRPr="00CA27AD" w:rsidRDefault="00CA27AD" w:rsidP="00A627B5">
      <w:pPr>
        <w:spacing w:before="100" w:beforeAutospacing="1" w:after="100" w:afterAutospacing="1" w:line="360" w:lineRule="auto"/>
        <w:jc w:val="both"/>
        <w:rPr>
          <w:rFonts w:ascii="Calibri" w:hAnsi="Calibri" w:cs="Calibri"/>
          <w:sz w:val="24"/>
          <w:szCs w:val="24"/>
        </w:rPr>
      </w:pPr>
      <w:r w:rsidRPr="00CA27AD">
        <w:rPr>
          <w:rFonts w:ascii="Calibri" w:hAnsi="Calibri" w:cs="Calibri"/>
          <w:sz w:val="24"/>
          <w:szCs w:val="24"/>
        </w:rPr>
        <w:t>I also felt proud that my curriculum addressed a genuine industry need, as there is growing concern over the lack of emotional intelligence and personalised service in UK hospitality (</w:t>
      </w:r>
      <w:proofErr w:type="spellStart"/>
      <w:r w:rsidRPr="00CA27AD">
        <w:rPr>
          <w:rFonts w:ascii="Calibri" w:hAnsi="Calibri" w:cs="Calibri"/>
          <w:sz w:val="24"/>
          <w:szCs w:val="24"/>
        </w:rPr>
        <w:t>UKHospitality</w:t>
      </w:r>
      <w:proofErr w:type="spellEnd"/>
      <w:r w:rsidRPr="00CA27AD">
        <w:rPr>
          <w:rFonts w:ascii="Calibri" w:hAnsi="Calibri" w:cs="Calibri"/>
          <w:sz w:val="24"/>
          <w:szCs w:val="24"/>
        </w:rPr>
        <w:t>, 2023). The focus on intangible service elements made the curriculum unique, which I found particularly fulfilling.</w:t>
      </w:r>
    </w:p>
    <w:p w14:paraId="1ADC7B52" w14:textId="227B225E" w:rsidR="00CA27AD" w:rsidRPr="00B77E50" w:rsidRDefault="00CA27AD" w:rsidP="008B22E9">
      <w:pPr>
        <w:pStyle w:val="Heading3"/>
        <w:spacing w:before="100" w:beforeAutospacing="1" w:after="100" w:afterAutospacing="1" w:line="360" w:lineRule="auto"/>
      </w:pPr>
      <w:bookmarkStart w:id="4" w:name="_Toc191035395"/>
      <w:r w:rsidRPr="00B77E50">
        <w:t xml:space="preserve">3. </w:t>
      </w:r>
      <w:r w:rsidRPr="00B77E50">
        <w:rPr>
          <w:rStyle w:val="Heading3Char"/>
        </w:rPr>
        <w:t xml:space="preserve">Evaluation – Strengths and </w:t>
      </w:r>
      <w:r w:rsidR="008E4FB7" w:rsidRPr="00B77E50">
        <w:rPr>
          <w:rStyle w:val="Heading3Char"/>
        </w:rPr>
        <w:t>a</w:t>
      </w:r>
      <w:r w:rsidRPr="00B77E50">
        <w:rPr>
          <w:rStyle w:val="Heading3Char"/>
        </w:rPr>
        <w:t xml:space="preserve">reas for </w:t>
      </w:r>
      <w:r w:rsidR="00E6659E" w:rsidRPr="00B77E50">
        <w:rPr>
          <w:rStyle w:val="Heading3Char"/>
        </w:rPr>
        <w:t>i</w:t>
      </w:r>
      <w:r w:rsidRPr="00B77E50">
        <w:rPr>
          <w:rStyle w:val="Heading3Char"/>
        </w:rPr>
        <w:t>mprovement</w:t>
      </w:r>
      <w:bookmarkEnd w:id="4"/>
    </w:p>
    <w:p w14:paraId="39DABB00" w14:textId="5A2EBB1B" w:rsidR="008A16EA" w:rsidRPr="008A16EA" w:rsidRDefault="008A16EA" w:rsidP="008B22E9">
      <w:pPr>
        <w:spacing w:before="100" w:beforeAutospacing="1" w:after="100" w:afterAutospacing="1" w:line="360" w:lineRule="auto"/>
        <w:jc w:val="both"/>
        <w:rPr>
          <w:rFonts w:ascii="Calibri" w:hAnsi="Calibri" w:cs="Calibri"/>
          <w:sz w:val="24"/>
          <w:szCs w:val="24"/>
        </w:rPr>
      </w:pPr>
      <w:r w:rsidRPr="008A16EA">
        <w:rPr>
          <w:rFonts w:ascii="Calibri" w:hAnsi="Calibri" w:cs="Calibri"/>
          <w:sz w:val="24"/>
          <w:szCs w:val="24"/>
        </w:rPr>
        <w:t>The peer review process provided a</w:t>
      </w:r>
      <w:r w:rsidR="00E1433A">
        <w:rPr>
          <w:rFonts w:ascii="Calibri" w:hAnsi="Calibri" w:cs="Calibri"/>
          <w:sz w:val="24"/>
          <w:szCs w:val="24"/>
        </w:rPr>
        <w:t>n</w:t>
      </w:r>
      <w:r w:rsidRPr="008A16EA">
        <w:rPr>
          <w:rFonts w:ascii="Calibri" w:hAnsi="Calibri" w:cs="Calibri"/>
          <w:sz w:val="24"/>
          <w:szCs w:val="24"/>
        </w:rPr>
        <w:t xml:space="preserve"> external perspective on the strengths and areas for improvement within the proposed curriculum. The feedback reaffirmed the curriculum’s core strengths, particularly its clear justification for addressing an industry need, its alignment with professional standards, and its structured yet flexible format that allows for practical implementation within workplace settings. One reviewer highlighted that the curriculum effectively integrates intangible service elements, which are often overlooked in traditional hospitality training. This recognition reinforced my belief that soft skills, such as emotional intelligence and cultural sensitivity, are critical to elevating service standards, yet are frequently underdeveloped in existing training models.</w:t>
      </w:r>
    </w:p>
    <w:p w14:paraId="1744CC5D" w14:textId="6A8FDC51" w:rsidR="008A16EA" w:rsidRPr="008A16EA" w:rsidRDefault="00E474A0" w:rsidP="008B22E9">
      <w:pPr>
        <w:spacing w:before="100" w:beforeAutospacing="1" w:after="100" w:afterAutospacing="1" w:line="360" w:lineRule="auto"/>
        <w:jc w:val="both"/>
        <w:rPr>
          <w:rFonts w:ascii="Calibri" w:hAnsi="Calibri" w:cs="Calibri"/>
          <w:sz w:val="24"/>
          <w:szCs w:val="24"/>
        </w:rPr>
      </w:pPr>
      <w:r>
        <w:rPr>
          <w:rFonts w:ascii="Calibri" w:hAnsi="Calibri" w:cs="Calibri"/>
          <w:sz w:val="24"/>
          <w:szCs w:val="24"/>
        </w:rPr>
        <w:t>W</w:t>
      </w:r>
      <w:r w:rsidR="008A16EA" w:rsidRPr="008A16EA">
        <w:rPr>
          <w:rFonts w:ascii="Calibri" w:hAnsi="Calibri" w:cs="Calibri"/>
          <w:sz w:val="24"/>
          <w:szCs w:val="24"/>
        </w:rPr>
        <w:t xml:space="preserve">hile the feedback was largely positive, it also identified areas that could be refined to further strengthen the curriculum. One area for improvement was the explicit connection </w:t>
      </w:r>
      <w:r w:rsidR="008A16EA" w:rsidRPr="008A16EA">
        <w:rPr>
          <w:rFonts w:ascii="Calibri" w:hAnsi="Calibri" w:cs="Calibri"/>
          <w:sz w:val="24"/>
          <w:szCs w:val="24"/>
        </w:rPr>
        <w:lastRenderedPageBreak/>
        <w:t>between curriculum completion and career progression. While the learning outcomes clearly address key competencies, one reviewer noted that articulating the specific professional benefits</w:t>
      </w:r>
      <w:r>
        <w:rPr>
          <w:rFonts w:ascii="Calibri" w:hAnsi="Calibri" w:cs="Calibri"/>
          <w:sz w:val="24"/>
          <w:szCs w:val="24"/>
        </w:rPr>
        <w:t xml:space="preserve">, </w:t>
      </w:r>
      <w:r w:rsidR="008A16EA" w:rsidRPr="008A16EA">
        <w:rPr>
          <w:rFonts w:ascii="Calibri" w:hAnsi="Calibri" w:cs="Calibri"/>
          <w:sz w:val="24"/>
          <w:szCs w:val="24"/>
        </w:rPr>
        <w:t>such as how completing the programme could enhance employability, contribute to promotions, or open pathways to higher-level roles</w:t>
      </w:r>
      <w:r>
        <w:rPr>
          <w:rFonts w:ascii="Calibri" w:hAnsi="Calibri" w:cs="Calibri"/>
          <w:sz w:val="24"/>
          <w:szCs w:val="24"/>
        </w:rPr>
        <w:t xml:space="preserve">, </w:t>
      </w:r>
      <w:r w:rsidR="008A16EA" w:rsidRPr="008A16EA">
        <w:rPr>
          <w:rFonts w:ascii="Calibri" w:hAnsi="Calibri" w:cs="Calibri"/>
          <w:sz w:val="24"/>
          <w:szCs w:val="24"/>
        </w:rPr>
        <w:t>would provide additional clarity and motivation for learners. This critique was particularly useful because, while I had considered the curriculum’s practical applicability, I had not explicitly linked it to career progression in a structured manner. I now recognise the importance of demonstrating tangible professional benefits within course materials, ensuring that learners can see the direct impact of their participation.</w:t>
      </w:r>
    </w:p>
    <w:p w14:paraId="4560CBB3" w14:textId="5CC15AA5" w:rsidR="008A16EA" w:rsidRPr="008A16EA" w:rsidRDefault="008A16EA" w:rsidP="008B22E9">
      <w:pPr>
        <w:spacing w:before="100" w:beforeAutospacing="1" w:after="100" w:afterAutospacing="1" w:line="360" w:lineRule="auto"/>
        <w:jc w:val="both"/>
        <w:rPr>
          <w:rFonts w:ascii="Calibri" w:hAnsi="Calibri" w:cs="Calibri"/>
          <w:sz w:val="24"/>
          <w:szCs w:val="24"/>
        </w:rPr>
      </w:pPr>
      <w:r w:rsidRPr="008A16EA">
        <w:rPr>
          <w:rFonts w:ascii="Calibri" w:hAnsi="Calibri" w:cs="Calibri"/>
          <w:sz w:val="24"/>
          <w:szCs w:val="24"/>
        </w:rPr>
        <w:t>Another suggestion made by a peer was the inclusion of guest speakers and case studies to enhance practical learning. While the curriculum already incorporates experiential learning through role-play and reflective journaling, this recommendation highlighted a potential gap in real-world exposure. Case studies of successful hospitality professionals who have demonstrated exceptional guest service could serve as powerful learning tools, providing learners with concrete examples of how hospitality excellence can translate into professional success. Guest speakers could offer first-hand insights, bringing industry relevance and lived experience to the curriculum</w:t>
      </w:r>
      <w:r w:rsidR="00172316">
        <w:rPr>
          <w:rFonts w:ascii="Calibri" w:hAnsi="Calibri" w:cs="Calibri"/>
          <w:sz w:val="24"/>
          <w:szCs w:val="24"/>
        </w:rPr>
        <w:t xml:space="preserve"> </w:t>
      </w:r>
      <w:r w:rsidR="00172316" w:rsidRPr="00334732">
        <w:rPr>
          <w:rFonts w:ascii="Calibri" w:hAnsi="Calibri" w:cs="Calibri"/>
          <w:sz w:val="24"/>
          <w:szCs w:val="24"/>
        </w:rPr>
        <w:t>(</w:t>
      </w:r>
      <w:r w:rsidR="00334732">
        <w:rPr>
          <w:rFonts w:ascii="Calibri" w:hAnsi="Calibri" w:cs="Calibri"/>
          <w:sz w:val="24"/>
          <w:szCs w:val="24"/>
        </w:rPr>
        <w:t>Taylor, 202</w:t>
      </w:r>
      <w:r w:rsidR="00106D4C">
        <w:rPr>
          <w:rFonts w:ascii="Calibri" w:hAnsi="Calibri" w:cs="Calibri"/>
          <w:sz w:val="24"/>
          <w:szCs w:val="24"/>
        </w:rPr>
        <w:t>1</w:t>
      </w:r>
      <w:r w:rsidR="00172316">
        <w:rPr>
          <w:rFonts w:ascii="Calibri" w:hAnsi="Calibri" w:cs="Calibri"/>
          <w:sz w:val="24"/>
          <w:szCs w:val="24"/>
        </w:rPr>
        <w:t>)</w:t>
      </w:r>
      <w:r w:rsidRPr="008A16EA">
        <w:rPr>
          <w:rFonts w:ascii="Calibri" w:hAnsi="Calibri" w:cs="Calibri"/>
          <w:sz w:val="24"/>
          <w:szCs w:val="24"/>
        </w:rPr>
        <w:t>. While implementing guest speakers may present logistical challenges</w:t>
      </w:r>
      <w:r w:rsidR="00F14AD5">
        <w:rPr>
          <w:rFonts w:ascii="Calibri" w:hAnsi="Calibri" w:cs="Calibri"/>
          <w:sz w:val="24"/>
          <w:szCs w:val="24"/>
        </w:rPr>
        <w:t xml:space="preserve">, </w:t>
      </w:r>
      <w:r w:rsidRPr="008A16EA">
        <w:rPr>
          <w:rFonts w:ascii="Calibri" w:hAnsi="Calibri" w:cs="Calibri"/>
          <w:sz w:val="24"/>
          <w:szCs w:val="24"/>
        </w:rPr>
        <w:t>such as securing availability and ensuring diverse representation</w:t>
      </w:r>
      <w:r w:rsidR="00F14AD5">
        <w:rPr>
          <w:rFonts w:ascii="Calibri" w:hAnsi="Calibri" w:cs="Calibri"/>
          <w:sz w:val="24"/>
          <w:szCs w:val="24"/>
        </w:rPr>
        <w:t xml:space="preserve">, </w:t>
      </w:r>
      <w:r w:rsidRPr="008A16EA">
        <w:rPr>
          <w:rFonts w:ascii="Calibri" w:hAnsi="Calibri" w:cs="Calibri"/>
          <w:sz w:val="24"/>
          <w:szCs w:val="24"/>
        </w:rPr>
        <w:t>it is an enhancement worth pursuing.</w:t>
      </w:r>
    </w:p>
    <w:p w14:paraId="40575A1C" w14:textId="1BBFD01C" w:rsidR="00B77E50" w:rsidRPr="00CA27AD" w:rsidRDefault="00F14AD5" w:rsidP="00A627B5">
      <w:pPr>
        <w:spacing w:before="100" w:beforeAutospacing="1" w:after="100" w:afterAutospacing="1" w:line="360" w:lineRule="auto"/>
        <w:jc w:val="both"/>
        <w:rPr>
          <w:rFonts w:ascii="Calibri" w:hAnsi="Calibri" w:cs="Calibri"/>
          <w:sz w:val="24"/>
          <w:szCs w:val="24"/>
        </w:rPr>
      </w:pPr>
      <w:r>
        <w:rPr>
          <w:rFonts w:ascii="Calibri" w:hAnsi="Calibri" w:cs="Calibri"/>
          <w:sz w:val="24"/>
          <w:szCs w:val="24"/>
        </w:rPr>
        <w:t>T</w:t>
      </w:r>
      <w:r w:rsidR="008A16EA" w:rsidRPr="008A16EA">
        <w:rPr>
          <w:rFonts w:ascii="Calibri" w:hAnsi="Calibri" w:cs="Calibri"/>
          <w:sz w:val="24"/>
          <w:szCs w:val="24"/>
        </w:rPr>
        <w:t xml:space="preserve">he most thought-provoking </w:t>
      </w:r>
      <w:r w:rsidR="005C5532">
        <w:rPr>
          <w:rFonts w:ascii="Calibri" w:hAnsi="Calibri" w:cs="Calibri"/>
          <w:sz w:val="24"/>
          <w:szCs w:val="24"/>
        </w:rPr>
        <w:t>feedback</w:t>
      </w:r>
      <w:r w:rsidR="008A16EA" w:rsidRPr="008A16EA">
        <w:rPr>
          <w:rFonts w:ascii="Calibri" w:hAnsi="Calibri" w:cs="Calibri"/>
          <w:sz w:val="24"/>
          <w:szCs w:val="24"/>
        </w:rPr>
        <w:t xml:space="preserve"> was regarding self-reflective learning, particularly how learners with limited experience in self-assessment might struggle to engage meaningfully with reflective journaling. While I had assumed that hospitality professionals would naturally be able to reflect on their service interactions, a reviewer pointed out that not all learners are accustomed to critical self-evaluation. This made me reconsider the extent to which self-assessment needs structured guidance. Without clear prompts or frameworks, some learners may fail to identify key areas for growth or may default to superficial reflections that do not contribute to meaningful improvement</w:t>
      </w:r>
      <w:r w:rsidR="005C5532">
        <w:rPr>
          <w:rFonts w:ascii="Calibri" w:hAnsi="Calibri" w:cs="Calibri"/>
          <w:sz w:val="24"/>
          <w:szCs w:val="24"/>
        </w:rPr>
        <w:t xml:space="preserve"> (</w:t>
      </w:r>
      <w:r w:rsidR="00DB7062" w:rsidRPr="00DB7062">
        <w:rPr>
          <w:rFonts w:ascii="Calibri" w:eastAsiaTheme="majorEastAsia" w:hAnsi="Calibri" w:cs="Calibri"/>
          <w:sz w:val="24"/>
          <w:szCs w:val="24"/>
        </w:rPr>
        <w:t>Schön,</w:t>
      </w:r>
      <w:r w:rsidR="00DB7062">
        <w:rPr>
          <w:rFonts w:ascii="Calibri" w:eastAsiaTheme="majorEastAsia" w:hAnsi="Calibri" w:cs="Calibri"/>
          <w:sz w:val="24"/>
          <w:szCs w:val="24"/>
        </w:rPr>
        <w:t xml:space="preserve"> </w:t>
      </w:r>
      <w:r w:rsidR="00DB7062" w:rsidRPr="00DB7062">
        <w:rPr>
          <w:rFonts w:ascii="Calibri" w:eastAsiaTheme="majorEastAsia" w:hAnsi="Calibri" w:cs="Calibri"/>
          <w:sz w:val="24"/>
          <w:szCs w:val="24"/>
        </w:rPr>
        <w:t>2017</w:t>
      </w:r>
      <w:r w:rsidR="00DB7062">
        <w:rPr>
          <w:rFonts w:ascii="Calibri" w:eastAsiaTheme="majorEastAsia" w:hAnsi="Calibri" w:cs="Calibri"/>
          <w:sz w:val="24"/>
          <w:szCs w:val="24"/>
        </w:rPr>
        <w:t xml:space="preserve">). </w:t>
      </w:r>
      <w:r w:rsidR="000D2F4D">
        <w:rPr>
          <w:rFonts w:ascii="Calibri" w:hAnsi="Calibri" w:cs="Calibri"/>
          <w:sz w:val="24"/>
          <w:szCs w:val="24"/>
        </w:rPr>
        <w:t xml:space="preserve">I </w:t>
      </w:r>
      <w:r w:rsidR="008A16EA" w:rsidRPr="008A16EA">
        <w:rPr>
          <w:rFonts w:ascii="Calibri" w:hAnsi="Calibri" w:cs="Calibri"/>
          <w:sz w:val="24"/>
          <w:szCs w:val="24"/>
        </w:rPr>
        <w:t xml:space="preserve">will </w:t>
      </w:r>
      <w:r w:rsidR="000D2F4D">
        <w:rPr>
          <w:rFonts w:ascii="Calibri" w:hAnsi="Calibri" w:cs="Calibri"/>
          <w:sz w:val="24"/>
          <w:szCs w:val="24"/>
        </w:rPr>
        <w:t xml:space="preserve">consider </w:t>
      </w:r>
      <w:r w:rsidR="008A16EA" w:rsidRPr="008A16EA">
        <w:rPr>
          <w:rFonts w:ascii="Calibri" w:hAnsi="Calibri" w:cs="Calibri"/>
          <w:sz w:val="24"/>
          <w:szCs w:val="24"/>
        </w:rPr>
        <w:t>integrat</w:t>
      </w:r>
      <w:r w:rsidR="000D2F4D">
        <w:rPr>
          <w:rFonts w:ascii="Calibri" w:hAnsi="Calibri" w:cs="Calibri"/>
          <w:sz w:val="24"/>
          <w:szCs w:val="24"/>
        </w:rPr>
        <w:t>ing</w:t>
      </w:r>
      <w:r w:rsidR="008A16EA" w:rsidRPr="008A16EA">
        <w:rPr>
          <w:rFonts w:ascii="Calibri" w:hAnsi="Calibri" w:cs="Calibri"/>
          <w:sz w:val="24"/>
          <w:szCs w:val="24"/>
        </w:rPr>
        <w:t xml:space="preserve"> guidelines and reflection prompts to help learners navigate this process, ensuring that self-assessment remains a productive and insightful tool rather than a passive exercise.</w:t>
      </w:r>
    </w:p>
    <w:p w14:paraId="4C8E9422" w14:textId="761BDCD2" w:rsidR="00CA27AD" w:rsidRPr="00B77E50" w:rsidRDefault="00CA27AD" w:rsidP="008B22E9">
      <w:pPr>
        <w:pStyle w:val="Heading3"/>
        <w:spacing w:before="100" w:beforeAutospacing="1" w:after="100" w:afterAutospacing="1" w:line="360" w:lineRule="auto"/>
      </w:pPr>
      <w:bookmarkStart w:id="5" w:name="_Toc191035396"/>
      <w:r w:rsidRPr="00B77E50">
        <w:lastRenderedPageBreak/>
        <w:t xml:space="preserve">4. Analysis – Key </w:t>
      </w:r>
      <w:r w:rsidR="00E6659E" w:rsidRPr="00B77E50">
        <w:t>p</w:t>
      </w:r>
      <w:r w:rsidRPr="00B77E50">
        <w:t xml:space="preserve">rofessional </w:t>
      </w:r>
      <w:r w:rsidR="00E6659E" w:rsidRPr="00B77E50">
        <w:t>l</w:t>
      </w:r>
      <w:r w:rsidRPr="00B77E50">
        <w:t>earning</w:t>
      </w:r>
      <w:bookmarkEnd w:id="5"/>
    </w:p>
    <w:p w14:paraId="32D6BC01" w14:textId="28D7F23D" w:rsidR="006933C5" w:rsidRPr="006933C5" w:rsidRDefault="006933C5" w:rsidP="008B22E9">
      <w:pPr>
        <w:spacing w:before="100" w:beforeAutospacing="1" w:after="100" w:afterAutospacing="1" w:line="360" w:lineRule="auto"/>
        <w:jc w:val="both"/>
        <w:rPr>
          <w:rFonts w:ascii="Calibri" w:hAnsi="Calibri" w:cs="Calibri"/>
          <w:sz w:val="24"/>
          <w:szCs w:val="24"/>
        </w:rPr>
      </w:pPr>
      <w:r w:rsidRPr="006933C5">
        <w:rPr>
          <w:rFonts w:ascii="Calibri" w:hAnsi="Calibri" w:cs="Calibri"/>
          <w:sz w:val="24"/>
          <w:szCs w:val="24"/>
        </w:rPr>
        <w:t xml:space="preserve">Designing the curriculum was </w:t>
      </w:r>
      <w:r w:rsidR="00A50D43">
        <w:rPr>
          <w:rFonts w:ascii="Calibri" w:hAnsi="Calibri" w:cs="Calibri"/>
          <w:sz w:val="24"/>
          <w:szCs w:val="24"/>
        </w:rPr>
        <w:t>a challenging</w:t>
      </w:r>
      <w:r w:rsidRPr="006933C5">
        <w:rPr>
          <w:rFonts w:ascii="Calibri" w:hAnsi="Calibri" w:cs="Calibri"/>
          <w:sz w:val="24"/>
          <w:szCs w:val="24"/>
        </w:rPr>
        <w:t xml:space="preserve"> professional learning experience that </w:t>
      </w:r>
      <w:r w:rsidR="00A50D43" w:rsidRPr="006933C5">
        <w:rPr>
          <w:rFonts w:ascii="Calibri" w:hAnsi="Calibri" w:cs="Calibri"/>
          <w:sz w:val="24"/>
          <w:szCs w:val="24"/>
        </w:rPr>
        <w:t>increased</w:t>
      </w:r>
      <w:r w:rsidRPr="006933C5">
        <w:rPr>
          <w:rFonts w:ascii="Calibri" w:hAnsi="Calibri" w:cs="Calibri"/>
          <w:sz w:val="24"/>
          <w:szCs w:val="24"/>
        </w:rPr>
        <w:t xml:space="preserve"> my understanding of educational frameworks, assessment strategies, and the broader implications of industry-aligned training. One of the most significant insights gained was the role of professional benchmarks in curriculum development. Prior to this project, I was familiar with hospitality training standards but had not engaged deeply with how professional education aligns with national frameworks such as the UKPSF</w:t>
      </w:r>
      <w:r w:rsidR="00140B3F">
        <w:rPr>
          <w:rFonts w:ascii="Calibri" w:hAnsi="Calibri" w:cs="Calibri"/>
          <w:sz w:val="24"/>
          <w:szCs w:val="24"/>
        </w:rPr>
        <w:t xml:space="preserve"> (2023)</w:t>
      </w:r>
      <w:r w:rsidR="00B471AA">
        <w:rPr>
          <w:rFonts w:ascii="Calibri" w:hAnsi="Calibri" w:cs="Calibri"/>
          <w:sz w:val="24"/>
          <w:szCs w:val="24"/>
        </w:rPr>
        <w:t xml:space="preserve"> </w:t>
      </w:r>
      <w:r w:rsidRPr="006933C5">
        <w:rPr>
          <w:rFonts w:ascii="Calibri" w:hAnsi="Calibri" w:cs="Calibri"/>
          <w:sz w:val="24"/>
          <w:szCs w:val="24"/>
        </w:rPr>
        <w:t xml:space="preserve">and QAA </w:t>
      </w:r>
      <w:r w:rsidR="00140B3F" w:rsidRPr="00CA27AD">
        <w:rPr>
          <w:rFonts w:ascii="Calibri" w:hAnsi="Calibri" w:cs="Calibri"/>
          <w:sz w:val="24"/>
          <w:szCs w:val="24"/>
        </w:rPr>
        <w:t xml:space="preserve">Subject </w:t>
      </w:r>
      <w:r w:rsidR="00140B3F">
        <w:rPr>
          <w:rFonts w:ascii="Calibri" w:hAnsi="Calibri" w:cs="Calibri"/>
          <w:sz w:val="24"/>
          <w:szCs w:val="24"/>
        </w:rPr>
        <w:t>Benchmark for Hospitality (2019)</w:t>
      </w:r>
      <w:r w:rsidR="00140B3F" w:rsidRPr="00CA27AD">
        <w:rPr>
          <w:rFonts w:ascii="Calibri" w:hAnsi="Calibri" w:cs="Calibri"/>
          <w:sz w:val="24"/>
          <w:szCs w:val="24"/>
        </w:rPr>
        <w:t xml:space="preserve">. </w:t>
      </w:r>
      <w:r w:rsidRPr="006933C5">
        <w:rPr>
          <w:rFonts w:ascii="Calibri" w:hAnsi="Calibri" w:cs="Calibri"/>
          <w:sz w:val="24"/>
          <w:szCs w:val="24"/>
        </w:rPr>
        <w:t>Embedding these standards within the curriculum helped me appreciate how structured educational guidelines provide credibility and consistency, ensuring that learning outcomes are not only relevant to industry needs but also meet academic quality expectations</w:t>
      </w:r>
      <w:r w:rsidR="00ED56EC">
        <w:rPr>
          <w:rFonts w:ascii="Calibri" w:hAnsi="Calibri" w:cs="Calibri"/>
          <w:sz w:val="24"/>
          <w:szCs w:val="24"/>
        </w:rPr>
        <w:t>.</w:t>
      </w:r>
    </w:p>
    <w:p w14:paraId="72F737F8" w14:textId="16E5E141" w:rsidR="006933C5" w:rsidRPr="006933C5" w:rsidRDefault="006933C5" w:rsidP="008B22E9">
      <w:pPr>
        <w:spacing w:before="100" w:beforeAutospacing="1" w:after="100" w:afterAutospacing="1" w:line="360" w:lineRule="auto"/>
        <w:jc w:val="both"/>
        <w:rPr>
          <w:rFonts w:ascii="Calibri" w:hAnsi="Calibri" w:cs="Calibri"/>
          <w:sz w:val="24"/>
          <w:szCs w:val="24"/>
        </w:rPr>
      </w:pPr>
      <w:r w:rsidRPr="006933C5">
        <w:rPr>
          <w:rFonts w:ascii="Calibri" w:hAnsi="Calibri" w:cs="Calibri"/>
          <w:sz w:val="24"/>
          <w:szCs w:val="24"/>
        </w:rPr>
        <w:t xml:space="preserve">This experience also </w:t>
      </w:r>
      <w:r w:rsidR="00E4340D" w:rsidRPr="006933C5">
        <w:rPr>
          <w:rFonts w:ascii="Calibri" w:hAnsi="Calibri" w:cs="Calibri"/>
          <w:sz w:val="24"/>
          <w:szCs w:val="24"/>
        </w:rPr>
        <w:t>highlighted</w:t>
      </w:r>
      <w:r w:rsidRPr="006933C5">
        <w:rPr>
          <w:rFonts w:ascii="Calibri" w:hAnsi="Calibri" w:cs="Calibri"/>
          <w:sz w:val="24"/>
          <w:szCs w:val="24"/>
        </w:rPr>
        <w:t xml:space="preserve"> the delicate balance between academic rigor and real-world applicability. While theoretical frameworks provide essential foundations, a curriculum must also remain practical and adaptable</w:t>
      </w:r>
      <w:r w:rsidR="00D30B72">
        <w:rPr>
          <w:rFonts w:ascii="Calibri" w:hAnsi="Calibri" w:cs="Calibri"/>
          <w:sz w:val="24"/>
          <w:szCs w:val="24"/>
        </w:rPr>
        <w:t xml:space="preserve"> (</w:t>
      </w:r>
      <w:r w:rsidR="00067C4B">
        <w:rPr>
          <w:rFonts w:ascii="Calibri" w:hAnsi="Calibri" w:cs="Calibri"/>
          <w:sz w:val="24"/>
          <w:szCs w:val="24"/>
        </w:rPr>
        <w:t>Welsh Government, 2024</w:t>
      </w:r>
      <w:r w:rsidR="00D30B72">
        <w:rPr>
          <w:rFonts w:ascii="Calibri" w:hAnsi="Calibri" w:cs="Calibri"/>
          <w:sz w:val="24"/>
          <w:szCs w:val="24"/>
        </w:rPr>
        <w:t>)</w:t>
      </w:r>
      <w:r w:rsidRPr="006933C5">
        <w:rPr>
          <w:rFonts w:ascii="Calibri" w:hAnsi="Calibri" w:cs="Calibri"/>
          <w:sz w:val="24"/>
          <w:szCs w:val="24"/>
        </w:rPr>
        <w:t>. One of the challenges in curriculum design is ensuring that learners can immediately apply knowledge to their professional practice without feeling burdened by overly academic concepts</w:t>
      </w:r>
      <w:r w:rsidR="00BD6F3E">
        <w:rPr>
          <w:rFonts w:ascii="Calibri" w:hAnsi="Calibri" w:cs="Calibri"/>
          <w:sz w:val="24"/>
          <w:szCs w:val="24"/>
        </w:rPr>
        <w:t xml:space="preserve">. </w:t>
      </w:r>
      <w:r w:rsidRPr="006933C5">
        <w:rPr>
          <w:rFonts w:ascii="Calibri" w:hAnsi="Calibri" w:cs="Calibri"/>
          <w:sz w:val="24"/>
          <w:szCs w:val="24"/>
        </w:rPr>
        <w:t xml:space="preserve">The peer reviewers’ emphasis on career progression links and real-world case studies reinforced this point, prompting me to consider how best to integrate theoretical learning with actionable industry skills. </w:t>
      </w:r>
      <w:r w:rsidR="00357D92">
        <w:rPr>
          <w:rFonts w:ascii="Calibri" w:hAnsi="Calibri" w:cs="Calibri"/>
          <w:sz w:val="24"/>
          <w:szCs w:val="24"/>
        </w:rPr>
        <w:t>W</w:t>
      </w:r>
      <w:r w:rsidRPr="006933C5">
        <w:rPr>
          <w:rFonts w:ascii="Calibri" w:hAnsi="Calibri" w:cs="Calibri"/>
          <w:sz w:val="24"/>
          <w:szCs w:val="24"/>
        </w:rPr>
        <w:t xml:space="preserve">hile emotional intelligence and cultural sensitivity are valuable concepts, their impact is only meaningful if learners understand how to apply them in service interactions. </w:t>
      </w:r>
    </w:p>
    <w:p w14:paraId="112B1B7C" w14:textId="38EBBA66" w:rsidR="006933C5" w:rsidRPr="006933C5" w:rsidRDefault="006933C5" w:rsidP="008B22E9">
      <w:pPr>
        <w:spacing w:before="100" w:beforeAutospacing="1" w:after="100" w:afterAutospacing="1" w:line="360" w:lineRule="auto"/>
        <w:jc w:val="both"/>
        <w:rPr>
          <w:rFonts w:ascii="Calibri" w:hAnsi="Calibri" w:cs="Calibri"/>
          <w:sz w:val="24"/>
          <w:szCs w:val="24"/>
        </w:rPr>
      </w:pPr>
      <w:r w:rsidRPr="006933C5">
        <w:rPr>
          <w:rFonts w:ascii="Calibri" w:hAnsi="Calibri" w:cs="Calibri"/>
          <w:sz w:val="24"/>
          <w:szCs w:val="24"/>
        </w:rPr>
        <w:t>Another takeaway was a deeper understanding of the role of formative and summative assessment in professional education. The curriculum includes role-play exercises, peer feedback, and reflective journals, which align with constructivist and experiential learning principles</w:t>
      </w:r>
      <w:r w:rsidR="00357D92">
        <w:rPr>
          <w:rFonts w:ascii="Calibri" w:hAnsi="Calibri" w:cs="Calibri"/>
          <w:sz w:val="24"/>
          <w:szCs w:val="24"/>
        </w:rPr>
        <w:t xml:space="preserve"> </w:t>
      </w:r>
      <w:r w:rsidR="00025C65" w:rsidRPr="00B1374F">
        <w:rPr>
          <w:rFonts w:ascii="Calibri" w:hAnsi="Calibri" w:cs="Calibri"/>
          <w:sz w:val="24"/>
          <w:szCs w:val="24"/>
        </w:rPr>
        <w:t>(Vygotsky,</w:t>
      </w:r>
      <w:r w:rsidR="00025C65">
        <w:rPr>
          <w:rFonts w:ascii="Calibri" w:hAnsi="Calibri" w:cs="Calibri"/>
          <w:sz w:val="24"/>
          <w:szCs w:val="24"/>
        </w:rPr>
        <w:t xml:space="preserve"> </w:t>
      </w:r>
      <w:r w:rsidR="00025C65" w:rsidRPr="00B1374F">
        <w:rPr>
          <w:rFonts w:ascii="Calibri" w:hAnsi="Calibri" w:cs="Calibri"/>
          <w:sz w:val="24"/>
          <w:szCs w:val="24"/>
        </w:rPr>
        <w:t>19</w:t>
      </w:r>
      <w:r w:rsidR="00025C65">
        <w:rPr>
          <w:rFonts w:ascii="Calibri" w:hAnsi="Calibri" w:cs="Calibri"/>
          <w:sz w:val="24"/>
          <w:szCs w:val="24"/>
        </w:rPr>
        <w:t>78</w:t>
      </w:r>
      <w:r w:rsidR="009E0E89">
        <w:rPr>
          <w:rFonts w:ascii="Calibri" w:hAnsi="Calibri" w:cs="Calibri"/>
          <w:sz w:val="24"/>
          <w:szCs w:val="24"/>
        </w:rPr>
        <w:t xml:space="preserve">). </w:t>
      </w:r>
      <w:r w:rsidRPr="006933C5">
        <w:rPr>
          <w:rFonts w:ascii="Calibri" w:hAnsi="Calibri" w:cs="Calibri"/>
          <w:sz w:val="24"/>
          <w:szCs w:val="24"/>
        </w:rPr>
        <w:t>However, feedback encouraged me to rethink the level of support provided for learners engaging in self-reflection. This insight made me consider how different learners engage with reflection, as not all professionals are accustomed to articulating their strengths and weaknesses in a structured way. I now recognise the need to provide clearer scaffolding within the self-reflection process, ensuring that learners can navigate this component effectively and maximise their learning.</w:t>
      </w:r>
    </w:p>
    <w:p w14:paraId="3DCA1739" w14:textId="5CC47E4F" w:rsidR="006933C5" w:rsidRPr="006933C5" w:rsidRDefault="006933C5" w:rsidP="008B22E9">
      <w:pPr>
        <w:spacing w:before="100" w:beforeAutospacing="1" w:after="100" w:afterAutospacing="1" w:line="360" w:lineRule="auto"/>
        <w:jc w:val="both"/>
        <w:rPr>
          <w:rFonts w:ascii="Calibri" w:hAnsi="Calibri" w:cs="Calibri"/>
          <w:sz w:val="24"/>
          <w:szCs w:val="24"/>
        </w:rPr>
      </w:pPr>
      <w:r w:rsidRPr="006933C5">
        <w:rPr>
          <w:rFonts w:ascii="Calibri" w:hAnsi="Calibri" w:cs="Calibri"/>
          <w:sz w:val="24"/>
          <w:szCs w:val="24"/>
        </w:rPr>
        <w:lastRenderedPageBreak/>
        <w:t>Additionally, I gained a broader appreciation of inclusivity in professional learning environments. The curriculum is designed for hospitality professionals from diverse backgrounds, many of whom may have different levels of formal education. This made me reconsider how to ensure equitable access to learning opportunities, especially through flexible assessments and adaptable learning materials. One peer</w:t>
      </w:r>
      <w:r w:rsidR="001C14EB">
        <w:rPr>
          <w:rFonts w:ascii="Calibri" w:hAnsi="Calibri" w:cs="Calibri"/>
          <w:sz w:val="24"/>
          <w:szCs w:val="24"/>
        </w:rPr>
        <w:t>’s</w:t>
      </w:r>
      <w:r w:rsidRPr="006933C5">
        <w:rPr>
          <w:rFonts w:ascii="Calibri" w:hAnsi="Calibri" w:cs="Calibri"/>
          <w:sz w:val="24"/>
          <w:szCs w:val="24"/>
        </w:rPr>
        <w:t xml:space="preserve"> feedback on alternative formats for self-assessment, such as recorded reflections instead of written reports, highlighted the importance of offering multiple ways for learners to engage with content. This aligns with universal design for learning (UDL) principles, which advocate for flexible learning pathways that cater to different abilities and preferences</w:t>
      </w:r>
      <w:r w:rsidR="0028327C">
        <w:rPr>
          <w:rFonts w:ascii="Calibri" w:hAnsi="Calibri" w:cs="Calibri"/>
          <w:sz w:val="24"/>
          <w:szCs w:val="24"/>
        </w:rPr>
        <w:t xml:space="preserve"> (C</w:t>
      </w:r>
      <w:r w:rsidR="00A93AE1">
        <w:rPr>
          <w:rFonts w:ascii="Calibri" w:hAnsi="Calibri" w:cs="Calibri"/>
          <w:sz w:val="24"/>
          <w:szCs w:val="24"/>
        </w:rPr>
        <w:t>AST,</w:t>
      </w:r>
      <w:r w:rsidR="0028327C">
        <w:rPr>
          <w:rFonts w:ascii="Calibri" w:hAnsi="Calibri" w:cs="Calibri"/>
          <w:sz w:val="24"/>
          <w:szCs w:val="24"/>
        </w:rPr>
        <w:t xml:space="preserve"> 20</w:t>
      </w:r>
      <w:r w:rsidR="00E80CC3">
        <w:rPr>
          <w:rFonts w:ascii="Calibri" w:hAnsi="Calibri" w:cs="Calibri"/>
          <w:sz w:val="24"/>
          <w:szCs w:val="24"/>
        </w:rPr>
        <w:t>24)</w:t>
      </w:r>
      <w:r w:rsidRPr="006933C5">
        <w:rPr>
          <w:rFonts w:ascii="Calibri" w:hAnsi="Calibri" w:cs="Calibri"/>
          <w:sz w:val="24"/>
          <w:szCs w:val="24"/>
        </w:rPr>
        <w:t xml:space="preserve"> </w:t>
      </w:r>
    </w:p>
    <w:p w14:paraId="66D70193" w14:textId="1FACC5C4" w:rsidR="00B77E50" w:rsidRPr="006933C5" w:rsidRDefault="006933C5" w:rsidP="00A627B5">
      <w:pPr>
        <w:spacing w:before="100" w:beforeAutospacing="1" w:after="100" w:afterAutospacing="1" w:line="360" w:lineRule="auto"/>
        <w:jc w:val="both"/>
        <w:rPr>
          <w:rFonts w:ascii="Calibri" w:hAnsi="Calibri" w:cs="Calibri"/>
          <w:sz w:val="24"/>
          <w:szCs w:val="24"/>
        </w:rPr>
      </w:pPr>
      <w:r w:rsidRPr="006933C5">
        <w:rPr>
          <w:rFonts w:ascii="Calibri" w:hAnsi="Calibri" w:cs="Calibri"/>
          <w:sz w:val="24"/>
          <w:szCs w:val="24"/>
        </w:rPr>
        <w:t>A final learning point was the value of peer review itself as a reflective tool. While I initially viewed the process as an external evaluation of my work, I came to realise that engaging with diverse perspectives allows for deeper critical thinking. Some of the suggestions made by reviewers challenged my assumptions, while others validated key curriculum choices, reinforcing confidence in my approach. This mirrors the professional learning cycle within hospitality management, where continual feedback loops</w:t>
      </w:r>
      <w:r w:rsidR="00FA1B7E">
        <w:rPr>
          <w:rFonts w:ascii="Calibri" w:hAnsi="Calibri" w:cs="Calibri"/>
          <w:sz w:val="24"/>
          <w:szCs w:val="24"/>
        </w:rPr>
        <w:t xml:space="preserve">, </w:t>
      </w:r>
      <w:r w:rsidRPr="006933C5">
        <w:rPr>
          <w:rFonts w:ascii="Calibri" w:hAnsi="Calibri" w:cs="Calibri"/>
          <w:sz w:val="24"/>
          <w:szCs w:val="24"/>
        </w:rPr>
        <w:t>whether from colleagues, guests, or industry experts</w:t>
      </w:r>
      <w:r w:rsidR="00FA1B7E">
        <w:rPr>
          <w:rFonts w:ascii="Calibri" w:hAnsi="Calibri" w:cs="Calibri"/>
          <w:sz w:val="24"/>
          <w:szCs w:val="24"/>
        </w:rPr>
        <w:t xml:space="preserve">, </w:t>
      </w:r>
      <w:r w:rsidRPr="006933C5">
        <w:rPr>
          <w:rFonts w:ascii="Calibri" w:hAnsi="Calibri" w:cs="Calibri"/>
          <w:sz w:val="24"/>
          <w:szCs w:val="24"/>
        </w:rPr>
        <w:t>are essential for maintaining high service standards and fostering continuous improvement</w:t>
      </w:r>
      <w:r w:rsidR="00FA1B7E">
        <w:rPr>
          <w:rFonts w:ascii="Calibri" w:hAnsi="Calibri" w:cs="Calibri"/>
          <w:sz w:val="24"/>
          <w:szCs w:val="24"/>
        </w:rPr>
        <w:t xml:space="preserve"> (</w:t>
      </w:r>
      <w:r w:rsidR="005D76BB">
        <w:rPr>
          <w:rFonts w:ascii="Calibri" w:hAnsi="Calibri" w:cs="Calibri"/>
          <w:sz w:val="24"/>
          <w:szCs w:val="24"/>
        </w:rPr>
        <w:t xml:space="preserve">Institute of Hospitality, </w:t>
      </w:r>
      <w:r w:rsidR="001E0685">
        <w:rPr>
          <w:rFonts w:ascii="Calibri" w:hAnsi="Calibri" w:cs="Calibri"/>
          <w:sz w:val="24"/>
          <w:szCs w:val="24"/>
        </w:rPr>
        <w:t>2025</w:t>
      </w:r>
      <w:r w:rsidR="00FA1B7E">
        <w:rPr>
          <w:rFonts w:ascii="Calibri" w:hAnsi="Calibri" w:cs="Calibri"/>
          <w:sz w:val="24"/>
          <w:szCs w:val="24"/>
        </w:rPr>
        <w:t>)</w:t>
      </w:r>
      <w:r w:rsidRPr="006933C5">
        <w:rPr>
          <w:rFonts w:ascii="Calibri" w:hAnsi="Calibri" w:cs="Calibri"/>
          <w:sz w:val="24"/>
          <w:szCs w:val="24"/>
        </w:rPr>
        <w:t>.</w:t>
      </w:r>
    </w:p>
    <w:p w14:paraId="2302E78F" w14:textId="7A0C70BB" w:rsidR="00CA27AD" w:rsidRPr="00B77E50" w:rsidRDefault="00CA27AD" w:rsidP="008B22E9">
      <w:pPr>
        <w:pStyle w:val="Heading3"/>
        <w:spacing w:before="100" w:beforeAutospacing="1" w:after="100" w:afterAutospacing="1" w:line="360" w:lineRule="auto"/>
      </w:pPr>
      <w:bookmarkStart w:id="6" w:name="_Toc191035397"/>
      <w:r w:rsidRPr="00B77E50">
        <w:t xml:space="preserve">5. Conclusion – How </w:t>
      </w:r>
      <w:r w:rsidR="000B7D5D" w:rsidRPr="00B77E50">
        <w:t>t</w:t>
      </w:r>
      <w:r w:rsidRPr="00B77E50">
        <w:t xml:space="preserve">his </w:t>
      </w:r>
      <w:r w:rsidR="000B7D5D" w:rsidRPr="00B77E50">
        <w:t>s</w:t>
      </w:r>
      <w:r w:rsidRPr="00B77E50">
        <w:t xml:space="preserve">hapes </w:t>
      </w:r>
      <w:r w:rsidR="000B7D5D" w:rsidRPr="00B77E50">
        <w:t>f</w:t>
      </w:r>
      <w:r w:rsidRPr="00B77E50">
        <w:t xml:space="preserve">uture </w:t>
      </w:r>
      <w:r w:rsidR="000B7D5D" w:rsidRPr="00B77E50">
        <w:t>p</w:t>
      </w:r>
      <w:r w:rsidRPr="00B77E50">
        <w:t>ractice</w:t>
      </w:r>
      <w:bookmarkEnd w:id="6"/>
    </w:p>
    <w:p w14:paraId="2E72B6F7" w14:textId="77777777" w:rsidR="00AD1B9E" w:rsidRPr="00AD1B9E" w:rsidRDefault="00AD1B9E" w:rsidP="008B22E9">
      <w:pPr>
        <w:spacing w:before="100" w:beforeAutospacing="1" w:after="100" w:afterAutospacing="1" w:line="360" w:lineRule="auto"/>
        <w:jc w:val="both"/>
        <w:rPr>
          <w:rFonts w:ascii="Calibri" w:hAnsi="Calibri" w:cs="Calibri"/>
          <w:sz w:val="24"/>
          <w:szCs w:val="24"/>
        </w:rPr>
      </w:pPr>
      <w:r w:rsidRPr="00AD1B9E">
        <w:rPr>
          <w:rFonts w:ascii="Calibri" w:hAnsi="Calibri" w:cs="Calibri"/>
          <w:sz w:val="24"/>
          <w:szCs w:val="24"/>
        </w:rPr>
        <w:t xml:space="preserve">The process of designing and refining the </w:t>
      </w:r>
      <w:r w:rsidRPr="00AD1B9E">
        <w:rPr>
          <w:rFonts w:ascii="Calibri" w:hAnsi="Calibri" w:cs="Calibri"/>
          <w:i/>
          <w:iCs/>
          <w:sz w:val="24"/>
          <w:szCs w:val="24"/>
        </w:rPr>
        <w:t>“Going the Extra Mile”</w:t>
      </w:r>
      <w:r w:rsidRPr="00AD1B9E">
        <w:rPr>
          <w:rFonts w:ascii="Calibri" w:hAnsi="Calibri" w:cs="Calibri"/>
          <w:sz w:val="24"/>
          <w:szCs w:val="24"/>
        </w:rPr>
        <w:t xml:space="preserve"> curriculum has been an invaluable professional learning experience, deepening my understanding of curriculum alignment, professional standards, and learner-centred assessment. The peer review feedback reinforced the curriculum’s strengths, particularly its focus on intangible service elements and industry applicability, while also highlighting areas for refinement, such as explicit career progression links, real-world case studies, and enhanced self-reflection support.</w:t>
      </w:r>
    </w:p>
    <w:p w14:paraId="15077443" w14:textId="40E37FE3" w:rsidR="00B77E50" w:rsidRPr="00357D92" w:rsidRDefault="00AD1B9E" w:rsidP="00A627B5">
      <w:pPr>
        <w:spacing w:before="100" w:beforeAutospacing="1" w:after="100" w:afterAutospacing="1" w:line="360" w:lineRule="auto"/>
        <w:jc w:val="both"/>
        <w:rPr>
          <w:rFonts w:ascii="Calibri" w:hAnsi="Calibri" w:cs="Calibri"/>
          <w:sz w:val="24"/>
          <w:szCs w:val="24"/>
        </w:rPr>
      </w:pPr>
      <w:r w:rsidRPr="00AD1B9E">
        <w:rPr>
          <w:rFonts w:ascii="Calibri" w:hAnsi="Calibri" w:cs="Calibri"/>
          <w:sz w:val="24"/>
          <w:szCs w:val="24"/>
        </w:rPr>
        <w:t xml:space="preserve">This experience has underscored the importance of continuous curriculum improvement, mirroring the iterative nature of professional development in the hospitality industry. Moving forward, I will integrate structured career pathways, flexible assessment formats, and more industry engagement into my curriculum design. Ultimately, this process has </w:t>
      </w:r>
      <w:r w:rsidRPr="00AD1B9E">
        <w:rPr>
          <w:rFonts w:ascii="Calibri" w:hAnsi="Calibri" w:cs="Calibri"/>
          <w:sz w:val="24"/>
          <w:szCs w:val="24"/>
        </w:rPr>
        <w:lastRenderedPageBreak/>
        <w:t>strengthened my ability to create impactful, relevant, and adaptable learning experiences that meet both educational and industry expectations.</w:t>
      </w:r>
    </w:p>
    <w:p w14:paraId="31B6AF41" w14:textId="3AF463C1" w:rsidR="00CA27AD" w:rsidRPr="00B77E50" w:rsidRDefault="00CA27AD" w:rsidP="008B22E9">
      <w:pPr>
        <w:pStyle w:val="Heading3"/>
        <w:spacing w:before="100" w:beforeAutospacing="1" w:after="100" w:afterAutospacing="1" w:line="360" w:lineRule="auto"/>
      </w:pPr>
      <w:bookmarkStart w:id="7" w:name="_Toc191035398"/>
      <w:r w:rsidRPr="00B77E50">
        <w:t>6. Action Plan</w:t>
      </w:r>
      <w:bookmarkEnd w:id="7"/>
      <w:r w:rsidRPr="00B77E50">
        <w:t xml:space="preserve"> </w:t>
      </w:r>
    </w:p>
    <w:p w14:paraId="0A3A11E7" w14:textId="09A5DE20" w:rsidR="0088311E" w:rsidRPr="0088311E" w:rsidRDefault="0088311E" w:rsidP="008B22E9">
      <w:pPr>
        <w:spacing w:before="100" w:beforeAutospacing="1" w:after="100" w:afterAutospacing="1" w:line="360" w:lineRule="auto"/>
        <w:jc w:val="both"/>
        <w:rPr>
          <w:rFonts w:ascii="Calibri" w:hAnsi="Calibri" w:cs="Calibri"/>
          <w:sz w:val="24"/>
          <w:szCs w:val="24"/>
        </w:rPr>
      </w:pPr>
      <w:r w:rsidRPr="00CA27AD">
        <w:rPr>
          <w:rFonts w:ascii="Calibri" w:hAnsi="Calibri" w:cs="Calibri"/>
          <w:sz w:val="24"/>
          <w:szCs w:val="24"/>
        </w:rPr>
        <w:t>This structured action plan will help me apply the insights gained from this reflection, ensuring ongoing professional growth and curriculum enhancement.</w:t>
      </w:r>
      <w:r w:rsidR="004A39A9">
        <w:rPr>
          <w:rFonts w:ascii="Calibri" w:hAnsi="Calibri" w:cs="Calibri"/>
          <w:sz w:val="24"/>
          <w:szCs w:val="24"/>
        </w:rPr>
        <w:t xml:space="preserve"> </w:t>
      </w:r>
    </w:p>
    <w:tbl>
      <w:tblPr>
        <w:tblStyle w:val="TableGrid"/>
        <w:tblW w:w="0" w:type="auto"/>
        <w:tblLook w:val="04A0" w:firstRow="1" w:lastRow="0" w:firstColumn="1" w:lastColumn="0" w:noHBand="0" w:noVBand="1"/>
      </w:tblPr>
      <w:tblGrid>
        <w:gridCol w:w="2929"/>
        <w:gridCol w:w="4693"/>
        <w:gridCol w:w="1620"/>
      </w:tblGrid>
      <w:tr w:rsidR="00CA27AD" w:rsidRPr="00CA27AD" w14:paraId="23A2F718" w14:textId="77777777" w:rsidTr="00AD1B9E">
        <w:tc>
          <w:tcPr>
            <w:tcW w:w="0" w:type="auto"/>
            <w:hideMark/>
          </w:tcPr>
          <w:p w14:paraId="486E1579" w14:textId="77777777" w:rsidR="00CA27AD" w:rsidRPr="00CA27AD" w:rsidRDefault="00CA27AD" w:rsidP="008B22E9">
            <w:pPr>
              <w:spacing w:before="100" w:beforeAutospacing="1" w:after="100" w:afterAutospacing="1" w:line="360" w:lineRule="auto"/>
              <w:rPr>
                <w:rFonts w:ascii="Calibri" w:hAnsi="Calibri" w:cs="Calibri"/>
                <w:b/>
                <w:bCs/>
                <w:sz w:val="24"/>
                <w:szCs w:val="24"/>
              </w:rPr>
            </w:pPr>
            <w:r w:rsidRPr="00CA27AD">
              <w:rPr>
                <w:rFonts w:ascii="Calibri" w:hAnsi="Calibri" w:cs="Calibri"/>
                <w:b/>
                <w:bCs/>
                <w:sz w:val="24"/>
                <w:szCs w:val="24"/>
              </w:rPr>
              <w:t>Action</w:t>
            </w:r>
          </w:p>
        </w:tc>
        <w:tc>
          <w:tcPr>
            <w:tcW w:w="0" w:type="auto"/>
            <w:hideMark/>
          </w:tcPr>
          <w:p w14:paraId="423A9A06" w14:textId="77777777" w:rsidR="00CA27AD" w:rsidRPr="00CA27AD" w:rsidRDefault="00CA27AD" w:rsidP="008B22E9">
            <w:pPr>
              <w:spacing w:before="100" w:beforeAutospacing="1" w:after="100" w:afterAutospacing="1" w:line="360" w:lineRule="auto"/>
              <w:rPr>
                <w:rFonts w:ascii="Calibri" w:hAnsi="Calibri" w:cs="Calibri"/>
                <w:b/>
                <w:bCs/>
                <w:sz w:val="24"/>
                <w:szCs w:val="24"/>
              </w:rPr>
            </w:pPr>
            <w:r w:rsidRPr="00CA27AD">
              <w:rPr>
                <w:rFonts w:ascii="Calibri" w:hAnsi="Calibri" w:cs="Calibri"/>
                <w:b/>
                <w:bCs/>
                <w:sz w:val="24"/>
                <w:szCs w:val="24"/>
              </w:rPr>
              <w:t>Specific Steps</w:t>
            </w:r>
          </w:p>
        </w:tc>
        <w:tc>
          <w:tcPr>
            <w:tcW w:w="0" w:type="auto"/>
            <w:hideMark/>
          </w:tcPr>
          <w:p w14:paraId="5D33B491" w14:textId="77777777" w:rsidR="00CA27AD" w:rsidRPr="00CA27AD" w:rsidRDefault="00CA27AD" w:rsidP="008B22E9">
            <w:pPr>
              <w:spacing w:before="100" w:beforeAutospacing="1" w:after="100" w:afterAutospacing="1" w:line="360" w:lineRule="auto"/>
              <w:rPr>
                <w:rFonts w:ascii="Calibri" w:hAnsi="Calibri" w:cs="Calibri"/>
                <w:b/>
                <w:bCs/>
                <w:sz w:val="24"/>
                <w:szCs w:val="24"/>
              </w:rPr>
            </w:pPr>
            <w:r w:rsidRPr="00CA27AD">
              <w:rPr>
                <w:rFonts w:ascii="Calibri" w:hAnsi="Calibri" w:cs="Calibri"/>
                <w:b/>
                <w:bCs/>
                <w:sz w:val="24"/>
                <w:szCs w:val="24"/>
              </w:rPr>
              <w:t>Timeframe</w:t>
            </w:r>
          </w:p>
        </w:tc>
      </w:tr>
      <w:tr w:rsidR="00CA27AD" w:rsidRPr="00CA27AD" w14:paraId="7EEE5286" w14:textId="77777777" w:rsidTr="00AD1B9E">
        <w:tc>
          <w:tcPr>
            <w:tcW w:w="0" w:type="auto"/>
            <w:hideMark/>
          </w:tcPr>
          <w:p w14:paraId="3DEE1415" w14:textId="77777777" w:rsidR="00CA27AD" w:rsidRPr="00CA27AD" w:rsidRDefault="00CA27AD" w:rsidP="008B22E9">
            <w:pPr>
              <w:spacing w:before="100" w:beforeAutospacing="1" w:after="100" w:afterAutospacing="1" w:line="360" w:lineRule="auto"/>
              <w:rPr>
                <w:rFonts w:ascii="Calibri" w:hAnsi="Calibri" w:cs="Calibri"/>
                <w:sz w:val="24"/>
                <w:szCs w:val="24"/>
              </w:rPr>
            </w:pPr>
            <w:r w:rsidRPr="00CA27AD">
              <w:rPr>
                <w:rFonts w:ascii="Calibri" w:hAnsi="Calibri" w:cs="Calibri"/>
                <w:sz w:val="24"/>
                <w:szCs w:val="24"/>
              </w:rPr>
              <w:t>Enhance career progression clarity</w:t>
            </w:r>
          </w:p>
        </w:tc>
        <w:tc>
          <w:tcPr>
            <w:tcW w:w="0" w:type="auto"/>
            <w:hideMark/>
          </w:tcPr>
          <w:p w14:paraId="71854497" w14:textId="77777777" w:rsidR="00CA27AD" w:rsidRPr="00CA27AD" w:rsidRDefault="00CA27AD" w:rsidP="008B22E9">
            <w:pPr>
              <w:spacing w:before="100" w:beforeAutospacing="1" w:after="100" w:afterAutospacing="1" w:line="360" w:lineRule="auto"/>
              <w:rPr>
                <w:rFonts w:ascii="Calibri" w:hAnsi="Calibri" w:cs="Calibri"/>
                <w:sz w:val="24"/>
                <w:szCs w:val="24"/>
              </w:rPr>
            </w:pPr>
            <w:r w:rsidRPr="00CA27AD">
              <w:rPr>
                <w:rFonts w:ascii="Calibri" w:hAnsi="Calibri" w:cs="Calibri"/>
                <w:sz w:val="24"/>
                <w:szCs w:val="24"/>
              </w:rPr>
              <w:t>Add explicit references to career pathways in curriculum materials.</w:t>
            </w:r>
          </w:p>
        </w:tc>
        <w:tc>
          <w:tcPr>
            <w:tcW w:w="0" w:type="auto"/>
            <w:hideMark/>
          </w:tcPr>
          <w:p w14:paraId="20A54254" w14:textId="77777777" w:rsidR="00CA27AD" w:rsidRPr="00CA27AD" w:rsidRDefault="00CA27AD" w:rsidP="008B22E9">
            <w:pPr>
              <w:spacing w:before="100" w:beforeAutospacing="1" w:after="100" w:afterAutospacing="1" w:line="360" w:lineRule="auto"/>
              <w:rPr>
                <w:rFonts w:ascii="Calibri" w:hAnsi="Calibri" w:cs="Calibri"/>
                <w:sz w:val="24"/>
                <w:szCs w:val="24"/>
              </w:rPr>
            </w:pPr>
            <w:r w:rsidRPr="00CA27AD">
              <w:rPr>
                <w:rFonts w:ascii="Calibri" w:hAnsi="Calibri" w:cs="Calibri"/>
                <w:sz w:val="24"/>
                <w:szCs w:val="24"/>
              </w:rPr>
              <w:t>Within 1 month</w:t>
            </w:r>
          </w:p>
        </w:tc>
      </w:tr>
      <w:tr w:rsidR="00CA27AD" w:rsidRPr="00CA27AD" w14:paraId="72D838A6" w14:textId="77777777" w:rsidTr="00AD1B9E">
        <w:tc>
          <w:tcPr>
            <w:tcW w:w="0" w:type="auto"/>
            <w:hideMark/>
          </w:tcPr>
          <w:p w14:paraId="17E0DFDC" w14:textId="77777777" w:rsidR="00CA27AD" w:rsidRPr="00CA27AD" w:rsidRDefault="00CA27AD" w:rsidP="008B22E9">
            <w:pPr>
              <w:spacing w:before="100" w:beforeAutospacing="1" w:after="100" w:afterAutospacing="1" w:line="360" w:lineRule="auto"/>
              <w:rPr>
                <w:rFonts w:ascii="Calibri" w:hAnsi="Calibri" w:cs="Calibri"/>
                <w:sz w:val="24"/>
                <w:szCs w:val="24"/>
              </w:rPr>
            </w:pPr>
            <w:r w:rsidRPr="00CA27AD">
              <w:rPr>
                <w:rFonts w:ascii="Calibri" w:hAnsi="Calibri" w:cs="Calibri"/>
                <w:sz w:val="24"/>
                <w:szCs w:val="24"/>
              </w:rPr>
              <w:t>Integrate guest speakers &amp; case studies</w:t>
            </w:r>
          </w:p>
        </w:tc>
        <w:tc>
          <w:tcPr>
            <w:tcW w:w="0" w:type="auto"/>
            <w:hideMark/>
          </w:tcPr>
          <w:p w14:paraId="28F8B418" w14:textId="77777777" w:rsidR="00CA27AD" w:rsidRPr="00CA27AD" w:rsidRDefault="00CA27AD" w:rsidP="008B22E9">
            <w:pPr>
              <w:spacing w:before="100" w:beforeAutospacing="1" w:after="100" w:afterAutospacing="1" w:line="360" w:lineRule="auto"/>
              <w:rPr>
                <w:rFonts w:ascii="Calibri" w:hAnsi="Calibri" w:cs="Calibri"/>
                <w:sz w:val="24"/>
                <w:szCs w:val="24"/>
              </w:rPr>
            </w:pPr>
            <w:r w:rsidRPr="00CA27AD">
              <w:rPr>
                <w:rFonts w:ascii="Calibri" w:hAnsi="Calibri" w:cs="Calibri"/>
                <w:sz w:val="24"/>
                <w:szCs w:val="24"/>
              </w:rPr>
              <w:t>Connect with industry professionals and invite them to share insights.</w:t>
            </w:r>
          </w:p>
        </w:tc>
        <w:tc>
          <w:tcPr>
            <w:tcW w:w="0" w:type="auto"/>
            <w:hideMark/>
          </w:tcPr>
          <w:p w14:paraId="6821C6E5" w14:textId="77777777" w:rsidR="00CA27AD" w:rsidRPr="00CA27AD" w:rsidRDefault="00CA27AD" w:rsidP="008B22E9">
            <w:pPr>
              <w:spacing w:before="100" w:beforeAutospacing="1" w:after="100" w:afterAutospacing="1" w:line="360" w:lineRule="auto"/>
              <w:rPr>
                <w:rFonts w:ascii="Calibri" w:hAnsi="Calibri" w:cs="Calibri"/>
                <w:sz w:val="24"/>
                <w:szCs w:val="24"/>
              </w:rPr>
            </w:pPr>
            <w:r w:rsidRPr="00CA27AD">
              <w:rPr>
                <w:rFonts w:ascii="Calibri" w:hAnsi="Calibri" w:cs="Calibri"/>
                <w:sz w:val="24"/>
                <w:szCs w:val="24"/>
              </w:rPr>
              <w:t>Within 3 months</w:t>
            </w:r>
          </w:p>
        </w:tc>
      </w:tr>
      <w:tr w:rsidR="00CA27AD" w:rsidRPr="00CA27AD" w14:paraId="26F8DBD1" w14:textId="77777777" w:rsidTr="00AD1B9E">
        <w:tc>
          <w:tcPr>
            <w:tcW w:w="0" w:type="auto"/>
            <w:hideMark/>
          </w:tcPr>
          <w:p w14:paraId="6C022300" w14:textId="77777777" w:rsidR="00CA27AD" w:rsidRPr="00CA27AD" w:rsidRDefault="00CA27AD" w:rsidP="008B22E9">
            <w:pPr>
              <w:spacing w:before="100" w:beforeAutospacing="1" w:after="100" w:afterAutospacing="1" w:line="360" w:lineRule="auto"/>
              <w:rPr>
                <w:rFonts w:ascii="Calibri" w:hAnsi="Calibri" w:cs="Calibri"/>
                <w:sz w:val="24"/>
                <w:szCs w:val="24"/>
              </w:rPr>
            </w:pPr>
            <w:r w:rsidRPr="00CA27AD">
              <w:rPr>
                <w:rFonts w:ascii="Calibri" w:hAnsi="Calibri" w:cs="Calibri"/>
                <w:sz w:val="24"/>
                <w:szCs w:val="24"/>
              </w:rPr>
              <w:t>Improve self-reflection support</w:t>
            </w:r>
          </w:p>
        </w:tc>
        <w:tc>
          <w:tcPr>
            <w:tcW w:w="0" w:type="auto"/>
            <w:hideMark/>
          </w:tcPr>
          <w:p w14:paraId="2905AA04" w14:textId="77777777" w:rsidR="00CA27AD" w:rsidRPr="00CA27AD" w:rsidRDefault="00CA27AD" w:rsidP="008B22E9">
            <w:pPr>
              <w:spacing w:before="100" w:beforeAutospacing="1" w:after="100" w:afterAutospacing="1" w:line="360" w:lineRule="auto"/>
              <w:rPr>
                <w:rFonts w:ascii="Calibri" w:hAnsi="Calibri" w:cs="Calibri"/>
                <w:sz w:val="24"/>
                <w:szCs w:val="24"/>
              </w:rPr>
            </w:pPr>
            <w:r w:rsidRPr="00CA27AD">
              <w:rPr>
                <w:rFonts w:ascii="Calibri" w:hAnsi="Calibri" w:cs="Calibri"/>
                <w:sz w:val="24"/>
                <w:szCs w:val="24"/>
              </w:rPr>
              <w:t>Provide structured prompts and templates for learners.</w:t>
            </w:r>
          </w:p>
        </w:tc>
        <w:tc>
          <w:tcPr>
            <w:tcW w:w="0" w:type="auto"/>
            <w:hideMark/>
          </w:tcPr>
          <w:p w14:paraId="59582E66" w14:textId="77777777" w:rsidR="00CA27AD" w:rsidRPr="00CA27AD" w:rsidRDefault="00CA27AD" w:rsidP="008B22E9">
            <w:pPr>
              <w:spacing w:before="100" w:beforeAutospacing="1" w:after="100" w:afterAutospacing="1" w:line="360" w:lineRule="auto"/>
              <w:rPr>
                <w:rFonts w:ascii="Calibri" w:hAnsi="Calibri" w:cs="Calibri"/>
                <w:sz w:val="24"/>
                <w:szCs w:val="24"/>
              </w:rPr>
            </w:pPr>
            <w:r w:rsidRPr="00CA27AD">
              <w:rPr>
                <w:rFonts w:ascii="Calibri" w:hAnsi="Calibri" w:cs="Calibri"/>
                <w:sz w:val="24"/>
                <w:szCs w:val="24"/>
              </w:rPr>
              <w:t>Within 1 month</w:t>
            </w:r>
          </w:p>
        </w:tc>
      </w:tr>
    </w:tbl>
    <w:p w14:paraId="6C3DC443" w14:textId="77777777" w:rsidR="007A2E05" w:rsidRDefault="007A2E05" w:rsidP="008B22E9">
      <w:pPr>
        <w:spacing w:before="100" w:beforeAutospacing="1" w:after="100" w:afterAutospacing="1" w:line="360" w:lineRule="auto"/>
        <w:rPr>
          <w:rFonts w:ascii="Calibri" w:hAnsi="Calibri" w:cs="Calibri"/>
          <w:b/>
          <w:bCs/>
          <w:sz w:val="24"/>
          <w:szCs w:val="24"/>
          <w:highlight w:val="yellow"/>
        </w:rPr>
      </w:pPr>
    </w:p>
    <w:p w14:paraId="5B8DDD5C" w14:textId="0B23C8A8" w:rsidR="00820DEF" w:rsidRPr="00CA27AD" w:rsidRDefault="007A2E05" w:rsidP="008B22E9">
      <w:pPr>
        <w:spacing w:before="100" w:beforeAutospacing="1" w:after="100" w:afterAutospacing="1" w:line="360" w:lineRule="auto"/>
        <w:rPr>
          <w:rFonts w:ascii="Calibri" w:hAnsi="Calibri" w:cs="Calibri"/>
          <w:b/>
          <w:bCs/>
          <w:sz w:val="24"/>
          <w:szCs w:val="24"/>
        </w:rPr>
      </w:pPr>
      <w:r w:rsidRPr="00D422D9">
        <w:rPr>
          <w:rFonts w:ascii="Calibri" w:hAnsi="Calibri" w:cs="Calibri"/>
          <w:b/>
          <w:bCs/>
          <w:sz w:val="24"/>
          <w:szCs w:val="24"/>
        </w:rPr>
        <w:t>Word Count 1</w:t>
      </w:r>
      <w:r w:rsidR="00AD2957" w:rsidRPr="00D422D9">
        <w:rPr>
          <w:rFonts w:ascii="Calibri" w:hAnsi="Calibri" w:cs="Calibri"/>
          <w:b/>
          <w:bCs/>
          <w:sz w:val="24"/>
          <w:szCs w:val="24"/>
        </w:rPr>
        <w:t>6</w:t>
      </w:r>
      <w:r w:rsidR="00DD7DB2" w:rsidRPr="00D422D9">
        <w:rPr>
          <w:rFonts w:ascii="Calibri" w:hAnsi="Calibri" w:cs="Calibri"/>
          <w:b/>
          <w:bCs/>
          <w:sz w:val="24"/>
          <w:szCs w:val="24"/>
        </w:rPr>
        <w:t>2</w:t>
      </w:r>
      <w:r w:rsidR="00A93AE1">
        <w:rPr>
          <w:rFonts w:ascii="Calibri" w:hAnsi="Calibri" w:cs="Calibri"/>
          <w:b/>
          <w:bCs/>
          <w:sz w:val="24"/>
          <w:szCs w:val="24"/>
        </w:rPr>
        <w:t>8</w:t>
      </w:r>
    </w:p>
    <w:p w14:paraId="03DB97FC" w14:textId="1CDA0F05" w:rsidR="00CA27AD" w:rsidRDefault="0088311E" w:rsidP="000D3FD7">
      <w:pPr>
        <w:pStyle w:val="Heading1"/>
      </w:pPr>
      <w:r>
        <w:br w:type="page"/>
      </w:r>
      <w:bookmarkStart w:id="8" w:name="_Toc191035399"/>
      <w:r w:rsidR="00CA27AD" w:rsidRPr="000D3FD7">
        <w:lastRenderedPageBreak/>
        <w:t>Reference</w:t>
      </w:r>
      <w:r w:rsidR="000D3FD7" w:rsidRPr="000D3FD7">
        <w:t xml:space="preserve"> List</w:t>
      </w:r>
      <w:bookmarkEnd w:id="8"/>
    </w:p>
    <w:p w14:paraId="594C66F4" w14:textId="77777777" w:rsidR="00D422D9" w:rsidRPr="00D422D9" w:rsidRDefault="00D422D9" w:rsidP="00D422D9">
      <w:pPr>
        <w:rPr>
          <w:highlight w:val="yellow"/>
        </w:rPr>
      </w:pPr>
    </w:p>
    <w:p w14:paraId="3F599003" w14:textId="77777777" w:rsidR="00763191" w:rsidRPr="00D422D9" w:rsidRDefault="00763191" w:rsidP="00D422D9">
      <w:pPr>
        <w:jc w:val="both"/>
        <w:rPr>
          <w:rFonts w:ascii="Calibri" w:eastAsiaTheme="majorEastAsia" w:hAnsi="Calibri" w:cs="Calibri"/>
          <w:sz w:val="24"/>
          <w:szCs w:val="24"/>
        </w:rPr>
      </w:pPr>
      <w:r w:rsidRPr="00D422D9">
        <w:rPr>
          <w:rFonts w:ascii="Calibri" w:eastAsiaTheme="majorEastAsia" w:hAnsi="Calibri" w:cs="Calibri"/>
          <w:sz w:val="24"/>
          <w:szCs w:val="24"/>
        </w:rPr>
        <w:t xml:space="preserve">Advance HE (2023) </w:t>
      </w:r>
      <w:r w:rsidRPr="00D422D9">
        <w:rPr>
          <w:rFonts w:ascii="Calibri" w:eastAsiaTheme="majorEastAsia" w:hAnsi="Calibri" w:cs="Calibri"/>
          <w:i/>
          <w:iCs/>
          <w:sz w:val="24"/>
          <w:szCs w:val="24"/>
        </w:rPr>
        <w:t>UK Professional Standards Framework for Teaching and Supporting Learning in Higher Education</w:t>
      </w:r>
      <w:r w:rsidRPr="00D422D9">
        <w:rPr>
          <w:rFonts w:ascii="Calibri" w:eastAsiaTheme="majorEastAsia" w:hAnsi="Calibri" w:cs="Calibri"/>
          <w:sz w:val="24"/>
          <w:szCs w:val="24"/>
        </w:rPr>
        <w:t>. Available at: https://www.advance-he.ac.uk/teaching-and-learning/psf (Accessed: 18 January 2025).</w:t>
      </w:r>
    </w:p>
    <w:p w14:paraId="69F68639" w14:textId="77777777" w:rsidR="00763191" w:rsidRDefault="00763191" w:rsidP="00D422D9">
      <w:pPr>
        <w:jc w:val="both"/>
        <w:rPr>
          <w:rFonts w:ascii="Calibri" w:eastAsiaTheme="majorEastAsia" w:hAnsi="Calibri" w:cs="Calibri"/>
          <w:sz w:val="24"/>
          <w:szCs w:val="24"/>
          <w14:ligatures w14:val="none"/>
        </w:rPr>
      </w:pPr>
      <w:r w:rsidRPr="00D422D9">
        <w:rPr>
          <w:rFonts w:ascii="Calibri" w:eastAsiaTheme="majorEastAsia" w:hAnsi="Calibri" w:cs="Calibri"/>
          <w:sz w:val="24"/>
          <w:szCs w:val="24"/>
          <w14:ligatures w14:val="none"/>
        </w:rPr>
        <w:t xml:space="preserve">Black, P. and Wiliam, D. (1998) </w:t>
      </w:r>
      <w:r w:rsidRPr="00D422D9">
        <w:rPr>
          <w:rFonts w:ascii="Calibri" w:eastAsiaTheme="majorEastAsia" w:hAnsi="Calibri" w:cs="Calibri"/>
          <w:i/>
          <w:iCs/>
          <w:sz w:val="24"/>
          <w:szCs w:val="24"/>
          <w14:ligatures w14:val="none"/>
        </w:rPr>
        <w:t>Inside the Black Box: Raising Standards through Classroom Assessment</w:t>
      </w:r>
      <w:r w:rsidRPr="00D422D9">
        <w:rPr>
          <w:rFonts w:ascii="Calibri" w:eastAsiaTheme="majorEastAsia" w:hAnsi="Calibri" w:cs="Calibri"/>
          <w:sz w:val="24"/>
          <w:szCs w:val="24"/>
          <w14:ligatures w14:val="none"/>
        </w:rPr>
        <w:t>. London: GL Assessment.</w:t>
      </w:r>
    </w:p>
    <w:p w14:paraId="5A654042" w14:textId="6F8730DA" w:rsidR="00E80CC3" w:rsidRPr="00D422D9" w:rsidRDefault="00E80CC3" w:rsidP="00A93AE1">
      <w:pPr>
        <w:jc w:val="both"/>
        <w:rPr>
          <w:rFonts w:ascii="Calibri" w:eastAsiaTheme="majorEastAsia" w:hAnsi="Calibri" w:cs="Calibri"/>
          <w:sz w:val="24"/>
          <w:szCs w:val="24"/>
          <w14:ligatures w14:val="none"/>
        </w:rPr>
      </w:pPr>
      <w:r>
        <w:rPr>
          <w:rFonts w:ascii="Calibri" w:hAnsi="Calibri" w:cs="Calibri"/>
          <w:sz w:val="24"/>
          <w:szCs w:val="24"/>
        </w:rPr>
        <w:t>C</w:t>
      </w:r>
      <w:r w:rsidR="006273CA">
        <w:rPr>
          <w:rFonts w:ascii="Calibri" w:hAnsi="Calibri" w:cs="Calibri"/>
          <w:sz w:val="24"/>
          <w:szCs w:val="24"/>
        </w:rPr>
        <w:t>AST</w:t>
      </w:r>
      <w:r>
        <w:rPr>
          <w:rFonts w:ascii="Calibri" w:hAnsi="Calibri" w:cs="Calibri"/>
          <w:sz w:val="24"/>
          <w:szCs w:val="24"/>
        </w:rPr>
        <w:t xml:space="preserve"> (</w:t>
      </w:r>
      <w:r>
        <w:rPr>
          <w:rFonts w:ascii="Calibri" w:hAnsi="Calibri" w:cs="Calibri"/>
          <w:sz w:val="24"/>
          <w:szCs w:val="24"/>
        </w:rPr>
        <w:t>2024)</w:t>
      </w:r>
      <w:r>
        <w:rPr>
          <w:rFonts w:ascii="Calibri" w:hAnsi="Calibri" w:cs="Calibri"/>
          <w:sz w:val="24"/>
          <w:szCs w:val="24"/>
        </w:rPr>
        <w:t xml:space="preserve"> </w:t>
      </w:r>
      <w:r w:rsidR="006273CA" w:rsidRPr="006273CA">
        <w:rPr>
          <w:rFonts w:ascii="Calibri" w:hAnsi="Calibri" w:cs="Calibri"/>
          <w:i/>
          <w:iCs/>
          <w:sz w:val="24"/>
          <w:szCs w:val="24"/>
        </w:rPr>
        <w:t>The UDL Guidelines</w:t>
      </w:r>
      <w:r w:rsidR="006273CA">
        <w:rPr>
          <w:rFonts w:ascii="Calibri" w:hAnsi="Calibri" w:cs="Calibri"/>
          <w:i/>
          <w:iCs/>
          <w:sz w:val="24"/>
          <w:szCs w:val="24"/>
        </w:rPr>
        <w:t xml:space="preserve"> </w:t>
      </w:r>
      <w:r w:rsidR="006273CA" w:rsidRPr="00D422D9">
        <w:rPr>
          <w:rFonts w:ascii="Calibri" w:eastAsiaTheme="majorEastAsia" w:hAnsi="Calibri" w:cs="Calibri"/>
          <w:sz w:val="24"/>
          <w:szCs w:val="24"/>
        </w:rPr>
        <w:t>Available at:</w:t>
      </w:r>
      <w:r w:rsidR="006273CA">
        <w:rPr>
          <w:rFonts w:ascii="Calibri" w:eastAsiaTheme="majorEastAsia" w:hAnsi="Calibri" w:cs="Calibri"/>
          <w:sz w:val="24"/>
          <w:szCs w:val="24"/>
        </w:rPr>
        <w:t xml:space="preserve"> </w:t>
      </w:r>
      <w:r w:rsidR="00A93AE1" w:rsidRPr="00A93AE1">
        <w:rPr>
          <w:rFonts w:ascii="Calibri" w:eastAsiaTheme="majorEastAsia" w:hAnsi="Calibri" w:cs="Calibri"/>
          <w:sz w:val="24"/>
          <w:szCs w:val="24"/>
        </w:rPr>
        <w:t>https://udlguidelines.cast.org/</w:t>
      </w:r>
      <w:r w:rsidR="00A93AE1">
        <w:rPr>
          <w:rFonts w:ascii="Calibri" w:eastAsiaTheme="majorEastAsia" w:hAnsi="Calibri" w:cs="Calibri"/>
          <w:sz w:val="24"/>
          <w:szCs w:val="24"/>
        </w:rPr>
        <w:t xml:space="preserve"> </w:t>
      </w:r>
      <w:r w:rsidR="00A93AE1" w:rsidRPr="00D422D9">
        <w:rPr>
          <w:rFonts w:ascii="Calibri" w:eastAsiaTheme="majorEastAsia" w:hAnsi="Calibri" w:cs="Calibri"/>
          <w:sz w:val="24"/>
          <w:szCs w:val="24"/>
        </w:rPr>
        <w:t>(Accessed: 20 January 2025).</w:t>
      </w:r>
    </w:p>
    <w:p w14:paraId="31882F52" w14:textId="77777777" w:rsidR="00763191" w:rsidRPr="00D422D9" w:rsidRDefault="00763191" w:rsidP="00D422D9">
      <w:pPr>
        <w:jc w:val="both"/>
        <w:rPr>
          <w:rFonts w:ascii="Calibri" w:hAnsi="Calibri" w:cs="Calibri"/>
          <w:b/>
          <w:bCs/>
          <w:sz w:val="24"/>
          <w:szCs w:val="24"/>
          <w:highlight w:val="yellow"/>
        </w:rPr>
      </w:pPr>
      <w:r w:rsidRPr="00D422D9">
        <w:rPr>
          <w:rFonts w:ascii="Calibri" w:hAnsi="Calibri" w:cs="Calibri"/>
          <w:sz w:val="24"/>
          <w:szCs w:val="24"/>
        </w:rPr>
        <w:t xml:space="preserve">Institute of Hospitality (2025) </w:t>
      </w:r>
      <w:r w:rsidRPr="00D422D9">
        <w:rPr>
          <w:rFonts w:ascii="Calibri" w:hAnsi="Calibri" w:cs="Calibri"/>
          <w:i/>
          <w:iCs/>
          <w:sz w:val="24"/>
          <w:szCs w:val="24"/>
        </w:rPr>
        <w:t xml:space="preserve">Continuing Professional Development (CPD) </w:t>
      </w:r>
      <w:r w:rsidRPr="00D422D9">
        <w:rPr>
          <w:rFonts w:ascii="Calibri" w:eastAsiaTheme="majorEastAsia" w:hAnsi="Calibri" w:cs="Calibri"/>
          <w:sz w:val="24"/>
          <w:szCs w:val="24"/>
        </w:rPr>
        <w:t>Available at: https://www.instituteofhospitality.org/professional-development/record-your-cpd/ (Accessed: 20 January 2025).</w:t>
      </w:r>
    </w:p>
    <w:p w14:paraId="508C24DF" w14:textId="77777777" w:rsidR="00763191" w:rsidRPr="00D422D9" w:rsidRDefault="00763191" w:rsidP="00D422D9">
      <w:pPr>
        <w:jc w:val="both"/>
        <w:rPr>
          <w:rFonts w:ascii="Calibri" w:eastAsiaTheme="majorEastAsia" w:hAnsi="Calibri" w:cs="Calibri"/>
          <w:sz w:val="24"/>
          <w:szCs w:val="24"/>
        </w:rPr>
      </w:pPr>
      <w:r w:rsidRPr="00D422D9">
        <w:rPr>
          <w:rFonts w:ascii="Calibri" w:eastAsiaTheme="majorEastAsia" w:hAnsi="Calibri" w:cs="Calibri"/>
          <w:sz w:val="24"/>
          <w:szCs w:val="24"/>
        </w:rPr>
        <w:t xml:space="preserve">QAA (2019) </w:t>
      </w:r>
      <w:r w:rsidRPr="00D422D9">
        <w:rPr>
          <w:rFonts w:ascii="Calibri" w:eastAsiaTheme="majorEastAsia" w:hAnsi="Calibri" w:cs="Calibri"/>
          <w:i/>
          <w:iCs/>
          <w:sz w:val="24"/>
          <w:szCs w:val="24"/>
        </w:rPr>
        <w:t>Subject Benchmark Statement: Events, Hospitality, Leisure, Sport, and Tourism</w:t>
      </w:r>
      <w:r w:rsidRPr="00D422D9">
        <w:rPr>
          <w:rFonts w:ascii="Calibri" w:eastAsiaTheme="majorEastAsia" w:hAnsi="Calibri" w:cs="Calibri"/>
          <w:sz w:val="24"/>
          <w:szCs w:val="24"/>
        </w:rPr>
        <w:t>. The Quality Assurance Agency for Higher Education. Available at: https://www.qaa.ac.uk/docs/qaa/subject-benchmark-statements/sbs-events-hospitality-leisure-sport-tourism-19.pdf (Accessed: 18 January 2025).</w:t>
      </w:r>
    </w:p>
    <w:p w14:paraId="2B6F4ED0" w14:textId="77777777" w:rsidR="00763191" w:rsidRPr="00D422D9" w:rsidRDefault="00763191" w:rsidP="00D422D9">
      <w:pPr>
        <w:jc w:val="both"/>
        <w:rPr>
          <w:rFonts w:ascii="Calibri" w:eastAsiaTheme="majorEastAsia" w:hAnsi="Calibri" w:cs="Calibri"/>
          <w:sz w:val="24"/>
          <w:szCs w:val="24"/>
          <w14:ligatures w14:val="none"/>
        </w:rPr>
      </w:pPr>
      <w:r w:rsidRPr="00D422D9">
        <w:rPr>
          <w:rFonts w:ascii="Calibri" w:eastAsiaTheme="majorEastAsia" w:hAnsi="Calibri" w:cs="Calibri"/>
          <w:sz w:val="24"/>
          <w:szCs w:val="24"/>
        </w:rPr>
        <w:t xml:space="preserve">Schön, D. (2017) </w:t>
      </w:r>
      <w:r w:rsidRPr="00D422D9">
        <w:rPr>
          <w:rFonts w:ascii="Calibri" w:eastAsiaTheme="majorEastAsia" w:hAnsi="Calibri" w:cs="Calibri"/>
          <w:i/>
          <w:iCs/>
          <w:sz w:val="24"/>
          <w:szCs w:val="24"/>
        </w:rPr>
        <w:t>The reflective practitioner</w:t>
      </w:r>
      <w:r w:rsidRPr="00D422D9">
        <w:rPr>
          <w:rFonts w:ascii="Calibri" w:eastAsiaTheme="majorEastAsia" w:hAnsi="Calibri" w:cs="Calibri"/>
          <w:sz w:val="24"/>
          <w:szCs w:val="24"/>
        </w:rPr>
        <w:t xml:space="preserve">. </w:t>
      </w:r>
      <w:r w:rsidRPr="00D422D9">
        <w:rPr>
          <w:rFonts w:ascii="Calibri" w:eastAsiaTheme="majorEastAsia" w:hAnsi="Calibri" w:cs="Calibri"/>
          <w:sz w:val="24"/>
          <w:szCs w:val="24"/>
          <w14:ligatures w14:val="none"/>
        </w:rPr>
        <w:t>London: Routledge</w:t>
      </w:r>
    </w:p>
    <w:p w14:paraId="682F4632" w14:textId="77777777" w:rsidR="00763191" w:rsidRPr="00D422D9" w:rsidRDefault="00763191" w:rsidP="00D422D9">
      <w:pPr>
        <w:jc w:val="both"/>
        <w:rPr>
          <w:rFonts w:ascii="Calibri" w:hAnsi="Calibri" w:cs="Calibri"/>
          <w:sz w:val="24"/>
          <w:szCs w:val="24"/>
        </w:rPr>
      </w:pPr>
      <w:r w:rsidRPr="00D422D9">
        <w:rPr>
          <w:rFonts w:ascii="Calibri" w:hAnsi="Calibri" w:cs="Calibri"/>
          <w:sz w:val="24"/>
          <w:szCs w:val="24"/>
        </w:rPr>
        <w:t xml:space="preserve">Taylor, I. (2021) </w:t>
      </w:r>
      <w:r w:rsidRPr="00D422D9">
        <w:rPr>
          <w:rFonts w:ascii="Calibri" w:hAnsi="Calibri" w:cs="Calibri"/>
          <w:i/>
          <w:iCs/>
          <w:sz w:val="24"/>
          <w:szCs w:val="24"/>
        </w:rPr>
        <w:t xml:space="preserve">Why are guest speakers so important for our </w:t>
      </w:r>
      <w:proofErr w:type="spellStart"/>
      <w:r w:rsidRPr="00D422D9">
        <w:rPr>
          <w:rFonts w:ascii="Calibri" w:hAnsi="Calibri" w:cs="Calibri"/>
          <w:i/>
          <w:iCs/>
          <w:sz w:val="24"/>
          <w:szCs w:val="24"/>
        </w:rPr>
        <w:t>eduation</w:t>
      </w:r>
      <w:proofErr w:type="spellEnd"/>
      <w:r w:rsidRPr="00D422D9">
        <w:rPr>
          <w:rFonts w:ascii="Calibri" w:hAnsi="Calibri" w:cs="Calibri"/>
          <w:i/>
          <w:iCs/>
          <w:sz w:val="24"/>
          <w:szCs w:val="24"/>
        </w:rPr>
        <w:t xml:space="preserve">? </w:t>
      </w:r>
      <w:r w:rsidRPr="00D422D9">
        <w:rPr>
          <w:rFonts w:ascii="Calibri" w:eastAsiaTheme="majorEastAsia" w:hAnsi="Calibri" w:cs="Calibri"/>
          <w:sz w:val="24"/>
          <w:szCs w:val="24"/>
        </w:rPr>
        <w:t>Available at: https://flooglebinder.co.uk/travel-blog/why-are-guest-speakers-so-important-for-our-education (Accessed: 20 January 2025).</w:t>
      </w:r>
    </w:p>
    <w:p w14:paraId="78A4D4B0" w14:textId="77777777" w:rsidR="00763191" w:rsidRPr="00D422D9" w:rsidRDefault="00763191" w:rsidP="00D422D9">
      <w:pPr>
        <w:jc w:val="both"/>
        <w:rPr>
          <w:rFonts w:ascii="Calibri" w:eastAsiaTheme="majorEastAsia" w:hAnsi="Calibri" w:cs="Calibri"/>
          <w:sz w:val="24"/>
          <w:szCs w:val="24"/>
        </w:rPr>
      </w:pPr>
      <w:proofErr w:type="spellStart"/>
      <w:r w:rsidRPr="00D422D9">
        <w:rPr>
          <w:rFonts w:ascii="Calibri" w:hAnsi="Calibri" w:cs="Calibri"/>
          <w:sz w:val="24"/>
          <w:szCs w:val="24"/>
        </w:rPr>
        <w:t>UKHospitality</w:t>
      </w:r>
      <w:proofErr w:type="spellEnd"/>
      <w:r w:rsidRPr="00D422D9">
        <w:rPr>
          <w:rFonts w:ascii="Calibri" w:hAnsi="Calibri" w:cs="Calibri"/>
          <w:sz w:val="24"/>
          <w:szCs w:val="24"/>
        </w:rPr>
        <w:t xml:space="preserve"> (2023) </w:t>
      </w:r>
      <w:r w:rsidRPr="00D422D9">
        <w:rPr>
          <w:rFonts w:ascii="Calibri" w:hAnsi="Calibri" w:cs="Calibri"/>
          <w:i/>
          <w:iCs/>
          <w:sz w:val="24"/>
          <w:szCs w:val="24"/>
        </w:rPr>
        <w:t>Industry Report on Service Standards in UK Hospitality</w:t>
      </w:r>
      <w:r w:rsidRPr="00D422D9">
        <w:rPr>
          <w:rFonts w:ascii="Calibri" w:hAnsi="Calibri" w:cs="Calibri"/>
          <w:sz w:val="24"/>
          <w:szCs w:val="24"/>
        </w:rPr>
        <w:t>. Available at: www.ukhospitality.org.uk</w:t>
      </w:r>
      <w:r w:rsidRPr="00D422D9">
        <w:rPr>
          <w:rFonts w:ascii="Calibri" w:hAnsi="Calibri" w:cs="Calibri"/>
        </w:rPr>
        <w:t xml:space="preserve"> </w:t>
      </w:r>
      <w:r w:rsidRPr="00D422D9">
        <w:rPr>
          <w:rFonts w:ascii="Calibri" w:eastAsiaTheme="majorEastAsia" w:hAnsi="Calibri" w:cs="Calibri"/>
          <w:sz w:val="24"/>
          <w:szCs w:val="24"/>
        </w:rPr>
        <w:t>(Accessed: 18 January 2025).</w:t>
      </w:r>
    </w:p>
    <w:p w14:paraId="66804CAF" w14:textId="77777777" w:rsidR="00763191" w:rsidRPr="00D422D9" w:rsidRDefault="00763191" w:rsidP="00D422D9">
      <w:pPr>
        <w:jc w:val="both"/>
        <w:rPr>
          <w:rFonts w:ascii="Calibri" w:hAnsi="Calibri" w:cs="Calibri"/>
          <w:sz w:val="24"/>
          <w:szCs w:val="24"/>
        </w:rPr>
      </w:pPr>
      <w:r w:rsidRPr="00D422D9">
        <w:rPr>
          <w:rFonts w:ascii="Calibri" w:hAnsi="Calibri" w:cs="Calibri"/>
          <w:sz w:val="24"/>
          <w:szCs w:val="24"/>
        </w:rPr>
        <w:t>Vygotsky, L. S. (1978</w:t>
      </w:r>
      <w:r w:rsidRPr="00D422D9">
        <w:rPr>
          <w:rFonts w:ascii="Calibri" w:hAnsi="Calibri" w:cs="Calibri"/>
          <w:i/>
          <w:iCs/>
          <w:sz w:val="24"/>
          <w:szCs w:val="24"/>
        </w:rPr>
        <w:t>) Mind in Society: The Development of Higher Psychological Processes</w:t>
      </w:r>
      <w:r w:rsidRPr="00D422D9">
        <w:rPr>
          <w:rFonts w:ascii="Calibri" w:hAnsi="Calibri" w:cs="Calibri"/>
          <w:sz w:val="24"/>
          <w:szCs w:val="24"/>
        </w:rPr>
        <w:t>. Cambridge, MA: Harvard University Press.</w:t>
      </w:r>
    </w:p>
    <w:p w14:paraId="630AD361" w14:textId="77777777" w:rsidR="00763191" w:rsidRPr="00D422D9" w:rsidRDefault="00763191" w:rsidP="00D422D9">
      <w:pPr>
        <w:jc w:val="both"/>
        <w:rPr>
          <w:rFonts w:ascii="Calibri" w:eastAsiaTheme="majorEastAsia" w:hAnsi="Calibri" w:cs="Calibri"/>
          <w:b/>
          <w:bCs/>
          <w:i/>
          <w:iCs/>
          <w:sz w:val="24"/>
          <w:szCs w:val="24"/>
        </w:rPr>
      </w:pPr>
      <w:r w:rsidRPr="00D422D9">
        <w:rPr>
          <w:rFonts w:ascii="Calibri" w:hAnsi="Calibri" w:cs="Calibri"/>
          <w:sz w:val="24"/>
          <w:szCs w:val="24"/>
        </w:rPr>
        <w:t xml:space="preserve">Welsh Government (2024) </w:t>
      </w:r>
      <w:r w:rsidRPr="00D422D9">
        <w:rPr>
          <w:rFonts w:ascii="Calibri" w:hAnsi="Calibri" w:cs="Calibri"/>
          <w:i/>
          <w:iCs/>
          <w:sz w:val="24"/>
          <w:szCs w:val="24"/>
        </w:rPr>
        <w:t xml:space="preserve">Curriculum for Wales: annual report 2024 </w:t>
      </w:r>
      <w:r w:rsidRPr="00D422D9">
        <w:rPr>
          <w:rFonts w:ascii="Calibri" w:eastAsiaTheme="majorEastAsia" w:hAnsi="Calibri" w:cs="Calibri"/>
          <w:sz w:val="24"/>
          <w:szCs w:val="24"/>
        </w:rPr>
        <w:t>Available at: https://www.gov.wales/curriculum-wales-annual-report-2024-html (Accessed: 20 January 2025).</w:t>
      </w:r>
    </w:p>
    <w:p w14:paraId="7846FF5F" w14:textId="77777777" w:rsidR="00BE7B38" w:rsidRPr="00EC1A9E" w:rsidRDefault="00BE7B38" w:rsidP="00F9757D">
      <w:pPr>
        <w:rPr>
          <w:rFonts w:ascii="Calibri" w:hAnsi="Calibri" w:cs="Calibri"/>
          <w:b/>
          <w:bCs/>
          <w:sz w:val="24"/>
          <w:szCs w:val="24"/>
          <w:highlight w:val="yellow"/>
        </w:rPr>
      </w:pPr>
    </w:p>
    <w:p w14:paraId="65017CB6" w14:textId="77777777" w:rsidR="00CA27AD" w:rsidRPr="00624522" w:rsidRDefault="00CA27AD" w:rsidP="00CA27AD">
      <w:pPr>
        <w:rPr>
          <w:rFonts w:ascii="Calibri" w:hAnsi="Calibri" w:cs="Calibri"/>
          <w:sz w:val="24"/>
          <w:szCs w:val="24"/>
        </w:rPr>
      </w:pPr>
    </w:p>
    <w:p w14:paraId="7AC10C56" w14:textId="77777777" w:rsidR="0090470A" w:rsidRPr="00624522" w:rsidRDefault="0090470A" w:rsidP="0090470A">
      <w:pPr>
        <w:rPr>
          <w:rFonts w:ascii="Calibri" w:hAnsi="Calibri" w:cs="Calibri"/>
          <w:sz w:val="24"/>
          <w:szCs w:val="24"/>
        </w:rPr>
      </w:pPr>
    </w:p>
    <w:p w14:paraId="658B4352" w14:textId="38DF5797" w:rsidR="006E12DF" w:rsidRPr="00603DBC" w:rsidRDefault="004035C4" w:rsidP="00820DEF">
      <w:pPr>
        <w:pStyle w:val="Heading1"/>
      </w:pPr>
      <w:r w:rsidRPr="00624522">
        <w:rPr>
          <w:rFonts w:ascii="Calibri" w:hAnsi="Calibri" w:cs="Calibri"/>
          <w:sz w:val="22"/>
          <w:szCs w:val="22"/>
        </w:rPr>
        <w:br w:type="page"/>
      </w:r>
      <w:bookmarkStart w:id="9" w:name="_Toc191035400"/>
      <w:r w:rsidR="006E12DF" w:rsidRPr="00603DBC">
        <w:lastRenderedPageBreak/>
        <w:t>Part 1 – Peer review</w:t>
      </w:r>
      <w:bookmarkEnd w:id="9"/>
      <w:r w:rsidR="006E12DF" w:rsidRPr="00603DBC">
        <w:t xml:space="preserve"> </w:t>
      </w:r>
    </w:p>
    <w:p w14:paraId="0AEED973" w14:textId="63C120C8" w:rsidR="006360E6" w:rsidRDefault="006E12DF" w:rsidP="00884378">
      <w:pPr>
        <w:pStyle w:val="Heading2"/>
      </w:pPr>
      <w:bookmarkStart w:id="10" w:name="_Toc191035401"/>
      <w:r w:rsidRPr="00603DBC">
        <w:t>Appendix 1: A Beginner’s Guide to Navigating Wales (Project 2)</w:t>
      </w:r>
      <w:bookmarkEnd w:id="10"/>
    </w:p>
    <w:p w14:paraId="1D2A77A8" w14:textId="77777777" w:rsidR="00884378" w:rsidRPr="00884378" w:rsidRDefault="00884378" w:rsidP="00884378"/>
    <w:p w14:paraId="0818D63D" w14:textId="77777777" w:rsidR="006360E6" w:rsidRDefault="006360E6" w:rsidP="006360E6">
      <w:pPr>
        <w:jc w:val="both"/>
      </w:pPr>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6360E6" w14:paraId="6ED0EDF8" w14:textId="77777777" w:rsidTr="00561AD5">
        <w:tc>
          <w:tcPr>
            <w:tcW w:w="9015" w:type="dxa"/>
          </w:tcPr>
          <w:p w14:paraId="0DACE6AC" w14:textId="456FEDF9" w:rsidR="006360E6" w:rsidRPr="0097481E" w:rsidRDefault="006360E6" w:rsidP="0097481E">
            <w:pPr>
              <w:jc w:val="both"/>
            </w:pPr>
            <w:r>
              <w:t xml:space="preserve"> </w:t>
            </w:r>
            <w:r w:rsidRPr="005F74E2">
              <w:rPr>
                <w:b/>
                <w:bCs/>
              </w:rPr>
              <w:t>Positive Aspects:</w:t>
            </w:r>
          </w:p>
          <w:p w14:paraId="3D1A0989" w14:textId="77777777" w:rsidR="006360E6" w:rsidRPr="005F74E2" w:rsidRDefault="006360E6" w:rsidP="00561AD5">
            <w:pPr>
              <w:jc w:val="both"/>
            </w:pPr>
            <w:r w:rsidRPr="005F74E2">
              <w:t>This curriculum makes a well-researched and compelling case for its existence, clearly highlighting the challenges migrants face when trying to access traditional ESOL (English for Speakers of Other Languages) classes. The rationale is backed up by academic and governmental research, which reinforces the urgency of providing a more accessible alternative.</w:t>
            </w:r>
          </w:p>
          <w:p w14:paraId="2AEC9753" w14:textId="77777777" w:rsidR="006360E6" w:rsidRDefault="006360E6" w:rsidP="00561AD5">
            <w:pPr>
              <w:jc w:val="both"/>
            </w:pPr>
            <w:r w:rsidRPr="005F74E2">
              <w:t>One of its biggest strengths is the flexibility of the rolling eight-week programme, allowing learners to join without long waiting times. This approach ensures that those who need support can access it quickly rather than being delayed by fixed-term course structures.</w:t>
            </w:r>
          </w:p>
          <w:p w14:paraId="51761ABA" w14:textId="77777777" w:rsidR="006360E6" w:rsidRPr="005F74E2" w:rsidRDefault="006360E6" w:rsidP="00561AD5">
            <w:pPr>
              <w:jc w:val="both"/>
            </w:pPr>
          </w:p>
          <w:p w14:paraId="3AEC27AA" w14:textId="77777777" w:rsidR="006360E6" w:rsidRDefault="006360E6" w:rsidP="00561AD5">
            <w:pPr>
              <w:jc w:val="both"/>
              <w:rPr>
                <w:b/>
                <w:bCs/>
              </w:rPr>
            </w:pPr>
            <w:r w:rsidRPr="005F74E2">
              <w:rPr>
                <w:b/>
                <w:bCs/>
              </w:rPr>
              <w:t>Constructive Feedback:</w:t>
            </w:r>
          </w:p>
          <w:p w14:paraId="10BA7349" w14:textId="77777777" w:rsidR="006360E6" w:rsidRPr="005F74E2" w:rsidRDefault="006360E6" w:rsidP="00561AD5">
            <w:pPr>
              <w:jc w:val="both"/>
            </w:pPr>
            <w:r w:rsidRPr="005F74E2">
              <w:t>While the justification is strong, the curriculum could be even more impactful by exploring potential collaborations with local businesses or service providers. This would give learners more opportunities to apply their English skills in real-world settings, making their learning even more practical and relevant.</w:t>
            </w:r>
          </w:p>
          <w:p w14:paraId="0D577284" w14:textId="6920EB3A" w:rsidR="006360E6" w:rsidRDefault="006360E6" w:rsidP="0097481E">
            <w:pPr>
              <w:jc w:val="both"/>
            </w:pPr>
            <w:r w:rsidRPr="005F74E2">
              <w:t>The integration of Welsh cultural elements is a great addition, but it may also be beneficial to incorporate more learner input when deciding on lesson topics. This would ensure that the content is not only educational but also directly relevant to their everyday lives.</w:t>
            </w:r>
          </w:p>
        </w:tc>
      </w:tr>
    </w:tbl>
    <w:p w14:paraId="60462FE3" w14:textId="77777777" w:rsidR="006360E6" w:rsidRDefault="006360E6" w:rsidP="006360E6">
      <w:pPr>
        <w:jc w:val="both"/>
      </w:pPr>
    </w:p>
    <w:p w14:paraId="7FA80DC6" w14:textId="77777777" w:rsidR="006360E6" w:rsidRDefault="006360E6" w:rsidP="006360E6">
      <w:pPr>
        <w:jc w:val="both"/>
      </w:pPr>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6360E6" w14:paraId="75F2513E" w14:textId="77777777" w:rsidTr="00561AD5">
        <w:tc>
          <w:tcPr>
            <w:tcW w:w="9015" w:type="dxa"/>
          </w:tcPr>
          <w:p w14:paraId="4D8EC7B8" w14:textId="77777777" w:rsidR="006360E6" w:rsidRDefault="006360E6" w:rsidP="00561AD5">
            <w:pPr>
              <w:jc w:val="both"/>
              <w:rPr>
                <w:b/>
                <w:bCs/>
              </w:rPr>
            </w:pPr>
            <w:r w:rsidRPr="005F74E2">
              <w:rPr>
                <w:b/>
                <w:bCs/>
              </w:rPr>
              <w:t>Positive Aspects:</w:t>
            </w:r>
          </w:p>
          <w:p w14:paraId="7990AEFD" w14:textId="77777777" w:rsidR="006360E6" w:rsidRPr="005F74E2" w:rsidRDefault="006360E6" w:rsidP="00561AD5">
            <w:pPr>
              <w:jc w:val="both"/>
              <w:rPr>
                <w:b/>
                <w:bCs/>
              </w:rPr>
            </w:pPr>
            <w:r w:rsidRPr="005F74E2">
              <w:t>The aims and objectives are clearly structured and follow SMART (Specific, Measurable, Achievable, Relevant, Time-bound) principles, making them well-suited to Entry 1 (A1) learners. The curriculum’s focus on transactional English</w:t>
            </w:r>
            <w:r>
              <w:t xml:space="preserve">, </w:t>
            </w:r>
            <w:r w:rsidRPr="005F74E2">
              <w:t>language skills needed for everyday interactions</w:t>
            </w:r>
            <w:r>
              <w:t xml:space="preserve"> </w:t>
            </w:r>
            <w:r w:rsidRPr="005F74E2">
              <w:t>is particularly useful for those looking to integrate into their new communities more smoothly.</w:t>
            </w:r>
          </w:p>
          <w:p w14:paraId="3E961540" w14:textId="77777777" w:rsidR="006360E6" w:rsidRDefault="006360E6" w:rsidP="00561AD5">
            <w:pPr>
              <w:jc w:val="both"/>
            </w:pPr>
            <w:r w:rsidRPr="005F74E2">
              <w:t>It’s also great to see a balance between linguistic skills and transferable skills such as confidence-building and problem-solving. This ensures that learners not only improve their English but also gain skills that will help them in real-life situations and future opportunities.</w:t>
            </w:r>
          </w:p>
          <w:p w14:paraId="1EB9FD1D" w14:textId="77777777" w:rsidR="006360E6" w:rsidRPr="005F74E2" w:rsidRDefault="006360E6" w:rsidP="00561AD5">
            <w:pPr>
              <w:jc w:val="both"/>
            </w:pPr>
          </w:p>
          <w:p w14:paraId="602FF23D" w14:textId="77777777" w:rsidR="006360E6" w:rsidRDefault="006360E6" w:rsidP="00561AD5">
            <w:pPr>
              <w:jc w:val="both"/>
              <w:rPr>
                <w:b/>
                <w:bCs/>
              </w:rPr>
            </w:pPr>
            <w:r w:rsidRPr="005F74E2">
              <w:rPr>
                <w:b/>
                <w:bCs/>
              </w:rPr>
              <w:t>Constructive Feedback:</w:t>
            </w:r>
          </w:p>
          <w:p w14:paraId="2A6CEA8C" w14:textId="77777777" w:rsidR="006360E6" w:rsidRPr="005F74E2" w:rsidRDefault="006360E6" w:rsidP="00561AD5">
            <w:pPr>
              <w:jc w:val="both"/>
            </w:pPr>
            <w:r w:rsidRPr="005F74E2">
              <w:t>To make the objectives even more effective, it might be useful to outline clear progression routes for learners after completing the course. For example, signposting them towards accredited ESOL qualifications, vocational training, or employment support would help them see a clear path forward.</w:t>
            </w:r>
          </w:p>
          <w:p w14:paraId="67B06A7E" w14:textId="7E1CB81D" w:rsidR="006360E6" w:rsidRDefault="006360E6" w:rsidP="0097481E">
            <w:pPr>
              <w:jc w:val="both"/>
            </w:pPr>
            <w:r w:rsidRPr="005F74E2">
              <w:t>Another consideration is differentiation</w:t>
            </w:r>
            <w:r>
              <w:t xml:space="preserve">, </w:t>
            </w:r>
            <w:r w:rsidRPr="005F74E2">
              <w:t>learners will inevitably have varying levels of prior knowledge and ability. Providing slightly adjusted objectives for those with different proficiency levels could help make the curriculum even more inclusive and supportive.</w:t>
            </w:r>
          </w:p>
        </w:tc>
      </w:tr>
    </w:tbl>
    <w:p w14:paraId="2DB73580" w14:textId="77777777" w:rsidR="006360E6" w:rsidRDefault="006360E6" w:rsidP="006360E6">
      <w:pPr>
        <w:jc w:val="both"/>
      </w:pPr>
      <w:r>
        <w:lastRenderedPageBreak/>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6360E6" w14:paraId="1037BD5E" w14:textId="77777777" w:rsidTr="00561AD5">
        <w:tc>
          <w:tcPr>
            <w:tcW w:w="9015" w:type="dxa"/>
          </w:tcPr>
          <w:p w14:paraId="688C2CDD" w14:textId="77777777" w:rsidR="006360E6" w:rsidRDefault="006360E6" w:rsidP="00561AD5">
            <w:pPr>
              <w:jc w:val="both"/>
            </w:pPr>
          </w:p>
          <w:p w14:paraId="64A2116B" w14:textId="77777777" w:rsidR="006360E6" w:rsidRDefault="006360E6" w:rsidP="00561AD5">
            <w:pPr>
              <w:jc w:val="both"/>
              <w:rPr>
                <w:b/>
                <w:bCs/>
              </w:rPr>
            </w:pPr>
            <w:r w:rsidRPr="005F74E2">
              <w:rPr>
                <w:b/>
                <w:bCs/>
              </w:rPr>
              <w:t>Positive Aspects:</w:t>
            </w:r>
          </w:p>
          <w:p w14:paraId="38832EBB" w14:textId="77777777" w:rsidR="006360E6" w:rsidRPr="005F74E2" w:rsidRDefault="006360E6" w:rsidP="00561AD5">
            <w:pPr>
              <w:jc w:val="both"/>
            </w:pPr>
            <w:r w:rsidRPr="005F74E2">
              <w:t>The curriculum follows a logical and well-thought-out progression, starting with fundamental language skills and gradually introducing more complex real-life scenarios. This structured approach helps learners build confidence as they move through the course.</w:t>
            </w:r>
          </w:p>
          <w:p w14:paraId="1BA49540" w14:textId="77777777" w:rsidR="006360E6" w:rsidRPr="005F74E2" w:rsidRDefault="006360E6" w:rsidP="00561AD5">
            <w:pPr>
              <w:jc w:val="both"/>
            </w:pPr>
            <w:r w:rsidRPr="005F74E2">
              <w:t>A real highlight is the variety of teaching methods used. The inclusion of role-plays, group discussions, and real-world simulations is excellent, as these interactive techniques support learners in developing practical communication skills.</w:t>
            </w:r>
          </w:p>
          <w:p w14:paraId="13FE7F83" w14:textId="77777777" w:rsidR="006360E6" w:rsidRDefault="006360E6" w:rsidP="00561AD5">
            <w:pPr>
              <w:jc w:val="both"/>
            </w:pPr>
            <w:r w:rsidRPr="005F74E2">
              <w:t>The rolling entry system is another great feature, as it removes the barrier of long waiting times, making learning more accessible for those who need immediate support.</w:t>
            </w:r>
          </w:p>
          <w:p w14:paraId="256E6E1A" w14:textId="77777777" w:rsidR="006360E6" w:rsidRPr="005F74E2" w:rsidRDefault="006360E6" w:rsidP="00561AD5">
            <w:pPr>
              <w:jc w:val="both"/>
            </w:pPr>
          </w:p>
          <w:p w14:paraId="1882A70D" w14:textId="77777777" w:rsidR="006360E6" w:rsidRDefault="006360E6" w:rsidP="00561AD5">
            <w:pPr>
              <w:jc w:val="both"/>
              <w:rPr>
                <w:b/>
                <w:bCs/>
              </w:rPr>
            </w:pPr>
            <w:r w:rsidRPr="005F74E2">
              <w:rPr>
                <w:b/>
                <w:bCs/>
              </w:rPr>
              <w:t>Constructive Feedback:</w:t>
            </w:r>
          </w:p>
          <w:p w14:paraId="674F5BC3" w14:textId="77777777" w:rsidR="006360E6" w:rsidRPr="005F74E2" w:rsidRDefault="006360E6" w:rsidP="00561AD5">
            <w:pPr>
              <w:jc w:val="both"/>
            </w:pPr>
            <w:r w:rsidRPr="005F74E2">
              <w:t>While eight weeks is a reasonable duration, some learners may benefit from additional flexible support or refresher sessions after completing the course. This could help reinforce what they’ve learned and allow them to continue developing their skills.</w:t>
            </w:r>
          </w:p>
          <w:p w14:paraId="52E34780" w14:textId="3958A117" w:rsidR="006360E6" w:rsidRDefault="006360E6" w:rsidP="0097481E">
            <w:pPr>
              <w:jc w:val="both"/>
            </w:pPr>
            <w:r w:rsidRPr="005F74E2">
              <w:t>The curriculum is already strong in its use of interactive activities, but it could be further enhanced by incorporating a small independent learning component. Encouraging learners to engage in self-directed study</w:t>
            </w:r>
            <w:r>
              <w:t xml:space="preserve"> </w:t>
            </w:r>
            <w:r w:rsidRPr="005F74E2">
              <w:t>through simple homework tasks, suggested reading, or digital resources</w:t>
            </w:r>
            <w:r>
              <w:t xml:space="preserve"> </w:t>
            </w:r>
            <w:r w:rsidRPr="005F74E2">
              <w:t>would give them more opportunities to practise English outside of class.</w:t>
            </w:r>
          </w:p>
          <w:p w14:paraId="743AD62F" w14:textId="77777777" w:rsidR="006360E6" w:rsidRDefault="006360E6" w:rsidP="00561AD5">
            <w:pPr>
              <w:jc w:val="both"/>
            </w:pPr>
          </w:p>
        </w:tc>
      </w:tr>
    </w:tbl>
    <w:p w14:paraId="7D9C975E" w14:textId="77777777" w:rsidR="009F1933" w:rsidRDefault="009F1933" w:rsidP="006360E6">
      <w:pPr>
        <w:jc w:val="both"/>
      </w:pPr>
    </w:p>
    <w:p w14:paraId="52783C01" w14:textId="77777777" w:rsidR="006360E6" w:rsidRDefault="006360E6" w:rsidP="006360E6">
      <w:pPr>
        <w:jc w:val="both"/>
      </w:pPr>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6360E6" w14:paraId="2B9CB201" w14:textId="77777777" w:rsidTr="00561AD5">
        <w:tc>
          <w:tcPr>
            <w:tcW w:w="9015" w:type="dxa"/>
          </w:tcPr>
          <w:p w14:paraId="26556EFF" w14:textId="77777777" w:rsidR="006360E6" w:rsidRDefault="006360E6" w:rsidP="00561AD5">
            <w:pPr>
              <w:jc w:val="both"/>
              <w:rPr>
                <w:b/>
                <w:bCs/>
              </w:rPr>
            </w:pPr>
            <w:r w:rsidRPr="005F74E2">
              <w:rPr>
                <w:b/>
                <w:bCs/>
              </w:rPr>
              <w:t>Positive Aspects:</w:t>
            </w:r>
          </w:p>
          <w:p w14:paraId="368FE19D" w14:textId="77777777" w:rsidR="006360E6" w:rsidRPr="005F74E2" w:rsidRDefault="006360E6" w:rsidP="00561AD5">
            <w:pPr>
              <w:jc w:val="both"/>
            </w:pPr>
            <w:r w:rsidRPr="005F74E2">
              <w:t>The curriculum is well-aligned with the CEFR (Common European Framework of Reference for Languages) Entry 1 (A1) standards, ensuring that learners receive a structured and internationally recognised foundation in English.</w:t>
            </w:r>
          </w:p>
          <w:p w14:paraId="48CF079F" w14:textId="77777777" w:rsidR="006360E6" w:rsidRPr="005F74E2" w:rsidRDefault="006360E6" w:rsidP="00561AD5">
            <w:pPr>
              <w:jc w:val="both"/>
            </w:pPr>
            <w:r w:rsidRPr="005F74E2">
              <w:t>It also meets the Welsh Government Professional Standards for Further Education and Adult Learning, adding to its credibility and ensuring that it adheres to recognised best practices in education.</w:t>
            </w:r>
          </w:p>
          <w:p w14:paraId="49643275" w14:textId="77777777" w:rsidR="006360E6" w:rsidRDefault="006360E6" w:rsidP="00561AD5">
            <w:pPr>
              <w:jc w:val="both"/>
            </w:pPr>
            <w:r w:rsidRPr="005F74E2">
              <w:t>The inclusion of both formative and summative assessment strategies is another positive feature, as it allows for effective monitoring of learners’ progress throughout the course. This ensures that students receive the support they need at different stages of their learning journey.</w:t>
            </w:r>
          </w:p>
          <w:p w14:paraId="23F08839" w14:textId="77777777" w:rsidR="006360E6" w:rsidRPr="005F74E2" w:rsidRDefault="006360E6" w:rsidP="00561AD5">
            <w:pPr>
              <w:jc w:val="both"/>
            </w:pPr>
          </w:p>
          <w:p w14:paraId="5DA6C4C1" w14:textId="77777777" w:rsidR="006360E6" w:rsidRDefault="006360E6" w:rsidP="00561AD5">
            <w:pPr>
              <w:jc w:val="both"/>
              <w:rPr>
                <w:b/>
                <w:bCs/>
              </w:rPr>
            </w:pPr>
            <w:r w:rsidRPr="005F74E2">
              <w:rPr>
                <w:b/>
                <w:bCs/>
              </w:rPr>
              <w:t>Constructive Feedback:</w:t>
            </w:r>
          </w:p>
          <w:p w14:paraId="61D6F5FB" w14:textId="77777777" w:rsidR="006360E6" w:rsidRPr="005F74E2" w:rsidRDefault="006360E6" w:rsidP="00561AD5">
            <w:pPr>
              <w:jc w:val="both"/>
            </w:pPr>
            <w:r w:rsidRPr="005F74E2">
              <w:t xml:space="preserve">One way to strengthen the curriculum even further would be to explicitly align it with workplace English benchmarks. Many learners will want to transition into employment, and clear pathways into accredited qualifications, such as </w:t>
            </w:r>
            <w:proofErr w:type="spellStart"/>
            <w:r w:rsidRPr="005F74E2">
              <w:t>Agored</w:t>
            </w:r>
            <w:proofErr w:type="spellEnd"/>
            <w:r w:rsidRPr="005F74E2">
              <w:t xml:space="preserve"> Cymru, could help provide them with recognised credentials to boost their job prospects.</w:t>
            </w:r>
          </w:p>
          <w:p w14:paraId="77F6229E" w14:textId="1FFD5B46" w:rsidR="006360E6" w:rsidRDefault="006360E6" w:rsidP="0097481E">
            <w:pPr>
              <w:jc w:val="both"/>
            </w:pPr>
            <w:r w:rsidRPr="005F74E2">
              <w:t>It might also be useful to explore how digital literacy could be incorporated into the curriculum, as technology is becoming an increasingly important part of communication, particularly in the workplace.</w:t>
            </w:r>
          </w:p>
          <w:p w14:paraId="389AF458" w14:textId="77777777" w:rsidR="006360E6" w:rsidRDefault="006360E6" w:rsidP="00561AD5">
            <w:pPr>
              <w:jc w:val="both"/>
            </w:pPr>
          </w:p>
        </w:tc>
      </w:tr>
    </w:tbl>
    <w:p w14:paraId="18030148" w14:textId="77777777" w:rsidR="006360E6" w:rsidRDefault="006360E6" w:rsidP="006360E6">
      <w:pPr>
        <w:jc w:val="both"/>
      </w:pPr>
    </w:p>
    <w:p w14:paraId="4654E3FF" w14:textId="77777777" w:rsidR="006360E6" w:rsidRDefault="006360E6" w:rsidP="006360E6">
      <w:pPr>
        <w:jc w:val="both"/>
      </w:pPr>
      <w:r>
        <w:lastRenderedPageBreak/>
        <w:t>Comments on the scheme of work that was designed.</w:t>
      </w:r>
    </w:p>
    <w:tbl>
      <w:tblPr>
        <w:tblStyle w:val="TableGrid"/>
        <w:tblW w:w="0" w:type="auto"/>
        <w:tblLayout w:type="fixed"/>
        <w:tblLook w:val="06A0" w:firstRow="1" w:lastRow="0" w:firstColumn="1" w:lastColumn="0" w:noHBand="1" w:noVBand="1"/>
      </w:tblPr>
      <w:tblGrid>
        <w:gridCol w:w="9015"/>
      </w:tblGrid>
      <w:tr w:rsidR="006360E6" w14:paraId="478F2909" w14:textId="77777777" w:rsidTr="00561AD5">
        <w:tc>
          <w:tcPr>
            <w:tcW w:w="9015" w:type="dxa"/>
          </w:tcPr>
          <w:p w14:paraId="41BB9A5C" w14:textId="77777777" w:rsidR="006360E6" w:rsidRDefault="006360E6" w:rsidP="00561AD5">
            <w:pPr>
              <w:jc w:val="both"/>
            </w:pPr>
          </w:p>
          <w:p w14:paraId="551D8467" w14:textId="77777777" w:rsidR="006360E6" w:rsidRPr="005F74E2" w:rsidRDefault="006360E6" w:rsidP="00561AD5">
            <w:pPr>
              <w:jc w:val="both"/>
            </w:pPr>
            <w:r w:rsidRPr="005F74E2">
              <w:t>The scheme of work is well thought out and effectively supports the curriculum’s aims. It provides a clear structure, ensuring that each session builds on the previous one, allowing learners to progress at a steady pace. The lessons are designed with engagement and inclusivity in mind, incorporating a mix of auditory, visual, and kinaesthetic learning methods. This ensures that learners with different preferences and strengths can all benefit.</w:t>
            </w:r>
          </w:p>
          <w:p w14:paraId="686D3A1C" w14:textId="77777777" w:rsidR="006360E6" w:rsidRPr="005F74E2" w:rsidRDefault="006360E6" w:rsidP="00561AD5">
            <w:pPr>
              <w:jc w:val="both"/>
            </w:pPr>
            <w:r w:rsidRPr="005F74E2">
              <w:t>A key strength of the scheme is its practical approach, with activities such as role-play and discussions reinforcing real-world communication skills. This hands-on method of learning is particularly beneficial for ESOL learners, as it allows them to practise English in a safe and supportive environment before using it in everyday life.</w:t>
            </w:r>
          </w:p>
          <w:p w14:paraId="415B2415" w14:textId="77777777" w:rsidR="006360E6" w:rsidRPr="005F74E2" w:rsidRDefault="006360E6" w:rsidP="00561AD5">
            <w:pPr>
              <w:jc w:val="both"/>
            </w:pPr>
            <w:r w:rsidRPr="005F74E2">
              <w:t>One area that could be improved is the inclusion of more peer and self-assessment opportunities. While teacher-led assessments are important, encouraging learners to reflect on their own progress and provide feedback to their peers could help build their confidence and autonomy.</w:t>
            </w:r>
          </w:p>
          <w:p w14:paraId="38058A15" w14:textId="62A68391" w:rsidR="006360E6" w:rsidRDefault="006360E6" w:rsidP="0097481E">
            <w:pPr>
              <w:jc w:val="both"/>
            </w:pPr>
            <w:r w:rsidRPr="005F74E2">
              <w:t>Another suggestion is to incorporate basic digital literacy skills into the scheme. This could be something as simple as introducing learners to useful apps for language learning or practising how to fill in online forms, both of which would provide them with practical skills beyond language proficiency.</w:t>
            </w:r>
          </w:p>
        </w:tc>
      </w:tr>
    </w:tbl>
    <w:p w14:paraId="033B330E" w14:textId="77777777" w:rsidR="006360E6" w:rsidRDefault="006360E6" w:rsidP="006360E6">
      <w:pPr>
        <w:jc w:val="both"/>
      </w:pPr>
    </w:p>
    <w:p w14:paraId="1122476D" w14:textId="77777777" w:rsidR="006360E6" w:rsidRDefault="006360E6" w:rsidP="006360E6">
      <w:pPr>
        <w:jc w:val="both"/>
      </w:pPr>
      <w:r>
        <w:t>Anything else that you would like to comment on?</w:t>
      </w:r>
    </w:p>
    <w:tbl>
      <w:tblPr>
        <w:tblStyle w:val="TableGrid"/>
        <w:tblW w:w="0" w:type="auto"/>
        <w:tblLayout w:type="fixed"/>
        <w:tblLook w:val="06A0" w:firstRow="1" w:lastRow="0" w:firstColumn="1" w:lastColumn="0" w:noHBand="1" w:noVBand="1"/>
      </w:tblPr>
      <w:tblGrid>
        <w:gridCol w:w="9015"/>
      </w:tblGrid>
      <w:tr w:rsidR="006360E6" w14:paraId="22590329" w14:textId="77777777" w:rsidTr="00561AD5">
        <w:tc>
          <w:tcPr>
            <w:tcW w:w="9015" w:type="dxa"/>
          </w:tcPr>
          <w:p w14:paraId="6B1AE1EF" w14:textId="77777777" w:rsidR="006360E6" w:rsidRDefault="006360E6" w:rsidP="00561AD5">
            <w:pPr>
              <w:jc w:val="both"/>
            </w:pPr>
          </w:p>
          <w:p w14:paraId="015A8DA8" w14:textId="77777777" w:rsidR="006360E6" w:rsidRPr="005F74E2" w:rsidRDefault="006360E6" w:rsidP="00561AD5">
            <w:pPr>
              <w:jc w:val="both"/>
            </w:pPr>
            <w:r w:rsidRPr="005F74E2">
              <w:t>The "Practical English for Everyday Life" curriculum is a well-designed and learner-focused programme that addresses a genuine need. It takes a thoughtful and accessible approach to ESOL education, particularly for migrants and refugees who face challenges in accessing traditional language courses.</w:t>
            </w:r>
          </w:p>
          <w:p w14:paraId="09F91504" w14:textId="77777777" w:rsidR="006360E6" w:rsidRPr="005F74E2" w:rsidRDefault="006360E6" w:rsidP="00561AD5">
            <w:pPr>
              <w:jc w:val="both"/>
            </w:pPr>
            <w:r w:rsidRPr="005F74E2">
              <w:t>Its rolling structure, focus on real-life English, and interactive teaching methods make it highly relevant and engaging for Entry 1 (A1) learners. The alignment with professional standards and CEFR benchmarks ensures that students receive a structured and high-quality education that will help them integrate into their communities.</w:t>
            </w:r>
          </w:p>
          <w:p w14:paraId="33A7E9A9" w14:textId="77777777" w:rsidR="006360E6" w:rsidRPr="005F74E2" w:rsidRDefault="006360E6" w:rsidP="00561AD5">
            <w:pPr>
              <w:jc w:val="both"/>
            </w:pPr>
            <w:r w:rsidRPr="005F74E2">
              <w:t>One of the most valuable aspects of the curriculum is its emphasis on building learners' independence and confidence. However, to make an even bigger impact, it could strengthen links to progression pathways, such as providing clearer signposts towards accredited courses, vocational training, or employment support.</w:t>
            </w:r>
          </w:p>
          <w:p w14:paraId="4BBBC801" w14:textId="77777777" w:rsidR="006360E6" w:rsidRPr="005F74E2" w:rsidRDefault="006360E6" w:rsidP="00561AD5">
            <w:pPr>
              <w:jc w:val="both"/>
            </w:pPr>
            <w:r w:rsidRPr="005F74E2">
              <w:t>Another potential improvement would be to increase engagement with local communities and businesses, which would give learners more opportunities to practise their English in practical, real-life situations.</w:t>
            </w:r>
          </w:p>
          <w:p w14:paraId="7DF4BB1E" w14:textId="77777777" w:rsidR="006360E6" w:rsidRPr="005F74E2" w:rsidRDefault="006360E6" w:rsidP="00561AD5">
            <w:pPr>
              <w:jc w:val="both"/>
            </w:pPr>
            <w:r w:rsidRPr="005F74E2">
              <w:t>Overall, this curriculum has great potential to be a model ESOL programme, helping learners bridge the gap between initial settlement and full integration into their new communities.</w:t>
            </w:r>
          </w:p>
          <w:p w14:paraId="30BB73DF" w14:textId="77777777" w:rsidR="006360E6" w:rsidRPr="005F74E2" w:rsidRDefault="006360E6" w:rsidP="00561AD5">
            <w:pPr>
              <w:jc w:val="both"/>
              <w:rPr>
                <w:b/>
                <w:bCs/>
              </w:rPr>
            </w:pPr>
          </w:p>
        </w:tc>
      </w:tr>
    </w:tbl>
    <w:p w14:paraId="51F6A356" w14:textId="77777777" w:rsidR="0097481E" w:rsidRDefault="0097481E" w:rsidP="006E12DF">
      <w:pPr>
        <w:pStyle w:val="Heading2"/>
      </w:pPr>
      <w:r>
        <w:br w:type="page"/>
      </w:r>
    </w:p>
    <w:p w14:paraId="65FB8F4C" w14:textId="56888BEE" w:rsidR="00D13ABB" w:rsidRDefault="006E12DF" w:rsidP="0097481E">
      <w:pPr>
        <w:pStyle w:val="Heading2"/>
      </w:pPr>
      <w:bookmarkStart w:id="11" w:name="_Toc191035402"/>
      <w:r w:rsidRPr="00603DBC">
        <w:lastRenderedPageBreak/>
        <w:t>Appendix 2: Level 4 Chemistry module (Project 9)</w:t>
      </w:r>
      <w:bookmarkEnd w:id="11"/>
    </w:p>
    <w:p w14:paraId="21B021F3" w14:textId="77777777" w:rsidR="00D4544F" w:rsidRPr="00D4544F" w:rsidRDefault="00D4544F" w:rsidP="00D4544F"/>
    <w:p w14:paraId="7EB53192" w14:textId="77777777" w:rsidR="00D13ABB" w:rsidRDefault="00D13ABB" w:rsidP="00D13ABB">
      <w:pPr>
        <w:jc w:val="both"/>
      </w:pPr>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D13ABB" w14:paraId="2F9B4FC4" w14:textId="77777777" w:rsidTr="00561AD5">
        <w:tc>
          <w:tcPr>
            <w:tcW w:w="9015" w:type="dxa"/>
          </w:tcPr>
          <w:p w14:paraId="71C9B299" w14:textId="2BA40065" w:rsidR="00D13ABB" w:rsidRPr="0097481E" w:rsidRDefault="00D13ABB" w:rsidP="0097481E">
            <w:pPr>
              <w:jc w:val="both"/>
            </w:pPr>
            <w:r>
              <w:t xml:space="preserve"> </w:t>
            </w:r>
            <w:r w:rsidRPr="00993A7C">
              <w:rPr>
                <w:b/>
                <w:bCs/>
              </w:rPr>
              <w:t>Positive Aspects:</w:t>
            </w:r>
          </w:p>
          <w:p w14:paraId="61D598C2" w14:textId="77777777" w:rsidR="00D13ABB" w:rsidRPr="00993A7C" w:rsidRDefault="00D13ABB" w:rsidP="00561AD5">
            <w:pPr>
              <w:jc w:val="both"/>
            </w:pPr>
            <w:r w:rsidRPr="00993A7C">
              <w:t>The curriculum provides a well-reasoned justification, addressing an essential need within the OME sector. Given the technical and safety-sensitive nature of working with explosives, the integration of foundational chemistry concepts is both appropriate and necessary. The curriculum effectively outlines the industry's current skills gap, referencing reports from the Institute for Apprenticeships and Technical Education (</w:t>
            </w:r>
            <w:proofErr w:type="spellStart"/>
            <w:r w:rsidRPr="00993A7C">
              <w:t>IfATE</w:t>
            </w:r>
            <w:proofErr w:type="spellEnd"/>
            <w:r w:rsidRPr="00993A7C">
              <w:t>) and the National Occupational Standards (NOS). This research-driven approach ensures that the curriculum is aligned with employer demands.</w:t>
            </w:r>
          </w:p>
          <w:p w14:paraId="5A522A02" w14:textId="77777777" w:rsidR="00D13ABB" w:rsidRDefault="00D13ABB" w:rsidP="00561AD5">
            <w:pPr>
              <w:jc w:val="both"/>
            </w:pPr>
            <w:r w:rsidRPr="00993A7C">
              <w:t>Additionally, the choice to transition the module from a teacher-centred approach to a flipped learning model demonstrates responsiveness to modern educational trends. This method enhances accessibility, particularly for apprentices who are balancing employment with academic study. The inclusion of real-world applications, hands-on experiments, and field trips strengthens the justification for the curriculum by ensuring it bridges the gap between theoretical knowledge and industry practice.</w:t>
            </w:r>
          </w:p>
          <w:p w14:paraId="1D227F45" w14:textId="77777777" w:rsidR="00D13ABB" w:rsidRPr="00993A7C" w:rsidRDefault="00D13ABB" w:rsidP="00561AD5">
            <w:pPr>
              <w:jc w:val="both"/>
            </w:pPr>
          </w:p>
          <w:p w14:paraId="4F794D29" w14:textId="77777777" w:rsidR="00D13ABB" w:rsidRDefault="00D13ABB" w:rsidP="00561AD5">
            <w:pPr>
              <w:jc w:val="both"/>
              <w:rPr>
                <w:b/>
                <w:bCs/>
              </w:rPr>
            </w:pPr>
            <w:r w:rsidRPr="00993A7C">
              <w:rPr>
                <w:b/>
                <w:bCs/>
              </w:rPr>
              <w:t>Constructive Feedback:</w:t>
            </w:r>
          </w:p>
          <w:p w14:paraId="7B920897" w14:textId="77777777" w:rsidR="00D13ABB" w:rsidRPr="00917CA5" w:rsidRDefault="00D13ABB" w:rsidP="00561AD5">
            <w:pPr>
              <w:jc w:val="both"/>
            </w:pPr>
            <w:r w:rsidRPr="00917CA5">
              <w:t>While the justification is well-founded, it could be strengthened by providing more concrete evidence on how flipped learning models have improved knowledge retention and engagement in similar chemistry-based apprenticeship programmes. Including case studies or examples from existing training schemes would help illustrate the real-world benefits.</w:t>
            </w:r>
          </w:p>
          <w:p w14:paraId="0C7CECF6" w14:textId="42EB5430" w:rsidR="00D13ABB" w:rsidRDefault="00D13ABB" w:rsidP="0097481E">
            <w:pPr>
              <w:jc w:val="both"/>
            </w:pPr>
            <w:r w:rsidRPr="00917CA5">
              <w:t>Additionally, outlining how this module fits within the broader BEng degree programme could provide a clearer picture of its contribution to students' overall learning journey. This would help potential learners and employers understand how it supports progression into advanced study or employment.</w:t>
            </w:r>
          </w:p>
        </w:tc>
      </w:tr>
    </w:tbl>
    <w:p w14:paraId="744FE718" w14:textId="77777777" w:rsidR="00D13ABB" w:rsidRDefault="00D13ABB" w:rsidP="00D13ABB">
      <w:pPr>
        <w:jc w:val="both"/>
      </w:pPr>
    </w:p>
    <w:p w14:paraId="38617C34" w14:textId="77777777" w:rsidR="00D13ABB" w:rsidRDefault="00D13ABB" w:rsidP="00D13ABB">
      <w:pPr>
        <w:jc w:val="both"/>
      </w:pPr>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D13ABB" w14:paraId="325D80FC" w14:textId="77777777" w:rsidTr="00561AD5">
        <w:tc>
          <w:tcPr>
            <w:tcW w:w="9015" w:type="dxa"/>
          </w:tcPr>
          <w:p w14:paraId="4389C26F" w14:textId="77777777" w:rsidR="00D13ABB" w:rsidRDefault="00D13ABB" w:rsidP="00561AD5">
            <w:pPr>
              <w:jc w:val="both"/>
              <w:rPr>
                <w:b/>
                <w:bCs/>
              </w:rPr>
            </w:pPr>
            <w:r w:rsidRPr="00993A7C">
              <w:rPr>
                <w:b/>
                <w:bCs/>
              </w:rPr>
              <w:t>Positive Aspects:</w:t>
            </w:r>
          </w:p>
          <w:p w14:paraId="16F4EA54" w14:textId="77777777" w:rsidR="00D13ABB" w:rsidRPr="00993A7C" w:rsidRDefault="00D13ABB" w:rsidP="00561AD5">
            <w:pPr>
              <w:jc w:val="both"/>
            </w:pPr>
            <w:r w:rsidRPr="00993A7C">
              <w:t>The curriculum's aims and objectives are well-structured and clearly aligned with the professional and academic standards of both chemistry and engineering disciplines. They emphasize not only subject-specific knowledge</w:t>
            </w:r>
            <w:r>
              <w:t xml:space="preserve">, </w:t>
            </w:r>
            <w:r w:rsidRPr="00993A7C">
              <w:t>such as atomic structure, bonding, and chemical reactions</w:t>
            </w:r>
            <w:r>
              <w:t xml:space="preserve">, </w:t>
            </w:r>
            <w:r w:rsidRPr="00993A7C">
              <w:t>but also essential transferable skills, including critical thinking, teamwork, and problem-solving. The focus on safety in handling hazardous materials is particularly commendable, as it is directly relevant to the professional responsibilities of OME specialists.</w:t>
            </w:r>
          </w:p>
          <w:p w14:paraId="7CCB5A61" w14:textId="442853FE" w:rsidR="00D13ABB" w:rsidRDefault="00D13ABB" w:rsidP="0097481E">
            <w:pPr>
              <w:jc w:val="both"/>
            </w:pPr>
            <w:r w:rsidRPr="00993A7C">
              <w:t>Furthermore, the use of hands-on laboratory experiments and case studies ensures that apprentices develop practical skills alongside theoretical understanding. This aligns well with the needs of a cohort that is likely to include individuals with varying levels of prior chemistry knowledge. The integration of sustainability principles within the learning outcomes also reflects a forward-thinking approach that aligns with broader industry and regulatory priorities.</w:t>
            </w:r>
          </w:p>
          <w:p w14:paraId="3EC9B367" w14:textId="77777777" w:rsidR="0097481E" w:rsidRPr="00993A7C" w:rsidRDefault="0097481E" w:rsidP="0097481E">
            <w:pPr>
              <w:jc w:val="both"/>
            </w:pPr>
          </w:p>
          <w:p w14:paraId="205740B0" w14:textId="77777777" w:rsidR="00D13ABB" w:rsidRDefault="00D13ABB" w:rsidP="00561AD5">
            <w:pPr>
              <w:jc w:val="both"/>
              <w:rPr>
                <w:b/>
                <w:bCs/>
              </w:rPr>
            </w:pPr>
            <w:r w:rsidRPr="00993A7C">
              <w:rPr>
                <w:b/>
                <w:bCs/>
              </w:rPr>
              <w:lastRenderedPageBreak/>
              <w:t>Constructive Feedback:</w:t>
            </w:r>
          </w:p>
          <w:p w14:paraId="4E5966BF" w14:textId="77777777" w:rsidR="00D13ABB" w:rsidRPr="00917CA5" w:rsidRDefault="00D13ABB" w:rsidP="00561AD5">
            <w:pPr>
              <w:jc w:val="both"/>
            </w:pPr>
            <w:r w:rsidRPr="00917CA5">
              <w:t>The objectives could be made more specific and measurable, particularly in terms of what students are expected to achieve by the end of the course. For instance, rather than stating that students will develop "safe and effective" laboratory practices, it would be clearer to define what competency levels they should reach and how these will be assessed.</w:t>
            </w:r>
          </w:p>
          <w:p w14:paraId="3D9904E4" w14:textId="27F4D987" w:rsidR="00D13ABB" w:rsidRDefault="00D13ABB" w:rsidP="00D13ABB">
            <w:pPr>
              <w:jc w:val="both"/>
            </w:pPr>
            <w:r w:rsidRPr="00917CA5">
              <w:t>Additionally, while the curriculum supports skills development, it could explicitly outline pathways for career progression. Including details on how this module prepares students for further study, industry accreditation, or specific job roles would enhance its value for learners who are planning their next steps.</w:t>
            </w:r>
          </w:p>
        </w:tc>
      </w:tr>
    </w:tbl>
    <w:p w14:paraId="482A1B70" w14:textId="77777777" w:rsidR="00D13ABB" w:rsidRDefault="00D13ABB" w:rsidP="00D13ABB">
      <w:pPr>
        <w:jc w:val="both"/>
      </w:pPr>
    </w:p>
    <w:p w14:paraId="126B7401" w14:textId="77777777" w:rsidR="00D13ABB" w:rsidRDefault="00D13ABB" w:rsidP="00D13ABB">
      <w:pPr>
        <w:jc w:val="both"/>
      </w:pPr>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D13ABB" w14:paraId="5E3E7969" w14:textId="77777777" w:rsidTr="00561AD5">
        <w:tc>
          <w:tcPr>
            <w:tcW w:w="9015" w:type="dxa"/>
          </w:tcPr>
          <w:p w14:paraId="2CCE0143" w14:textId="77777777" w:rsidR="00D13ABB" w:rsidRDefault="00D13ABB" w:rsidP="00561AD5">
            <w:pPr>
              <w:jc w:val="both"/>
              <w:rPr>
                <w:b/>
                <w:bCs/>
              </w:rPr>
            </w:pPr>
            <w:r w:rsidRPr="00993A7C">
              <w:rPr>
                <w:b/>
                <w:bCs/>
              </w:rPr>
              <w:t>Positive Aspects:</w:t>
            </w:r>
          </w:p>
          <w:p w14:paraId="761341ED" w14:textId="77777777" w:rsidR="00D13ABB" w:rsidRPr="00993A7C" w:rsidRDefault="00D13ABB" w:rsidP="00561AD5">
            <w:pPr>
              <w:jc w:val="both"/>
            </w:pPr>
            <w:r w:rsidRPr="00993A7C">
              <w:t>The curriculum is well-structured, ensuring a balanced mix of theoretical instruction, hands-on laboratory work, and industry engagement. The integration of flipped learning is particularly effective, as it allows students to engage with fundamental concepts before applying them in interactive classroom settings. This is an excellent strategy for apprentices who may have different levels of prior knowledge and require flexible learning pathways.</w:t>
            </w:r>
          </w:p>
          <w:p w14:paraId="5BD51217" w14:textId="77777777" w:rsidR="00D13ABB" w:rsidRDefault="00D13ABB" w:rsidP="00561AD5">
            <w:pPr>
              <w:jc w:val="both"/>
            </w:pPr>
            <w:r w:rsidRPr="00993A7C">
              <w:t>The structure also successfully combines foundational chemistry concepts</w:t>
            </w:r>
            <w:r>
              <w:t xml:space="preserve">, </w:t>
            </w:r>
            <w:r w:rsidRPr="00993A7C">
              <w:t>such as atomic structure, reaction kinetics, and stoichiometry</w:t>
            </w:r>
            <w:r>
              <w:t xml:space="preserve">, </w:t>
            </w:r>
            <w:r w:rsidRPr="00993A7C">
              <w:t>with industry-specific applications, including explosives safety and material stability. The inclusion of a field trip to an OME facility enhances real-world learning, ensuring that students see the direct application of theoretical concepts in professional settings. The programme's two-week intensive blocks further support focused learning while allowing for independent study between sessions.</w:t>
            </w:r>
          </w:p>
          <w:p w14:paraId="1823D2E7" w14:textId="77777777" w:rsidR="00D13ABB" w:rsidRPr="00993A7C" w:rsidRDefault="00D13ABB" w:rsidP="00561AD5">
            <w:pPr>
              <w:jc w:val="both"/>
            </w:pPr>
          </w:p>
          <w:p w14:paraId="315E9387" w14:textId="77777777" w:rsidR="00D13ABB" w:rsidRDefault="00D13ABB" w:rsidP="00561AD5">
            <w:pPr>
              <w:jc w:val="both"/>
              <w:rPr>
                <w:b/>
                <w:bCs/>
              </w:rPr>
            </w:pPr>
            <w:r w:rsidRPr="00993A7C">
              <w:rPr>
                <w:b/>
                <w:bCs/>
              </w:rPr>
              <w:t>Constructive Feedback:</w:t>
            </w:r>
          </w:p>
          <w:p w14:paraId="144E70F2" w14:textId="77777777" w:rsidR="00D13ABB" w:rsidRPr="00917CA5" w:rsidRDefault="00D13ABB" w:rsidP="00561AD5">
            <w:pPr>
              <w:jc w:val="both"/>
            </w:pPr>
            <w:r w:rsidRPr="00917CA5">
              <w:t>While the structure is well-planned, more detail on how students with different levels of prior chemistry knowledge will be supported would be beneficial. Will additional resources or revision sessions be provided for those with limited background knowledge?</w:t>
            </w:r>
          </w:p>
          <w:p w14:paraId="2C5F4749" w14:textId="057C197B" w:rsidR="00D13ABB" w:rsidRDefault="00D13ABB" w:rsidP="0097481E">
            <w:pPr>
              <w:jc w:val="both"/>
            </w:pPr>
            <w:r w:rsidRPr="00917CA5">
              <w:t>Additionally, given the high-risk nature of some of the practical activities, it would be helpful to outline more structured competency checks before students engage in hands-on work. This could ensure that safety standards are met and that students are adequately prepared before handling hazardous materials.</w:t>
            </w:r>
          </w:p>
        </w:tc>
      </w:tr>
    </w:tbl>
    <w:p w14:paraId="1DC48C56" w14:textId="77777777" w:rsidR="00D13ABB" w:rsidRDefault="00D13ABB" w:rsidP="00D13ABB">
      <w:pPr>
        <w:jc w:val="both"/>
      </w:pPr>
    </w:p>
    <w:p w14:paraId="184874E5" w14:textId="77777777" w:rsidR="00D13ABB" w:rsidRDefault="00D13ABB" w:rsidP="00D13ABB">
      <w:pPr>
        <w:jc w:val="both"/>
      </w:pPr>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D13ABB" w14:paraId="33E8B5E4" w14:textId="77777777" w:rsidTr="00561AD5">
        <w:tc>
          <w:tcPr>
            <w:tcW w:w="9015" w:type="dxa"/>
          </w:tcPr>
          <w:p w14:paraId="10AA762D" w14:textId="77777777" w:rsidR="00D13ABB" w:rsidRDefault="00D13ABB" w:rsidP="00561AD5">
            <w:pPr>
              <w:jc w:val="both"/>
              <w:rPr>
                <w:b/>
                <w:bCs/>
              </w:rPr>
            </w:pPr>
            <w:r w:rsidRPr="005E3AD2">
              <w:rPr>
                <w:b/>
                <w:bCs/>
              </w:rPr>
              <w:t>Positive Aspects:</w:t>
            </w:r>
          </w:p>
          <w:p w14:paraId="76844F12" w14:textId="77777777" w:rsidR="00D13ABB" w:rsidRPr="005E3AD2" w:rsidRDefault="00D13ABB" w:rsidP="00561AD5">
            <w:pPr>
              <w:jc w:val="both"/>
            </w:pPr>
            <w:r w:rsidRPr="005E3AD2">
              <w:t>The curriculum is well-aligned with key professional and academic benchmarks, ensuring credibility and relevance within the field. It references the QAA Subject Benchmark Statements for Chemistry and Engineering, the Institute for Apprenticeships and Technical Education (</w:t>
            </w:r>
            <w:proofErr w:type="spellStart"/>
            <w:r w:rsidRPr="005E3AD2">
              <w:t>IfATE</w:t>
            </w:r>
            <w:proofErr w:type="spellEnd"/>
            <w:r w:rsidRPr="005E3AD2">
              <w:t>) Standards, and accreditation criteria from the Institute of Explosives Engineers (</w:t>
            </w:r>
            <w:proofErr w:type="spellStart"/>
            <w:r w:rsidRPr="005E3AD2">
              <w:t>IExpE</w:t>
            </w:r>
            <w:proofErr w:type="spellEnd"/>
            <w:r w:rsidRPr="005E3AD2">
              <w:t>). These alignments ensure that the module not only meets academic expectations but also prepares students for industry-recognised qualifications and employment.</w:t>
            </w:r>
          </w:p>
          <w:p w14:paraId="4CDA649E" w14:textId="77777777" w:rsidR="00D13ABB" w:rsidRDefault="00D13ABB" w:rsidP="00561AD5">
            <w:pPr>
              <w:jc w:val="both"/>
            </w:pPr>
            <w:r w:rsidRPr="005E3AD2">
              <w:t xml:space="preserve">Moreover, the curriculum demonstrates an understanding of sustainability and safety considerations by integrating principles from the Well-being of Future Generations (Wales) </w:t>
            </w:r>
            <w:r w:rsidRPr="005E3AD2">
              <w:lastRenderedPageBreak/>
              <w:t>Act, which is highly relevant given the environmental impact of explosives and hazardous materials. The focus on risk assessment and hazard evaluation aligns with professional competency requirements, ensuring that students develop the skills needed to operate safely in high-risk environments.</w:t>
            </w:r>
          </w:p>
          <w:p w14:paraId="7152DDA2" w14:textId="77777777" w:rsidR="00D13ABB" w:rsidRPr="005E3AD2" w:rsidRDefault="00D13ABB" w:rsidP="00561AD5">
            <w:pPr>
              <w:jc w:val="both"/>
            </w:pPr>
          </w:p>
          <w:p w14:paraId="130D80B2" w14:textId="77777777" w:rsidR="00D13ABB" w:rsidRDefault="00D13ABB" w:rsidP="00561AD5">
            <w:pPr>
              <w:jc w:val="both"/>
              <w:rPr>
                <w:b/>
                <w:bCs/>
              </w:rPr>
            </w:pPr>
            <w:r w:rsidRPr="005E3AD2">
              <w:rPr>
                <w:b/>
                <w:bCs/>
              </w:rPr>
              <w:t>Constructive Feedback:</w:t>
            </w:r>
          </w:p>
          <w:p w14:paraId="080EF56C" w14:textId="77777777" w:rsidR="00D13ABB" w:rsidRPr="00917CA5" w:rsidRDefault="00D13ABB" w:rsidP="00561AD5">
            <w:pPr>
              <w:jc w:val="both"/>
            </w:pPr>
            <w:r w:rsidRPr="00917CA5">
              <w:t>One improvement could be to provide a clearer breakdown of how each element of the curriculum aligns with specific professional standards. For example, explicitly mapping different learning outcomes to the QAA Chemistry Subject Benchmark would help clarify how the programme meets national education requirements.</w:t>
            </w:r>
          </w:p>
          <w:p w14:paraId="69F69616" w14:textId="5E40B73A" w:rsidR="00D13ABB" w:rsidRDefault="00D13ABB" w:rsidP="0097481E">
            <w:pPr>
              <w:jc w:val="both"/>
            </w:pPr>
            <w:r w:rsidRPr="00917CA5">
              <w:t>Additionally, exploring how the curriculum aligns with international safety standards in explosives handling could add further value, particularly for apprentices who may pursue careers in global industries.</w:t>
            </w:r>
          </w:p>
        </w:tc>
      </w:tr>
    </w:tbl>
    <w:p w14:paraId="0196B4E3" w14:textId="77777777" w:rsidR="00D13ABB" w:rsidRDefault="00D13ABB" w:rsidP="00D13ABB">
      <w:pPr>
        <w:jc w:val="both"/>
      </w:pPr>
    </w:p>
    <w:p w14:paraId="0DA61FC4" w14:textId="77777777" w:rsidR="00D13ABB" w:rsidRDefault="00D13ABB" w:rsidP="00D13ABB">
      <w:pPr>
        <w:jc w:val="both"/>
      </w:pPr>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D13ABB" w14:paraId="44E1D5B3" w14:textId="77777777" w:rsidTr="00561AD5">
        <w:tc>
          <w:tcPr>
            <w:tcW w:w="9015" w:type="dxa"/>
          </w:tcPr>
          <w:p w14:paraId="35B78E06" w14:textId="77777777" w:rsidR="00D13ABB" w:rsidRPr="005E3AD2" w:rsidRDefault="00D13ABB" w:rsidP="00561AD5">
            <w:pPr>
              <w:jc w:val="both"/>
            </w:pPr>
            <w:r w:rsidRPr="005E3AD2">
              <w:t>The scheme of work is well-structured, incorporating a range of teaching methodologies that cater to different learning styles. The flipped learning model ensures that in-class time is used efficiently, allowing students to engage in discussions, problem-solving activities, and laboratory work. The curriculum's integration of real-world applications such as guest lectures, site visits, and industry case studies strengthens its vocational relevance.</w:t>
            </w:r>
          </w:p>
          <w:p w14:paraId="5DD045C2" w14:textId="77777777" w:rsidR="00D13ABB" w:rsidRPr="005E3AD2" w:rsidRDefault="00D13ABB" w:rsidP="00561AD5">
            <w:pPr>
              <w:jc w:val="both"/>
            </w:pPr>
            <w:r w:rsidRPr="005E3AD2">
              <w:t>Each session follows a logical progression, starting with fundamental chemistry principles before advancing into more complex applications. The balance between lecture-based learning, practical experiments, and assessments ensures that students are continuously engaged and their learning is reinforced. The inclusion of pre-class activities, such as video tutorials and quizzes, encourages independent study and prepares students for interactive learning sessions.</w:t>
            </w:r>
          </w:p>
          <w:p w14:paraId="1AF50587" w14:textId="3DB3C66A" w:rsidR="00D13ABB" w:rsidRDefault="00D13ABB" w:rsidP="0097481E">
            <w:pPr>
              <w:jc w:val="both"/>
            </w:pPr>
            <w:r w:rsidRPr="005E3AD2">
              <w:t>However, the scheme of work could be further enhanced by incorporating more opportunities for peer learning and group assessments. Given that teamwork is a key skill in the OME industry, activities such as collaborative lab reports or case study discussions could be integrated to reinforce team-based problem-solving. Additionally, considering the safety risks involved in handling explosives-related materials, more explicit competency checks before engaging in lab work could be introduced to ensure readiness.</w:t>
            </w:r>
          </w:p>
        </w:tc>
      </w:tr>
    </w:tbl>
    <w:p w14:paraId="26CFFCB6" w14:textId="77777777" w:rsidR="00D13ABB" w:rsidRDefault="00D13ABB" w:rsidP="00D13ABB">
      <w:pPr>
        <w:jc w:val="both"/>
      </w:pPr>
    </w:p>
    <w:p w14:paraId="141E8CF0" w14:textId="77777777" w:rsidR="00D13ABB" w:rsidRDefault="00D13ABB" w:rsidP="00D13ABB">
      <w:pPr>
        <w:jc w:val="both"/>
      </w:pPr>
      <w:r>
        <w:t>Anything else that you would like to comment on?</w:t>
      </w:r>
    </w:p>
    <w:tbl>
      <w:tblPr>
        <w:tblStyle w:val="TableGrid"/>
        <w:tblW w:w="0" w:type="auto"/>
        <w:tblLayout w:type="fixed"/>
        <w:tblLook w:val="06A0" w:firstRow="1" w:lastRow="0" w:firstColumn="1" w:lastColumn="0" w:noHBand="1" w:noVBand="1"/>
      </w:tblPr>
      <w:tblGrid>
        <w:gridCol w:w="9015"/>
      </w:tblGrid>
      <w:tr w:rsidR="00D13ABB" w14:paraId="524C14B5" w14:textId="77777777" w:rsidTr="00561AD5">
        <w:tc>
          <w:tcPr>
            <w:tcW w:w="9015" w:type="dxa"/>
          </w:tcPr>
          <w:p w14:paraId="05C93282" w14:textId="77777777" w:rsidR="00D13ABB" w:rsidRPr="005E3AD2" w:rsidRDefault="00D13ABB" w:rsidP="00561AD5">
            <w:pPr>
              <w:jc w:val="both"/>
            </w:pPr>
            <w:r w:rsidRPr="005E3AD2">
              <w:t xml:space="preserve">Overall, the curriculum </w:t>
            </w:r>
            <w:r>
              <w:t>seems</w:t>
            </w:r>
            <w:r w:rsidRPr="005E3AD2">
              <w:t xml:space="preserve"> relevant, well-structured, and effectively aligned with industry standards. The transition to a flipped learning model is particularly innovative and suits the needs of apprentices who are balancing academic study with professional responsibilities. The curriculum successfully integrates theoretical knowledge with practical applications, ensuring that students gain hands-on experience in laboratory environments while also understanding industry best practices.</w:t>
            </w:r>
          </w:p>
          <w:p w14:paraId="12A34B85" w14:textId="77777777" w:rsidR="00D13ABB" w:rsidRPr="005E3AD2" w:rsidRDefault="00D13ABB" w:rsidP="00561AD5">
            <w:pPr>
              <w:jc w:val="both"/>
            </w:pPr>
            <w:r w:rsidRPr="005E3AD2">
              <w:t>One of the programme’s greatest strengths is its focus on safety and risk assessment, which is essential for a field involving hazardous materials. The emphasis on problem-solving, sustainability, and real-world applications ensures that graduates are well-prepared for professional roles in the OME sector. The inclusion of field trips and guest lectures further enhances the learning experience by exposing students to industry professionals and real-</w:t>
            </w:r>
            <w:r w:rsidRPr="005E3AD2">
              <w:lastRenderedPageBreak/>
              <w:t>world applications of chemistry.</w:t>
            </w:r>
          </w:p>
          <w:p w14:paraId="188F736E" w14:textId="324D1CAA" w:rsidR="00D13ABB" w:rsidRDefault="00D13ABB" w:rsidP="0097481E">
            <w:pPr>
              <w:jc w:val="both"/>
            </w:pPr>
            <w:r w:rsidRPr="005E3AD2">
              <w:t xml:space="preserve">Future developments could include expanding digital resources, such as interactive simulations or virtual lab experiences, to complement practical learning. Additionally, greater collaboration with industry partners in the form of guest workshops or work placements could provide students with even more exposure to real-world industry challenges. </w:t>
            </w:r>
          </w:p>
        </w:tc>
      </w:tr>
    </w:tbl>
    <w:p w14:paraId="70F98B75" w14:textId="77777777" w:rsidR="009F1933" w:rsidRDefault="009F1933" w:rsidP="009F1933"/>
    <w:p w14:paraId="227AF6D0" w14:textId="77777777" w:rsidR="009F1933" w:rsidRPr="009F1933" w:rsidRDefault="009F1933" w:rsidP="009F1933"/>
    <w:p w14:paraId="155FFC47" w14:textId="77777777" w:rsidR="00D13ABB" w:rsidRDefault="00D13ABB" w:rsidP="006E12DF">
      <w:pPr>
        <w:pStyle w:val="Heading2"/>
      </w:pPr>
      <w:r>
        <w:br w:type="page"/>
      </w:r>
    </w:p>
    <w:p w14:paraId="786AF112" w14:textId="46646ABF" w:rsidR="006E12DF" w:rsidRPr="00603DBC" w:rsidRDefault="006E12DF" w:rsidP="006E12DF">
      <w:pPr>
        <w:pStyle w:val="Heading2"/>
      </w:pPr>
      <w:bookmarkStart w:id="12" w:name="_Toc191035403"/>
      <w:r w:rsidRPr="00603DBC">
        <w:lastRenderedPageBreak/>
        <w:t>Appendix 3: Mindfulness for Healthcare Workers (Project 14)</w:t>
      </w:r>
      <w:bookmarkEnd w:id="12"/>
    </w:p>
    <w:p w14:paraId="32942E23" w14:textId="77777777" w:rsidR="006C0F00" w:rsidRDefault="006C0F00" w:rsidP="006C0F00">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6C0F00" w14:paraId="7366B5DF" w14:textId="77777777" w:rsidTr="00561AD5">
        <w:tc>
          <w:tcPr>
            <w:tcW w:w="9015" w:type="dxa"/>
          </w:tcPr>
          <w:p w14:paraId="0BD2AEF2" w14:textId="7D505971" w:rsidR="006C0F00" w:rsidRPr="009F6DA2" w:rsidRDefault="006C0F00" w:rsidP="006C0F00">
            <w:r>
              <w:t xml:space="preserve"> </w:t>
            </w:r>
            <w:r w:rsidRPr="009F6DA2">
              <w:rPr>
                <w:b/>
                <w:bCs/>
              </w:rPr>
              <w:t>Positive Aspects:</w:t>
            </w:r>
            <w:r w:rsidRPr="009F6DA2">
              <w:br/>
              <w:t>This curriculum does a great job of identifying the pressing issue of stress and burnout among healthcare workers. The rationale is clear, and it makes a strong case for why mindfulness training is a valuable tool for improving well-being in the sector. What stands out is the way it acknowledges the unique challenges healthcare staff face, such as high-pressure environments, unpredictable schedules, and emotional fatigue.</w:t>
            </w:r>
          </w:p>
          <w:p w14:paraId="2C8E393B" w14:textId="77777777" w:rsidR="006C0F00" w:rsidRDefault="006C0F00" w:rsidP="00561AD5">
            <w:r w:rsidRPr="009F6DA2">
              <w:t>It's also great to see a focus on accessibility, with both online and in-person options making it easier for busy professionals to take part. The curriculum ensures that participants not only learn about mindfulness but also how to apply it in their daily routines, which is essential for making a lasting impact.</w:t>
            </w:r>
          </w:p>
          <w:p w14:paraId="67365290" w14:textId="77777777" w:rsidR="006C0F00" w:rsidRPr="009F6DA2" w:rsidRDefault="006C0F00" w:rsidP="00561AD5"/>
          <w:p w14:paraId="2A0A5F1E" w14:textId="77777777" w:rsidR="006C0F00" w:rsidRPr="009F6DA2" w:rsidRDefault="006C0F00" w:rsidP="00561AD5">
            <w:r w:rsidRPr="009F6DA2">
              <w:rPr>
                <w:b/>
                <w:bCs/>
              </w:rPr>
              <w:t>Constructive Feedback:</w:t>
            </w:r>
            <w:r w:rsidRPr="009F6DA2">
              <w:br/>
              <w:t>The justification could be even stronger with more specific data on how stress affects healthcare workers and the proven benefits of mindfulness interventions. It might also be useful to reference successful case studies from similar training programmes to show the impact mindfulness can have.</w:t>
            </w:r>
          </w:p>
          <w:p w14:paraId="0A6F85A5" w14:textId="15B59BDA" w:rsidR="006C0F00" w:rsidRDefault="006C0F00" w:rsidP="006C0F00">
            <w:r w:rsidRPr="009F6DA2">
              <w:t>Another area to think about is potential challenges in engagement. Given the demanding nature of healthcare work, some participants may struggle to commit to the full programme. It would be useful to consider strategies to keep engagement high and make it as practical as possible for those juggling work and personal commitments.</w:t>
            </w:r>
          </w:p>
        </w:tc>
      </w:tr>
    </w:tbl>
    <w:p w14:paraId="465C2F49" w14:textId="77777777" w:rsidR="006C0F00" w:rsidRDefault="006C0F00" w:rsidP="006C0F00"/>
    <w:p w14:paraId="598EE659" w14:textId="77777777" w:rsidR="006C0F00" w:rsidRDefault="006C0F00" w:rsidP="006C0F00">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6C0F00" w14:paraId="384C5C0A" w14:textId="77777777" w:rsidTr="00561AD5">
        <w:tc>
          <w:tcPr>
            <w:tcW w:w="9015" w:type="dxa"/>
          </w:tcPr>
          <w:p w14:paraId="4512E8FD" w14:textId="77777777" w:rsidR="006C0F00" w:rsidRPr="009F6DA2" w:rsidRDefault="006C0F00" w:rsidP="00561AD5">
            <w:r w:rsidRPr="009F6DA2">
              <w:rPr>
                <w:b/>
                <w:bCs/>
              </w:rPr>
              <w:t>Positive Aspects:</w:t>
            </w:r>
            <w:r w:rsidRPr="009F6DA2">
              <w:br/>
              <w:t>The aims are clear and well thought out, with a strong emphasis on resilience, stress management, and emotional intelligence. The balance between theory and practice is a real strength, as it ensures that participants not only understand mindfulness but also feel confident using it in their day-to-day roles.</w:t>
            </w:r>
          </w:p>
          <w:p w14:paraId="018106BC" w14:textId="77777777" w:rsidR="006C0F00" w:rsidRDefault="006C0F00" w:rsidP="00561AD5">
            <w:r w:rsidRPr="009F6DA2">
              <w:t>It's also great to see that the programme encourages long-term habit formation, helping participants to develop mindfulness techniques they can use well beyond the six-week course. This is essential for ensuring that the benefits continue long after the training ends.</w:t>
            </w:r>
          </w:p>
          <w:p w14:paraId="4DEBFF16" w14:textId="77777777" w:rsidR="006C0F00" w:rsidRPr="009F6DA2" w:rsidRDefault="006C0F00" w:rsidP="00561AD5"/>
          <w:p w14:paraId="71A5CFF3" w14:textId="77777777" w:rsidR="006C0F00" w:rsidRPr="009F6DA2" w:rsidRDefault="006C0F00" w:rsidP="00561AD5">
            <w:r w:rsidRPr="009F6DA2">
              <w:rPr>
                <w:b/>
                <w:bCs/>
              </w:rPr>
              <w:t>Constructive Feedback:</w:t>
            </w:r>
            <w:r w:rsidRPr="009F6DA2">
              <w:br/>
              <w:t>The objectives could be made more measurable, perhaps by outlining how success will be assessed. For example, rather than just aiming to improve stress management, the curriculum could define how participants will demonstrate this improvement, whether through self-assessments or facilitator observations.</w:t>
            </w:r>
          </w:p>
          <w:p w14:paraId="64089516" w14:textId="2483AAFB" w:rsidR="006C0F00" w:rsidRDefault="006C0F00" w:rsidP="006C0F00">
            <w:r w:rsidRPr="009F6DA2">
              <w:t>It might also help to include more detail on how emotional intelligence and resilience will be developed. While these are important skills, they can be quite broad, so breaking them down into specific learning outcomes would make them easier to track. Finally, offering optional follow-up support or refresher sessions could help participants maintain their mindfulness practice beyond the initial programme.</w:t>
            </w:r>
          </w:p>
        </w:tc>
      </w:tr>
    </w:tbl>
    <w:p w14:paraId="6473B1EA" w14:textId="77777777" w:rsidR="006C0F00" w:rsidRDefault="006C0F00" w:rsidP="006C0F00"/>
    <w:p w14:paraId="457D4662" w14:textId="77777777" w:rsidR="006C0F00" w:rsidRDefault="006C0F00" w:rsidP="006C0F00">
      <w:r>
        <w:lastRenderedPageBreak/>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6C0F00" w14:paraId="3C99A27C" w14:textId="77777777" w:rsidTr="00561AD5">
        <w:tc>
          <w:tcPr>
            <w:tcW w:w="9015" w:type="dxa"/>
          </w:tcPr>
          <w:p w14:paraId="7201F869" w14:textId="77777777" w:rsidR="006C0F00" w:rsidRPr="009F6DA2" w:rsidRDefault="006C0F00" w:rsidP="00561AD5">
            <w:r w:rsidRPr="009F6DA2">
              <w:rPr>
                <w:b/>
                <w:bCs/>
              </w:rPr>
              <w:t>Positive Aspects:</w:t>
            </w:r>
            <w:r w:rsidRPr="009F6DA2">
              <w:br/>
              <w:t>The structure of the programme makes sense, with each session building on the last in a logical way. Starting with foundational mindfulness principles and gradually moving into real-world applications ensures that participants get a solid grounding before tackling more complex topics.</w:t>
            </w:r>
          </w:p>
          <w:p w14:paraId="50A3DA0A" w14:textId="77777777" w:rsidR="006C0F00" w:rsidRPr="009F6DA2" w:rsidRDefault="006C0F00" w:rsidP="00561AD5">
            <w:r w:rsidRPr="009F6DA2">
              <w:t>The six-week format is a practical length</w:t>
            </w:r>
            <w:r>
              <w:t xml:space="preserve">, </w:t>
            </w:r>
            <w:r w:rsidRPr="009F6DA2">
              <w:t>long enough to be meaningful but not so long that it feels overwhelming. The combination of theoretical learning, practical exercises, and reflective activities also caters to different learning styles, which is a real strength.</w:t>
            </w:r>
          </w:p>
          <w:p w14:paraId="38F0A240" w14:textId="77777777" w:rsidR="006C0F00" w:rsidRDefault="006C0F00" w:rsidP="00561AD5">
            <w:r w:rsidRPr="009F6DA2">
              <w:t>Offering both online and in-person delivery makes the programme more accessible, and the inclusion of group discussions helps to create a sense of community, which is particularly valuable in a healthcare setting.</w:t>
            </w:r>
          </w:p>
          <w:p w14:paraId="028D4B51" w14:textId="77777777" w:rsidR="006C0F00" w:rsidRPr="009F6DA2" w:rsidRDefault="006C0F00" w:rsidP="00561AD5"/>
          <w:p w14:paraId="018F22A5" w14:textId="77777777" w:rsidR="006C0F00" w:rsidRPr="009F6DA2" w:rsidRDefault="006C0F00" w:rsidP="00561AD5">
            <w:r w:rsidRPr="009F6DA2">
              <w:rPr>
                <w:b/>
                <w:bCs/>
              </w:rPr>
              <w:t>Constructive Feedback:</w:t>
            </w:r>
            <w:r w:rsidRPr="009F6DA2">
              <w:br/>
              <w:t>One thing to consider is how to support participants in continuing their mindfulness practice once the programme has ended. Could there be optional check-ins or follow-up sessions to help maintain engagement?</w:t>
            </w:r>
          </w:p>
          <w:p w14:paraId="4773B2A8" w14:textId="3275E85E" w:rsidR="006C0F00" w:rsidRDefault="006C0F00" w:rsidP="006C0F00">
            <w:r w:rsidRPr="009F6DA2">
              <w:t>Another area for refinement could be making sure that the structure allows flexibility for those with particularly demanding schedules. If participants miss a session, is there an easy way for them to catch up? Providing short, digestible mindfulness exercises that can be fitted into busy shifts might help with this.</w:t>
            </w:r>
          </w:p>
        </w:tc>
      </w:tr>
    </w:tbl>
    <w:p w14:paraId="6CFB4583" w14:textId="77777777" w:rsidR="006C0F00" w:rsidRDefault="006C0F00" w:rsidP="006C0F00"/>
    <w:p w14:paraId="7EA6A3F4" w14:textId="77777777" w:rsidR="006C0F00" w:rsidRDefault="006C0F00" w:rsidP="006C0F00">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6C0F00" w14:paraId="679A2F33" w14:textId="77777777" w:rsidTr="00561AD5">
        <w:tc>
          <w:tcPr>
            <w:tcW w:w="9015" w:type="dxa"/>
          </w:tcPr>
          <w:p w14:paraId="6AB8C6DA" w14:textId="77777777" w:rsidR="006C0F00" w:rsidRPr="009F6DA2" w:rsidRDefault="006C0F00" w:rsidP="00561AD5">
            <w:r w:rsidRPr="009F6DA2">
              <w:rPr>
                <w:b/>
                <w:bCs/>
              </w:rPr>
              <w:t>Positive Aspects:</w:t>
            </w:r>
            <w:r w:rsidRPr="009F6DA2">
              <w:br/>
              <w:t xml:space="preserve">It's great to see that the curriculum aligns with Welsh Government professional standards, ensuring that it meets recognised benchmarks for further education. The focus on resilience and well-being is particularly relevant given the pressures of healthcare work, and linking the programme to NHS </w:t>
            </w:r>
            <w:proofErr w:type="spellStart"/>
            <w:r w:rsidRPr="009F6DA2">
              <w:t>Wales'</w:t>
            </w:r>
            <w:proofErr w:type="spellEnd"/>
            <w:r w:rsidRPr="009F6DA2">
              <w:t xml:space="preserve"> health and well-being framework strengthens its credibility.</w:t>
            </w:r>
          </w:p>
          <w:p w14:paraId="4DB1932E" w14:textId="77777777" w:rsidR="006C0F00" w:rsidRDefault="006C0F00" w:rsidP="00561AD5">
            <w:r w:rsidRPr="009F6DA2">
              <w:t>The inclusion of bilingual materials in English and Welsh is a thoughtful touch that makes the programme more accessible and inclusive. It’s also good to see a strong emphasis on evidence-based professional development, ensuring that the mindfulness techniques taught are backed by research.</w:t>
            </w:r>
          </w:p>
          <w:p w14:paraId="30681A76" w14:textId="77777777" w:rsidR="006C0F00" w:rsidRPr="009F6DA2" w:rsidRDefault="006C0F00" w:rsidP="00561AD5"/>
          <w:p w14:paraId="24CBF709" w14:textId="77777777" w:rsidR="006C0F00" w:rsidRPr="009F6DA2" w:rsidRDefault="006C0F00" w:rsidP="00561AD5">
            <w:r w:rsidRPr="009F6DA2">
              <w:rPr>
                <w:b/>
                <w:bCs/>
              </w:rPr>
              <w:t>Constructive Feedback:</w:t>
            </w:r>
            <w:r w:rsidRPr="009F6DA2">
              <w:br/>
              <w:t>Although the alignment with Welsh professional standards is well explained, it might help to clarify exactly how specific aspects of these standards are being met. For example, how does the curriculum address particular competency areas required for healthcare professionals?</w:t>
            </w:r>
          </w:p>
          <w:p w14:paraId="3FD0E9C3" w14:textId="77777777" w:rsidR="006C0F00" w:rsidRDefault="006C0F00" w:rsidP="00561AD5">
            <w:r w:rsidRPr="009F6DA2">
              <w:t>It could also be useful to reference professional standards from other healthcare bodies, such as the Nursing and Midwifery Council (NMC) or the General Medical Council (GMC), to make the curriculum even more robust. Finally, outlining how participants’ progress will be assessed in relation to these benchmarks would help show the programme’s impact.</w:t>
            </w:r>
          </w:p>
          <w:p w14:paraId="4CA4C158" w14:textId="77777777" w:rsidR="006C0F00" w:rsidRDefault="006C0F00" w:rsidP="00561AD5"/>
        </w:tc>
      </w:tr>
    </w:tbl>
    <w:p w14:paraId="1E875249" w14:textId="77777777" w:rsidR="00677580" w:rsidRDefault="00677580" w:rsidP="006C0F00"/>
    <w:p w14:paraId="04F24839" w14:textId="77777777" w:rsidR="00677580" w:rsidRDefault="00677580" w:rsidP="006C0F00"/>
    <w:p w14:paraId="3AC32C28" w14:textId="486C7C88" w:rsidR="006C0F00" w:rsidRDefault="006C0F00" w:rsidP="006C0F00">
      <w:r>
        <w:lastRenderedPageBreak/>
        <w:t>Comments on the scheme of work that was designed.</w:t>
      </w:r>
    </w:p>
    <w:tbl>
      <w:tblPr>
        <w:tblStyle w:val="TableGrid"/>
        <w:tblW w:w="0" w:type="auto"/>
        <w:tblLayout w:type="fixed"/>
        <w:tblLook w:val="06A0" w:firstRow="1" w:lastRow="0" w:firstColumn="1" w:lastColumn="0" w:noHBand="1" w:noVBand="1"/>
      </w:tblPr>
      <w:tblGrid>
        <w:gridCol w:w="9015"/>
      </w:tblGrid>
      <w:tr w:rsidR="006C0F00" w14:paraId="22840ECC" w14:textId="77777777" w:rsidTr="00561AD5">
        <w:tc>
          <w:tcPr>
            <w:tcW w:w="9015" w:type="dxa"/>
          </w:tcPr>
          <w:p w14:paraId="6C81CC5A" w14:textId="77777777" w:rsidR="006C0F00" w:rsidRPr="009F6DA2" w:rsidRDefault="006C0F00" w:rsidP="00561AD5">
            <w:r w:rsidRPr="009F6DA2">
              <w:t>The scheme of work is well-structured, with a good balance of learning methods to keep participants engaged. The way the sessions progress from basic mindfulness techniques to more applied practices makes for a logical and effective learning journey.</w:t>
            </w:r>
          </w:p>
          <w:p w14:paraId="4A898005" w14:textId="77777777" w:rsidR="006C0F00" w:rsidRPr="009F6DA2" w:rsidRDefault="006C0F00" w:rsidP="00561AD5">
            <w:r w:rsidRPr="009F6DA2">
              <w:t>The mix of guided practices, group discussions, and reflective activities helps to create a well-rounded experience. It’s particularly beneficial that mindfulness strategies are tailored to healthcare settings, ensuring that participants can immediately apply what they learn to their roles.</w:t>
            </w:r>
          </w:p>
          <w:p w14:paraId="18012C3E" w14:textId="77777777" w:rsidR="006C0F00" w:rsidRPr="009F6DA2" w:rsidRDefault="006C0F00" w:rsidP="00561AD5">
            <w:r w:rsidRPr="009F6DA2">
              <w:t>The flexibility of online and in-person options is a real advantage, especially for healthcare workers with unpredictable schedules. The use of digital tools, such as recorded sessions and discussion forums, also makes it easier for participants to stay engaged even if they can’t always attend live sessions.</w:t>
            </w:r>
          </w:p>
          <w:p w14:paraId="000AF3A2" w14:textId="77777777" w:rsidR="006C0F00" w:rsidRPr="009F6DA2" w:rsidRDefault="006C0F00" w:rsidP="00561AD5">
            <w:r w:rsidRPr="009F6DA2">
              <w:t>One thing to consider is how to encourage peer learning and collaboration, particularly for those taking part online. While group discussions are included, adding structured activities like case studies or collaborative problem-solving exercises could strengthen this aspect of the programme.</w:t>
            </w:r>
          </w:p>
          <w:p w14:paraId="3F314EAA" w14:textId="77777777" w:rsidR="006C0F00" w:rsidRDefault="006C0F00" w:rsidP="00561AD5">
            <w:r w:rsidRPr="009F6DA2">
              <w:t>Another potential improvement could be ensuring that the mindfulness techniques are easy to integrate into a healthcare worker’s day. Simple, practical exercises that can be used in short bursts</w:t>
            </w:r>
            <w:r>
              <w:t xml:space="preserve">, </w:t>
            </w:r>
            <w:r w:rsidRPr="009F6DA2">
              <w:t>such as a one-minute breathing exercise between patient consultations</w:t>
            </w:r>
            <w:r>
              <w:t xml:space="preserve">, </w:t>
            </w:r>
            <w:r w:rsidRPr="009F6DA2">
              <w:t>might increase uptake and long-term engagement.</w:t>
            </w:r>
          </w:p>
          <w:p w14:paraId="5F5D8A00" w14:textId="77777777" w:rsidR="006C0F00" w:rsidRDefault="006C0F00" w:rsidP="00561AD5"/>
        </w:tc>
      </w:tr>
    </w:tbl>
    <w:p w14:paraId="7462AA04" w14:textId="77777777" w:rsidR="006C0F00" w:rsidRDefault="006C0F00" w:rsidP="006C0F00"/>
    <w:p w14:paraId="0821621A" w14:textId="77777777" w:rsidR="006C0F00" w:rsidRDefault="006C0F00" w:rsidP="006C0F00">
      <w:r>
        <w:t>Anything else that you would like to comment on?</w:t>
      </w:r>
    </w:p>
    <w:tbl>
      <w:tblPr>
        <w:tblStyle w:val="TableGrid"/>
        <w:tblW w:w="0" w:type="auto"/>
        <w:tblLayout w:type="fixed"/>
        <w:tblLook w:val="06A0" w:firstRow="1" w:lastRow="0" w:firstColumn="1" w:lastColumn="0" w:noHBand="1" w:noVBand="1"/>
      </w:tblPr>
      <w:tblGrid>
        <w:gridCol w:w="9015"/>
      </w:tblGrid>
      <w:tr w:rsidR="006C0F00" w14:paraId="328BBC98" w14:textId="77777777" w:rsidTr="00561AD5">
        <w:tc>
          <w:tcPr>
            <w:tcW w:w="9015" w:type="dxa"/>
          </w:tcPr>
          <w:p w14:paraId="03D0A137" w14:textId="77777777" w:rsidR="006C0F00" w:rsidRPr="009F6DA2" w:rsidRDefault="006C0F00" w:rsidP="00561AD5">
            <w:r w:rsidRPr="009F6DA2">
              <w:t xml:space="preserve">Overall, this </w:t>
            </w:r>
            <w:r>
              <w:t>seems</w:t>
            </w:r>
            <w:r w:rsidRPr="009F6DA2">
              <w:t xml:space="preserve"> a well-thought-out and much-needed programme that is highly relevant to healthcare workers. The combination of scientific research, practical mindfulness exercises, and reflective learning makes it a comprehensive and engaging curriculum.</w:t>
            </w:r>
          </w:p>
          <w:p w14:paraId="75C564CA" w14:textId="77777777" w:rsidR="006C0F00" w:rsidRPr="009F6DA2" w:rsidRDefault="006C0F00" w:rsidP="00561AD5">
            <w:r w:rsidRPr="009F6DA2">
              <w:t>The focus on accessibility and inclusivity is particularly commendable, ensuring that participants can take part regardless of their schedules, language preferences, or learning styles. These elements make the programme well-suited to the realities of healthcare work.</w:t>
            </w:r>
          </w:p>
          <w:p w14:paraId="30B880DC" w14:textId="77777777" w:rsidR="006C0F00" w:rsidRPr="009F6DA2" w:rsidRDefault="006C0F00" w:rsidP="00561AD5">
            <w:r w:rsidRPr="009F6DA2">
              <w:t>A few areas that could make the programme even stronger include providing structured follow-up support, integrating professional development frameworks used in healthcare education, and making greater use of digital tools to enhance engagement for remote participants.</w:t>
            </w:r>
          </w:p>
          <w:p w14:paraId="4E4E7282" w14:textId="77777777" w:rsidR="006C0F00" w:rsidRDefault="006C0F00" w:rsidP="00561AD5"/>
        </w:tc>
      </w:tr>
    </w:tbl>
    <w:p w14:paraId="35CEE51E" w14:textId="77777777" w:rsidR="006C0F00" w:rsidRDefault="006C0F00" w:rsidP="006C0F00"/>
    <w:p w14:paraId="5D3877D4" w14:textId="77777777" w:rsidR="006C0F00" w:rsidRDefault="006C0F00" w:rsidP="006C0F00"/>
    <w:p w14:paraId="20C94C92" w14:textId="77777777" w:rsidR="006E12DF" w:rsidRDefault="006E12DF" w:rsidP="00BD36EF"/>
    <w:sectPr w:rsidR="006E12D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379B76" w14:textId="77777777" w:rsidR="00843FB9" w:rsidRDefault="00843FB9" w:rsidP="003140A3">
      <w:pPr>
        <w:spacing w:after="0" w:line="240" w:lineRule="auto"/>
      </w:pPr>
      <w:r>
        <w:separator/>
      </w:r>
    </w:p>
  </w:endnote>
  <w:endnote w:type="continuationSeparator" w:id="0">
    <w:p w14:paraId="2C355FA1" w14:textId="77777777" w:rsidR="00843FB9" w:rsidRDefault="00843FB9" w:rsidP="003140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4617360"/>
      <w:docPartObj>
        <w:docPartGallery w:val="Page Numbers (Bottom of Page)"/>
        <w:docPartUnique/>
      </w:docPartObj>
    </w:sdtPr>
    <w:sdtEndPr>
      <w:rPr>
        <w:noProof/>
      </w:rPr>
    </w:sdtEndPr>
    <w:sdtContent>
      <w:p w14:paraId="10E5F3DF" w14:textId="2A699106" w:rsidR="00AB0535" w:rsidRDefault="00AB05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992534" w14:textId="77777777" w:rsidR="00AB0535" w:rsidRDefault="00AB05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9F7203" w14:textId="77777777" w:rsidR="00843FB9" w:rsidRDefault="00843FB9" w:rsidP="003140A3">
      <w:pPr>
        <w:spacing w:after="0" w:line="240" w:lineRule="auto"/>
      </w:pPr>
      <w:r>
        <w:separator/>
      </w:r>
    </w:p>
  </w:footnote>
  <w:footnote w:type="continuationSeparator" w:id="0">
    <w:p w14:paraId="0D289D4C" w14:textId="77777777" w:rsidR="00843FB9" w:rsidRDefault="00843FB9" w:rsidP="003140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307B1F"/>
    <w:multiLevelType w:val="hybridMultilevel"/>
    <w:tmpl w:val="40FA31E2"/>
    <w:lvl w:ilvl="0" w:tplc="F4E6A2E6">
      <w:start w:val="1"/>
      <w:numFmt w:val="decimal"/>
      <w:lvlText w:val="%1."/>
      <w:lvlJc w:val="left"/>
      <w:pPr>
        <w:ind w:left="720" w:hanging="360"/>
      </w:pPr>
    </w:lvl>
    <w:lvl w:ilvl="1" w:tplc="F50C789A">
      <w:start w:val="1"/>
      <w:numFmt w:val="lowerLetter"/>
      <w:lvlText w:val="%2."/>
      <w:lvlJc w:val="left"/>
      <w:pPr>
        <w:ind w:left="1440" w:hanging="360"/>
      </w:pPr>
    </w:lvl>
    <w:lvl w:ilvl="2" w:tplc="35C4EBE2">
      <w:start w:val="1"/>
      <w:numFmt w:val="lowerRoman"/>
      <w:lvlText w:val="%3."/>
      <w:lvlJc w:val="right"/>
      <w:pPr>
        <w:ind w:left="2160" w:hanging="180"/>
      </w:pPr>
    </w:lvl>
    <w:lvl w:ilvl="3" w:tplc="DBA626FE">
      <w:start w:val="1"/>
      <w:numFmt w:val="decimal"/>
      <w:lvlText w:val="%4."/>
      <w:lvlJc w:val="left"/>
      <w:pPr>
        <w:ind w:left="2880" w:hanging="360"/>
      </w:pPr>
    </w:lvl>
    <w:lvl w:ilvl="4" w:tplc="43AED722">
      <w:start w:val="1"/>
      <w:numFmt w:val="lowerLetter"/>
      <w:lvlText w:val="%5."/>
      <w:lvlJc w:val="left"/>
      <w:pPr>
        <w:ind w:left="3600" w:hanging="360"/>
      </w:pPr>
    </w:lvl>
    <w:lvl w:ilvl="5" w:tplc="C7A6D90E">
      <w:start w:val="1"/>
      <w:numFmt w:val="lowerRoman"/>
      <w:lvlText w:val="%6."/>
      <w:lvlJc w:val="right"/>
      <w:pPr>
        <w:ind w:left="4320" w:hanging="180"/>
      </w:pPr>
    </w:lvl>
    <w:lvl w:ilvl="6" w:tplc="7844536E">
      <w:start w:val="1"/>
      <w:numFmt w:val="decimal"/>
      <w:lvlText w:val="%7."/>
      <w:lvlJc w:val="left"/>
      <w:pPr>
        <w:ind w:left="5040" w:hanging="360"/>
      </w:pPr>
    </w:lvl>
    <w:lvl w:ilvl="7" w:tplc="330E2B1E">
      <w:start w:val="1"/>
      <w:numFmt w:val="lowerLetter"/>
      <w:lvlText w:val="%8."/>
      <w:lvlJc w:val="left"/>
      <w:pPr>
        <w:ind w:left="5760" w:hanging="360"/>
      </w:pPr>
    </w:lvl>
    <w:lvl w:ilvl="8" w:tplc="A768ABEC">
      <w:start w:val="1"/>
      <w:numFmt w:val="lowerRoman"/>
      <w:lvlText w:val="%9."/>
      <w:lvlJc w:val="right"/>
      <w:pPr>
        <w:ind w:left="6480" w:hanging="180"/>
      </w:pPr>
    </w:lvl>
  </w:abstractNum>
  <w:abstractNum w:abstractNumId="1" w15:restartNumberingAfterBreak="0">
    <w:nsid w:val="2F1C0017"/>
    <w:multiLevelType w:val="multilevel"/>
    <w:tmpl w:val="5B9CC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A767538"/>
    <w:multiLevelType w:val="hybridMultilevel"/>
    <w:tmpl w:val="66DA45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1C08C4"/>
    <w:multiLevelType w:val="multilevel"/>
    <w:tmpl w:val="13365A6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1535078530">
    <w:abstractNumId w:val="0"/>
  </w:num>
  <w:num w:numId="2" w16cid:durableId="2077974653">
    <w:abstractNumId w:val="3"/>
  </w:num>
  <w:num w:numId="3" w16cid:durableId="1331372736">
    <w:abstractNumId w:val="1"/>
  </w:num>
  <w:num w:numId="4" w16cid:durableId="3693096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01524"/>
    <w:rsid w:val="00025C65"/>
    <w:rsid w:val="00067C4B"/>
    <w:rsid w:val="00073B31"/>
    <w:rsid w:val="000B7D5D"/>
    <w:rsid w:val="000D0AB4"/>
    <w:rsid w:val="000D2F4D"/>
    <w:rsid w:val="000D3FD7"/>
    <w:rsid w:val="000D6F79"/>
    <w:rsid w:val="000F6EDA"/>
    <w:rsid w:val="00106D4C"/>
    <w:rsid w:val="00140B3F"/>
    <w:rsid w:val="001642A8"/>
    <w:rsid w:val="00172316"/>
    <w:rsid w:val="001C14EB"/>
    <w:rsid w:val="001D162B"/>
    <w:rsid w:val="001E0685"/>
    <w:rsid w:val="00212527"/>
    <w:rsid w:val="0028327C"/>
    <w:rsid w:val="002A0646"/>
    <w:rsid w:val="002E6C59"/>
    <w:rsid w:val="00300A79"/>
    <w:rsid w:val="003140A3"/>
    <w:rsid w:val="00334732"/>
    <w:rsid w:val="00357D92"/>
    <w:rsid w:val="00361864"/>
    <w:rsid w:val="00366268"/>
    <w:rsid w:val="00372F19"/>
    <w:rsid w:val="0038301A"/>
    <w:rsid w:val="003E34C0"/>
    <w:rsid w:val="004035C4"/>
    <w:rsid w:val="004758F0"/>
    <w:rsid w:val="004A39A9"/>
    <w:rsid w:val="004A686D"/>
    <w:rsid w:val="004B72EF"/>
    <w:rsid w:val="004C74EF"/>
    <w:rsid w:val="004D58B2"/>
    <w:rsid w:val="00542308"/>
    <w:rsid w:val="00560D79"/>
    <w:rsid w:val="00572777"/>
    <w:rsid w:val="005A1CEC"/>
    <w:rsid w:val="005A4935"/>
    <w:rsid w:val="005C5532"/>
    <w:rsid w:val="005D76BB"/>
    <w:rsid w:val="005F35B0"/>
    <w:rsid w:val="00603DBC"/>
    <w:rsid w:val="00611017"/>
    <w:rsid w:val="00624522"/>
    <w:rsid w:val="006273CA"/>
    <w:rsid w:val="006360E6"/>
    <w:rsid w:val="00654ACF"/>
    <w:rsid w:val="00656329"/>
    <w:rsid w:val="00677580"/>
    <w:rsid w:val="0068413F"/>
    <w:rsid w:val="006933C5"/>
    <w:rsid w:val="006B5E12"/>
    <w:rsid w:val="006C0F00"/>
    <w:rsid w:val="006E12DF"/>
    <w:rsid w:val="00727CDD"/>
    <w:rsid w:val="00734EEA"/>
    <w:rsid w:val="00763191"/>
    <w:rsid w:val="00787FDE"/>
    <w:rsid w:val="0079219A"/>
    <w:rsid w:val="007A2E05"/>
    <w:rsid w:val="007C3E42"/>
    <w:rsid w:val="007D322A"/>
    <w:rsid w:val="007F704C"/>
    <w:rsid w:val="00820DEF"/>
    <w:rsid w:val="00836059"/>
    <w:rsid w:val="00843FB9"/>
    <w:rsid w:val="00855257"/>
    <w:rsid w:val="00866669"/>
    <w:rsid w:val="00873AE9"/>
    <w:rsid w:val="0088311E"/>
    <w:rsid w:val="00884378"/>
    <w:rsid w:val="00887419"/>
    <w:rsid w:val="008A16EA"/>
    <w:rsid w:val="008B22E9"/>
    <w:rsid w:val="008C2E05"/>
    <w:rsid w:val="008C40FB"/>
    <w:rsid w:val="008E4FB7"/>
    <w:rsid w:val="008F08FC"/>
    <w:rsid w:val="00902A8F"/>
    <w:rsid w:val="0090470A"/>
    <w:rsid w:val="00912207"/>
    <w:rsid w:val="00915957"/>
    <w:rsid w:val="00916487"/>
    <w:rsid w:val="00923014"/>
    <w:rsid w:val="00970540"/>
    <w:rsid w:val="0097481E"/>
    <w:rsid w:val="00983AD3"/>
    <w:rsid w:val="00984A75"/>
    <w:rsid w:val="00991232"/>
    <w:rsid w:val="00997334"/>
    <w:rsid w:val="009B2EC4"/>
    <w:rsid w:val="009E0E89"/>
    <w:rsid w:val="009E70CA"/>
    <w:rsid w:val="009F1933"/>
    <w:rsid w:val="009F1C55"/>
    <w:rsid w:val="00A269C7"/>
    <w:rsid w:val="00A50D43"/>
    <w:rsid w:val="00A627B5"/>
    <w:rsid w:val="00A93AE1"/>
    <w:rsid w:val="00AA4327"/>
    <w:rsid w:val="00AB0535"/>
    <w:rsid w:val="00AB1729"/>
    <w:rsid w:val="00AB7598"/>
    <w:rsid w:val="00AD1732"/>
    <w:rsid w:val="00AD1B9E"/>
    <w:rsid w:val="00AD2957"/>
    <w:rsid w:val="00AD7CB2"/>
    <w:rsid w:val="00AE1E49"/>
    <w:rsid w:val="00AE75DF"/>
    <w:rsid w:val="00B00AF7"/>
    <w:rsid w:val="00B1374F"/>
    <w:rsid w:val="00B471AA"/>
    <w:rsid w:val="00B719C3"/>
    <w:rsid w:val="00B73AC5"/>
    <w:rsid w:val="00B73B20"/>
    <w:rsid w:val="00B77E50"/>
    <w:rsid w:val="00BD36EF"/>
    <w:rsid w:val="00BD6F3E"/>
    <w:rsid w:val="00BE7B38"/>
    <w:rsid w:val="00C207E9"/>
    <w:rsid w:val="00C37DF3"/>
    <w:rsid w:val="00CA27AD"/>
    <w:rsid w:val="00CD4005"/>
    <w:rsid w:val="00CE4669"/>
    <w:rsid w:val="00CF5B05"/>
    <w:rsid w:val="00CF61CE"/>
    <w:rsid w:val="00D13ABB"/>
    <w:rsid w:val="00D30B72"/>
    <w:rsid w:val="00D422D9"/>
    <w:rsid w:val="00D4544F"/>
    <w:rsid w:val="00DB7062"/>
    <w:rsid w:val="00DD7DB2"/>
    <w:rsid w:val="00E1433A"/>
    <w:rsid w:val="00E32EB7"/>
    <w:rsid w:val="00E371D6"/>
    <w:rsid w:val="00E4340D"/>
    <w:rsid w:val="00E471A8"/>
    <w:rsid w:val="00E474A0"/>
    <w:rsid w:val="00E6659E"/>
    <w:rsid w:val="00E80CC3"/>
    <w:rsid w:val="00E91239"/>
    <w:rsid w:val="00E92583"/>
    <w:rsid w:val="00EC1A9E"/>
    <w:rsid w:val="00EC1D9E"/>
    <w:rsid w:val="00ED56EC"/>
    <w:rsid w:val="00F01524"/>
    <w:rsid w:val="00F037C9"/>
    <w:rsid w:val="00F14AD5"/>
    <w:rsid w:val="00F17F51"/>
    <w:rsid w:val="00F24A38"/>
    <w:rsid w:val="00F526AA"/>
    <w:rsid w:val="00F6043B"/>
    <w:rsid w:val="00F74EAC"/>
    <w:rsid w:val="00F9757D"/>
    <w:rsid w:val="00FA1B7E"/>
    <w:rsid w:val="00FB5D9B"/>
    <w:rsid w:val="00FD2B68"/>
    <w:rsid w:val="00FE5A82"/>
    <w:rsid w:val="00FF70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67D253"/>
  <w15:chartTrackingRefBased/>
  <w15:docId w15:val="{5E89EF21-B229-412A-9A3F-2F13AF24A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322A"/>
    <w:pPr>
      <w:spacing w:line="259" w:lineRule="auto"/>
    </w:pPr>
    <w:rPr>
      <w:kern w:val="0"/>
      <w:sz w:val="22"/>
      <w:szCs w:val="22"/>
    </w:rPr>
  </w:style>
  <w:style w:type="paragraph" w:styleId="Heading1">
    <w:name w:val="heading 1"/>
    <w:basedOn w:val="Normal"/>
    <w:next w:val="Normal"/>
    <w:link w:val="Heading1Char"/>
    <w:uiPriority w:val="9"/>
    <w:qFormat/>
    <w:rsid w:val="00F015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015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015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15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15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15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15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15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15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15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015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015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15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15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15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15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15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1524"/>
    <w:rPr>
      <w:rFonts w:eastAsiaTheme="majorEastAsia" w:cstheme="majorBidi"/>
      <w:color w:val="272727" w:themeColor="text1" w:themeTint="D8"/>
    </w:rPr>
  </w:style>
  <w:style w:type="paragraph" w:styleId="Title">
    <w:name w:val="Title"/>
    <w:basedOn w:val="Normal"/>
    <w:next w:val="Normal"/>
    <w:link w:val="TitleChar"/>
    <w:uiPriority w:val="10"/>
    <w:qFormat/>
    <w:rsid w:val="00F015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15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15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15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1524"/>
    <w:pPr>
      <w:spacing w:before="160"/>
      <w:jc w:val="center"/>
    </w:pPr>
    <w:rPr>
      <w:i/>
      <w:iCs/>
      <w:color w:val="404040" w:themeColor="text1" w:themeTint="BF"/>
    </w:rPr>
  </w:style>
  <w:style w:type="character" w:customStyle="1" w:styleId="QuoteChar">
    <w:name w:val="Quote Char"/>
    <w:basedOn w:val="DefaultParagraphFont"/>
    <w:link w:val="Quote"/>
    <w:uiPriority w:val="29"/>
    <w:rsid w:val="00F01524"/>
    <w:rPr>
      <w:i/>
      <w:iCs/>
      <w:color w:val="404040" w:themeColor="text1" w:themeTint="BF"/>
    </w:rPr>
  </w:style>
  <w:style w:type="paragraph" w:styleId="ListParagraph">
    <w:name w:val="List Paragraph"/>
    <w:basedOn w:val="Normal"/>
    <w:uiPriority w:val="34"/>
    <w:qFormat/>
    <w:rsid w:val="00F01524"/>
    <w:pPr>
      <w:ind w:left="720"/>
      <w:contextualSpacing/>
    </w:pPr>
  </w:style>
  <w:style w:type="character" w:styleId="IntenseEmphasis">
    <w:name w:val="Intense Emphasis"/>
    <w:basedOn w:val="DefaultParagraphFont"/>
    <w:uiPriority w:val="21"/>
    <w:qFormat/>
    <w:rsid w:val="00F01524"/>
    <w:rPr>
      <w:i/>
      <w:iCs/>
      <w:color w:val="0F4761" w:themeColor="accent1" w:themeShade="BF"/>
    </w:rPr>
  </w:style>
  <w:style w:type="paragraph" w:styleId="IntenseQuote">
    <w:name w:val="Intense Quote"/>
    <w:basedOn w:val="Normal"/>
    <w:next w:val="Normal"/>
    <w:link w:val="IntenseQuoteChar"/>
    <w:uiPriority w:val="30"/>
    <w:qFormat/>
    <w:rsid w:val="00F015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1524"/>
    <w:rPr>
      <w:i/>
      <w:iCs/>
      <w:color w:val="0F4761" w:themeColor="accent1" w:themeShade="BF"/>
    </w:rPr>
  </w:style>
  <w:style w:type="character" w:styleId="IntenseReference">
    <w:name w:val="Intense Reference"/>
    <w:basedOn w:val="DefaultParagraphFont"/>
    <w:uiPriority w:val="32"/>
    <w:qFormat/>
    <w:rsid w:val="00F01524"/>
    <w:rPr>
      <w:b/>
      <w:bCs/>
      <w:smallCaps/>
      <w:color w:val="0F4761" w:themeColor="accent1" w:themeShade="BF"/>
      <w:spacing w:val="5"/>
    </w:rPr>
  </w:style>
  <w:style w:type="paragraph" w:styleId="Header">
    <w:name w:val="header"/>
    <w:basedOn w:val="Normal"/>
    <w:link w:val="HeaderChar"/>
    <w:uiPriority w:val="99"/>
    <w:unhideWhenUsed/>
    <w:rsid w:val="003140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0A3"/>
  </w:style>
  <w:style w:type="paragraph" w:styleId="Footer">
    <w:name w:val="footer"/>
    <w:basedOn w:val="Normal"/>
    <w:link w:val="FooterChar"/>
    <w:uiPriority w:val="99"/>
    <w:unhideWhenUsed/>
    <w:rsid w:val="003140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0A3"/>
  </w:style>
  <w:style w:type="paragraph" w:styleId="TOCHeading">
    <w:name w:val="TOC Heading"/>
    <w:basedOn w:val="Heading1"/>
    <w:next w:val="Normal"/>
    <w:uiPriority w:val="39"/>
    <w:unhideWhenUsed/>
    <w:qFormat/>
    <w:rsid w:val="0038301A"/>
    <w:pPr>
      <w:spacing w:before="240" w:after="0"/>
      <w:outlineLvl w:val="9"/>
    </w:pPr>
    <w:rPr>
      <w:sz w:val="32"/>
      <w:szCs w:val="32"/>
      <w:lang w:val="en-US" w:eastAsia="en-US"/>
    </w:rPr>
  </w:style>
  <w:style w:type="paragraph" w:styleId="TOC1">
    <w:name w:val="toc 1"/>
    <w:basedOn w:val="Normal"/>
    <w:next w:val="Normal"/>
    <w:autoRedefine/>
    <w:uiPriority w:val="39"/>
    <w:unhideWhenUsed/>
    <w:rsid w:val="0068413F"/>
    <w:pPr>
      <w:spacing w:after="100"/>
    </w:pPr>
  </w:style>
  <w:style w:type="paragraph" w:styleId="TOC2">
    <w:name w:val="toc 2"/>
    <w:basedOn w:val="Normal"/>
    <w:next w:val="Normal"/>
    <w:autoRedefine/>
    <w:uiPriority w:val="39"/>
    <w:unhideWhenUsed/>
    <w:rsid w:val="0068413F"/>
    <w:pPr>
      <w:spacing w:after="100"/>
      <w:ind w:left="220"/>
    </w:pPr>
  </w:style>
  <w:style w:type="character" w:styleId="Hyperlink">
    <w:name w:val="Hyperlink"/>
    <w:basedOn w:val="DefaultParagraphFont"/>
    <w:uiPriority w:val="99"/>
    <w:unhideWhenUsed/>
    <w:rsid w:val="0068413F"/>
    <w:rPr>
      <w:color w:val="467886" w:themeColor="hyperlink"/>
      <w:u w:val="single"/>
    </w:rPr>
  </w:style>
  <w:style w:type="table" w:styleId="TableGrid">
    <w:name w:val="Table Grid"/>
    <w:basedOn w:val="TableNormal"/>
    <w:uiPriority w:val="59"/>
    <w:rsid w:val="006360E6"/>
    <w:pPr>
      <w:spacing w:after="0" w:line="240" w:lineRule="auto"/>
    </w:pPr>
    <w:rPr>
      <w:rFonts w:eastAsiaTheme="minorHAnsi"/>
      <w:kern w:val="0"/>
      <w:sz w:val="22"/>
      <w:szCs w:val="22"/>
      <w:lang w:eastAsia="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CA27AD"/>
    <w:rPr>
      <w:color w:val="605E5C"/>
      <w:shd w:val="clear" w:color="auto" w:fill="E1DFDD"/>
    </w:rPr>
  </w:style>
  <w:style w:type="table" w:styleId="TableGridLight">
    <w:name w:val="Grid Table Light"/>
    <w:basedOn w:val="TableNormal"/>
    <w:uiPriority w:val="40"/>
    <w:rsid w:val="00AD1B9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AD1B9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3">
    <w:name w:val="toc 3"/>
    <w:basedOn w:val="Normal"/>
    <w:next w:val="Normal"/>
    <w:autoRedefine/>
    <w:uiPriority w:val="39"/>
    <w:unhideWhenUsed/>
    <w:rsid w:val="000B7D5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8149438">
      <w:bodyDiv w:val="1"/>
      <w:marLeft w:val="0"/>
      <w:marRight w:val="0"/>
      <w:marTop w:val="0"/>
      <w:marBottom w:val="0"/>
      <w:divBdr>
        <w:top w:val="none" w:sz="0" w:space="0" w:color="auto"/>
        <w:left w:val="none" w:sz="0" w:space="0" w:color="auto"/>
        <w:bottom w:val="none" w:sz="0" w:space="0" w:color="auto"/>
        <w:right w:val="none" w:sz="0" w:space="0" w:color="auto"/>
      </w:divBdr>
    </w:div>
    <w:div w:id="401173384">
      <w:bodyDiv w:val="1"/>
      <w:marLeft w:val="0"/>
      <w:marRight w:val="0"/>
      <w:marTop w:val="0"/>
      <w:marBottom w:val="0"/>
      <w:divBdr>
        <w:top w:val="none" w:sz="0" w:space="0" w:color="auto"/>
        <w:left w:val="none" w:sz="0" w:space="0" w:color="auto"/>
        <w:bottom w:val="none" w:sz="0" w:space="0" w:color="auto"/>
        <w:right w:val="none" w:sz="0" w:space="0" w:color="auto"/>
      </w:divBdr>
    </w:div>
    <w:div w:id="515922509">
      <w:bodyDiv w:val="1"/>
      <w:marLeft w:val="0"/>
      <w:marRight w:val="0"/>
      <w:marTop w:val="0"/>
      <w:marBottom w:val="0"/>
      <w:divBdr>
        <w:top w:val="none" w:sz="0" w:space="0" w:color="auto"/>
        <w:left w:val="none" w:sz="0" w:space="0" w:color="auto"/>
        <w:bottom w:val="none" w:sz="0" w:space="0" w:color="auto"/>
        <w:right w:val="none" w:sz="0" w:space="0" w:color="auto"/>
      </w:divBdr>
    </w:div>
    <w:div w:id="815730623">
      <w:bodyDiv w:val="1"/>
      <w:marLeft w:val="0"/>
      <w:marRight w:val="0"/>
      <w:marTop w:val="0"/>
      <w:marBottom w:val="0"/>
      <w:divBdr>
        <w:top w:val="none" w:sz="0" w:space="0" w:color="auto"/>
        <w:left w:val="none" w:sz="0" w:space="0" w:color="auto"/>
        <w:bottom w:val="none" w:sz="0" w:space="0" w:color="auto"/>
        <w:right w:val="none" w:sz="0" w:space="0" w:color="auto"/>
      </w:divBdr>
    </w:div>
    <w:div w:id="980423746">
      <w:bodyDiv w:val="1"/>
      <w:marLeft w:val="0"/>
      <w:marRight w:val="0"/>
      <w:marTop w:val="0"/>
      <w:marBottom w:val="0"/>
      <w:divBdr>
        <w:top w:val="none" w:sz="0" w:space="0" w:color="auto"/>
        <w:left w:val="none" w:sz="0" w:space="0" w:color="auto"/>
        <w:bottom w:val="none" w:sz="0" w:space="0" w:color="auto"/>
        <w:right w:val="none" w:sz="0" w:space="0" w:color="auto"/>
      </w:divBdr>
    </w:div>
    <w:div w:id="1151486726">
      <w:bodyDiv w:val="1"/>
      <w:marLeft w:val="0"/>
      <w:marRight w:val="0"/>
      <w:marTop w:val="0"/>
      <w:marBottom w:val="0"/>
      <w:divBdr>
        <w:top w:val="none" w:sz="0" w:space="0" w:color="auto"/>
        <w:left w:val="none" w:sz="0" w:space="0" w:color="auto"/>
        <w:bottom w:val="none" w:sz="0" w:space="0" w:color="auto"/>
        <w:right w:val="none" w:sz="0" w:space="0" w:color="auto"/>
      </w:divBdr>
    </w:div>
    <w:div w:id="1251738020">
      <w:bodyDiv w:val="1"/>
      <w:marLeft w:val="0"/>
      <w:marRight w:val="0"/>
      <w:marTop w:val="0"/>
      <w:marBottom w:val="0"/>
      <w:divBdr>
        <w:top w:val="none" w:sz="0" w:space="0" w:color="auto"/>
        <w:left w:val="none" w:sz="0" w:space="0" w:color="auto"/>
        <w:bottom w:val="none" w:sz="0" w:space="0" w:color="auto"/>
        <w:right w:val="none" w:sz="0" w:space="0" w:color="auto"/>
      </w:divBdr>
    </w:div>
    <w:div w:id="1376151498">
      <w:bodyDiv w:val="1"/>
      <w:marLeft w:val="0"/>
      <w:marRight w:val="0"/>
      <w:marTop w:val="0"/>
      <w:marBottom w:val="0"/>
      <w:divBdr>
        <w:top w:val="none" w:sz="0" w:space="0" w:color="auto"/>
        <w:left w:val="none" w:sz="0" w:space="0" w:color="auto"/>
        <w:bottom w:val="none" w:sz="0" w:space="0" w:color="auto"/>
        <w:right w:val="none" w:sz="0" w:space="0" w:color="auto"/>
      </w:divBdr>
    </w:div>
    <w:div w:id="1669794538">
      <w:bodyDiv w:val="1"/>
      <w:marLeft w:val="0"/>
      <w:marRight w:val="0"/>
      <w:marTop w:val="0"/>
      <w:marBottom w:val="0"/>
      <w:divBdr>
        <w:top w:val="none" w:sz="0" w:space="0" w:color="auto"/>
        <w:left w:val="none" w:sz="0" w:space="0" w:color="auto"/>
        <w:bottom w:val="none" w:sz="0" w:space="0" w:color="auto"/>
        <w:right w:val="none" w:sz="0" w:space="0" w:color="auto"/>
      </w:divBdr>
    </w:div>
    <w:div w:id="2030985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03B844-9298-4B0E-963E-CB4E326AE5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6295</Words>
  <Characters>35882</Characters>
  <Application>Microsoft Office Word</Application>
  <DocSecurity>0</DocSecurity>
  <Lines>299</Lines>
  <Paragraphs>84</Paragraphs>
  <ScaleCrop>false</ScaleCrop>
  <Company>University of Wales Trinity Saint David</Company>
  <LinksUpToDate>false</LinksUpToDate>
  <CharactersWithSpaces>42093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Lola Villard-Coles</dc:creator>
  <cp:keywords/>
  <dc:description/>
  <cp:lastModifiedBy>Lola Villard-Coles</cp:lastModifiedBy>
  <cp:revision>146</cp:revision>
  <dcterms:created xsi:type="dcterms:W3CDTF">2025-02-13T13:31:00Z</dcterms:created>
  <dcterms:modified xsi:type="dcterms:W3CDTF">2025-02-21T13:17:00Z</dcterms:modified>
</cp:coreProperties>
</file>