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4-Accent1"/>
        <w:tblpPr w:leftFromText="180" w:rightFromText="180" w:vertAnchor="text" w:horzAnchor="margin" w:tblpY="114"/>
        <w:tblW w:w="0" w:type="auto"/>
        <w:tblLook w:val="04A0" w:firstRow="1" w:lastRow="0" w:firstColumn="1" w:lastColumn="0" w:noHBand="0" w:noVBand="1"/>
      </w:tblPr>
      <w:tblGrid>
        <w:gridCol w:w="2405"/>
        <w:gridCol w:w="6611"/>
      </w:tblGrid>
      <w:tr w:rsidR="00B92747" w14:paraId="6742EDC8" w14:textId="77777777" w:rsidTr="00A87D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07575034" w14:textId="77777777" w:rsidR="00B92747" w:rsidRDefault="00B92747" w:rsidP="003F798D">
            <w:pPr>
              <w:rPr>
                <w:rFonts w:cs="Arial"/>
                <w:sz w:val="28"/>
                <w:szCs w:val="28"/>
              </w:rPr>
            </w:pPr>
            <w:r>
              <w:t>Programme:</w:t>
            </w:r>
          </w:p>
        </w:tc>
        <w:tc>
          <w:tcPr>
            <w:tcW w:w="6611" w:type="dxa"/>
            <w:hideMark/>
          </w:tcPr>
          <w:p w14:paraId="3BAC97A8" w14:textId="77777777" w:rsidR="00B92747" w:rsidRDefault="00B92747" w:rsidP="003F798D">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t xml:space="preserve">MSc Public Health and Social Care in Practice  </w:t>
            </w:r>
          </w:p>
        </w:tc>
      </w:tr>
      <w:tr w:rsidR="00B92747" w14:paraId="4624AD32" w14:textId="77777777" w:rsidTr="00A87D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0DA90520" w14:textId="77777777" w:rsidR="00B92747" w:rsidRDefault="00B92747" w:rsidP="003F798D">
            <w:pPr>
              <w:rPr>
                <w:rFonts w:cs="Arial"/>
                <w:b w:val="0"/>
                <w:bCs w:val="0"/>
                <w:sz w:val="28"/>
                <w:szCs w:val="28"/>
              </w:rPr>
            </w:pPr>
            <w:r>
              <w:rPr>
                <w:b w:val="0"/>
                <w:bCs w:val="0"/>
              </w:rPr>
              <w:t>Module:</w:t>
            </w:r>
          </w:p>
        </w:tc>
        <w:tc>
          <w:tcPr>
            <w:tcW w:w="6611" w:type="dxa"/>
            <w:hideMark/>
          </w:tcPr>
          <w:p w14:paraId="28364C95" w14:textId="2C68126C" w:rsidR="00B92747" w:rsidRDefault="00B92747" w:rsidP="00B92747">
            <w:pPr>
              <w:cnfStyle w:val="000000100000" w:firstRow="0" w:lastRow="0" w:firstColumn="0" w:lastColumn="0" w:oddVBand="0" w:evenVBand="0" w:oddHBand="1" w:evenHBand="0" w:firstRowFirstColumn="0" w:firstRowLastColumn="0" w:lastRowFirstColumn="0" w:lastRowLastColumn="0"/>
            </w:pPr>
            <w:r>
              <w:t>Population Health and Digital Health Promotion</w:t>
            </w:r>
          </w:p>
        </w:tc>
      </w:tr>
      <w:tr w:rsidR="00B92747" w14:paraId="179E9F96" w14:textId="77777777" w:rsidTr="00A87D57">
        <w:tc>
          <w:tcPr>
            <w:cnfStyle w:val="001000000000" w:firstRow="0" w:lastRow="0" w:firstColumn="1" w:lastColumn="0" w:oddVBand="0" w:evenVBand="0" w:oddHBand="0" w:evenHBand="0" w:firstRowFirstColumn="0" w:firstRowLastColumn="0" w:lastRowFirstColumn="0" w:lastRowLastColumn="0"/>
            <w:tcW w:w="2405" w:type="dxa"/>
            <w:hideMark/>
          </w:tcPr>
          <w:p w14:paraId="0815326E" w14:textId="77777777" w:rsidR="00B92747" w:rsidRDefault="00B92747" w:rsidP="003F798D">
            <w:pPr>
              <w:rPr>
                <w:rFonts w:cs="Arial"/>
                <w:b w:val="0"/>
                <w:bCs w:val="0"/>
                <w:sz w:val="28"/>
                <w:szCs w:val="28"/>
              </w:rPr>
            </w:pPr>
            <w:r>
              <w:rPr>
                <w:b w:val="0"/>
                <w:bCs w:val="0"/>
              </w:rPr>
              <w:t>Module code:</w:t>
            </w:r>
          </w:p>
        </w:tc>
        <w:tc>
          <w:tcPr>
            <w:tcW w:w="6611" w:type="dxa"/>
            <w:hideMark/>
          </w:tcPr>
          <w:p w14:paraId="303C6294" w14:textId="0783CB5C" w:rsidR="00B92747" w:rsidRDefault="00B92747" w:rsidP="003F798D">
            <w:pPr>
              <w:cnfStyle w:val="000000000000" w:firstRow="0" w:lastRow="0" w:firstColumn="0" w:lastColumn="0" w:oddVBand="0" w:evenVBand="0" w:oddHBand="0" w:evenHBand="0" w:firstRowFirstColumn="0" w:firstRowLastColumn="0" w:lastRowFirstColumn="0" w:lastRowLastColumn="0"/>
            </w:pPr>
            <w:r w:rsidRPr="007A32F5">
              <w:t>LCHS700</w:t>
            </w:r>
            <w:r>
              <w:t>9</w:t>
            </w:r>
          </w:p>
        </w:tc>
      </w:tr>
      <w:tr w:rsidR="00B92747" w14:paraId="583C0627" w14:textId="77777777" w:rsidTr="00A87D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3B5CEC79" w14:textId="77777777" w:rsidR="00B92747" w:rsidRDefault="00B92747" w:rsidP="003F798D">
            <w:pPr>
              <w:rPr>
                <w:rFonts w:cs="Arial"/>
                <w:b w:val="0"/>
                <w:bCs w:val="0"/>
                <w:sz w:val="28"/>
                <w:szCs w:val="28"/>
              </w:rPr>
            </w:pPr>
            <w:r>
              <w:rPr>
                <w:b w:val="0"/>
                <w:bCs w:val="0"/>
              </w:rPr>
              <w:t>Lecturer:</w:t>
            </w:r>
          </w:p>
        </w:tc>
        <w:tc>
          <w:tcPr>
            <w:tcW w:w="6611" w:type="dxa"/>
            <w:hideMark/>
          </w:tcPr>
          <w:p w14:paraId="76E8B386" w14:textId="1A3640E4" w:rsidR="00B92747" w:rsidRDefault="00937ECA" w:rsidP="003F798D">
            <w:pPr>
              <w:cnfStyle w:val="000000100000" w:firstRow="0" w:lastRow="0" w:firstColumn="0" w:lastColumn="0" w:oddVBand="0" w:evenVBand="0" w:oddHBand="1" w:evenHBand="0" w:firstRowFirstColumn="0" w:firstRowLastColumn="0" w:lastRowFirstColumn="0" w:lastRowLastColumn="0"/>
            </w:pPr>
            <w:r w:rsidRPr="00937ECA">
              <w:t>Dr Ping Wu</w:t>
            </w:r>
          </w:p>
        </w:tc>
      </w:tr>
      <w:tr w:rsidR="00B92747" w14:paraId="76F75766" w14:textId="77777777" w:rsidTr="00A87D57">
        <w:tc>
          <w:tcPr>
            <w:cnfStyle w:val="001000000000" w:firstRow="0" w:lastRow="0" w:firstColumn="1" w:lastColumn="0" w:oddVBand="0" w:evenVBand="0" w:oddHBand="0" w:evenHBand="0" w:firstRowFirstColumn="0" w:firstRowLastColumn="0" w:lastRowFirstColumn="0" w:lastRowLastColumn="0"/>
            <w:tcW w:w="2405" w:type="dxa"/>
            <w:hideMark/>
          </w:tcPr>
          <w:p w14:paraId="11C4E45B" w14:textId="77777777" w:rsidR="00B92747" w:rsidRDefault="00B92747" w:rsidP="003F798D">
            <w:pPr>
              <w:rPr>
                <w:rFonts w:cs="Arial"/>
                <w:b w:val="0"/>
                <w:bCs w:val="0"/>
                <w:sz w:val="28"/>
                <w:szCs w:val="28"/>
              </w:rPr>
            </w:pPr>
            <w:r>
              <w:rPr>
                <w:b w:val="0"/>
                <w:bCs w:val="0"/>
              </w:rPr>
              <w:t>Assignment Title:</w:t>
            </w:r>
          </w:p>
        </w:tc>
        <w:tc>
          <w:tcPr>
            <w:tcW w:w="6611" w:type="dxa"/>
            <w:hideMark/>
          </w:tcPr>
          <w:p w14:paraId="497936E6" w14:textId="30C39358" w:rsidR="00B92747" w:rsidRDefault="00B92747" w:rsidP="00B92747">
            <w:pPr>
              <w:cnfStyle w:val="000000000000" w:firstRow="0" w:lastRow="0" w:firstColumn="0" w:lastColumn="0" w:oddVBand="0" w:evenVBand="0" w:oddHBand="0" w:evenHBand="0" w:firstRowFirstColumn="0" w:firstRowLastColumn="0" w:lastRowFirstColumn="0" w:lastRowLastColumn="0"/>
            </w:pPr>
            <w:r>
              <w:t>Component 1: 2 Blogs</w:t>
            </w:r>
          </w:p>
          <w:p w14:paraId="4A3BE61A" w14:textId="77777777" w:rsidR="00B92747" w:rsidRDefault="00B92747" w:rsidP="003F798D">
            <w:pPr>
              <w:cnfStyle w:val="000000000000" w:firstRow="0" w:lastRow="0" w:firstColumn="0" w:lastColumn="0" w:oddVBand="0" w:evenVBand="0" w:oddHBand="0" w:evenHBand="0" w:firstRowFirstColumn="0" w:firstRowLastColumn="0" w:lastRowFirstColumn="0" w:lastRowLastColumn="0"/>
            </w:pPr>
          </w:p>
        </w:tc>
      </w:tr>
      <w:tr w:rsidR="00B92747" w14:paraId="39CEF145" w14:textId="77777777" w:rsidTr="00A87D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09E0C9BC" w14:textId="77777777" w:rsidR="00B92747" w:rsidRDefault="00B92747" w:rsidP="003F798D">
            <w:pPr>
              <w:rPr>
                <w:b w:val="0"/>
                <w:bCs w:val="0"/>
              </w:rPr>
            </w:pPr>
            <w:r>
              <w:rPr>
                <w:b w:val="0"/>
                <w:bCs w:val="0"/>
              </w:rPr>
              <w:t>Student Name:</w:t>
            </w:r>
          </w:p>
        </w:tc>
        <w:tc>
          <w:tcPr>
            <w:tcW w:w="6611" w:type="dxa"/>
          </w:tcPr>
          <w:p w14:paraId="0FA7F782" w14:textId="0DB147CD" w:rsidR="00B92747" w:rsidRDefault="00937ECA" w:rsidP="003F798D">
            <w:pPr>
              <w:cnfStyle w:val="000000100000" w:firstRow="0" w:lastRow="0" w:firstColumn="0" w:lastColumn="0" w:oddVBand="0" w:evenVBand="0" w:oddHBand="1" w:evenHBand="0" w:firstRowFirstColumn="0" w:firstRowLastColumn="0" w:lastRowFirstColumn="0" w:lastRowLastColumn="0"/>
            </w:pPr>
            <w:proofErr w:type="spellStart"/>
            <w:r>
              <w:t>Sawon</w:t>
            </w:r>
            <w:proofErr w:type="spellEnd"/>
            <w:r>
              <w:t xml:space="preserve"> </w:t>
            </w:r>
            <w:proofErr w:type="spellStart"/>
            <w:r>
              <w:t>Farazi</w:t>
            </w:r>
            <w:proofErr w:type="spellEnd"/>
          </w:p>
        </w:tc>
      </w:tr>
      <w:tr w:rsidR="00B92747" w14:paraId="7A441098" w14:textId="77777777" w:rsidTr="00A87D57">
        <w:tc>
          <w:tcPr>
            <w:cnfStyle w:val="001000000000" w:firstRow="0" w:lastRow="0" w:firstColumn="1" w:lastColumn="0" w:oddVBand="0" w:evenVBand="0" w:oddHBand="0" w:evenHBand="0" w:firstRowFirstColumn="0" w:firstRowLastColumn="0" w:lastRowFirstColumn="0" w:lastRowLastColumn="0"/>
            <w:tcW w:w="2405" w:type="dxa"/>
            <w:hideMark/>
          </w:tcPr>
          <w:p w14:paraId="530AC300" w14:textId="77777777" w:rsidR="00B92747" w:rsidRDefault="00B92747" w:rsidP="003F798D">
            <w:pPr>
              <w:rPr>
                <w:b w:val="0"/>
                <w:bCs w:val="0"/>
              </w:rPr>
            </w:pPr>
            <w:r>
              <w:rPr>
                <w:b w:val="0"/>
                <w:bCs w:val="0"/>
              </w:rPr>
              <w:t>Student ID:</w:t>
            </w:r>
          </w:p>
        </w:tc>
        <w:tc>
          <w:tcPr>
            <w:tcW w:w="6611" w:type="dxa"/>
          </w:tcPr>
          <w:p w14:paraId="5EE7B628" w14:textId="495BE3B0" w:rsidR="00B92747" w:rsidRDefault="00937ECA" w:rsidP="003F798D">
            <w:pPr>
              <w:cnfStyle w:val="000000000000" w:firstRow="0" w:lastRow="0" w:firstColumn="0" w:lastColumn="0" w:oddVBand="0" w:evenVBand="0" w:oddHBand="0" w:evenHBand="0" w:firstRowFirstColumn="0" w:firstRowLastColumn="0" w:lastRowFirstColumn="0" w:lastRowLastColumn="0"/>
            </w:pPr>
            <w:r w:rsidRPr="00937ECA">
              <w:t>2431587</w:t>
            </w:r>
          </w:p>
        </w:tc>
      </w:tr>
    </w:tbl>
    <w:p w14:paraId="3205FE54" w14:textId="59F85528" w:rsidR="000E66B6" w:rsidRDefault="000E66B6"/>
    <w:p w14:paraId="0813DEAB" w14:textId="77777777" w:rsidR="00B92747" w:rsidRDefault="00B92747">
      <w:pPr>
        <w:spacing w:line="259" w:lineRule="auto"/>
        <w:jc w:val="left"/>
      </w:pPr>
      <w:r>
        <w:br w:type="page"/>
      </w:r>
    </w:p>
    <w:p w14:paraId="1E92D510" w14:textId="1673E0C8" w:rsidR="00B92747" w:rsidRPr="00717DB7" w:rsidRDefault="00717DB7" w:rsidP="00717DB7">
      <w:pPr>
        <w:jc w:val="center"/>
        <w:rPr>
          <w:b/>
          <w:bCs/>
          <w:sz w:val="24"/>
          <w:szCs w:val="24"/>
        </w:rPr>
      </w:pPr>
      <w:r w:rsidRPr="00717DB7">
        <w:rPr>
          <w:b/>
          <w:bCs/>
          <w:sz w:val="24"/>
          <w:szCs w:val="24"/>
        </w:rPr>
        <w:lastRenderedPageBreak/>
        <w:t xml:space="preserve">Blog 1: </w:t>
      </w:r>
      <w:r w:rsidR="00A87D57" w:rsidRPr="00A87D57">
        <w:rPr>
          <w:b/>
          <w:bCs/>
          <w:sz w:val="24"/>
          <w:szCs w:val="24"/>
        </w:rPr>
        <w:t>“Mindfulness in Your Pocket: How Headspace Is Shaping the Future of Digital Mental Wellbeing”</w:t>
      </w:r>
    </w:p>
    <w:p w14:paraId="2CE39619" w14:textId="5ABD607D" w:rsidR="00717DB7" w:rsidRDefault="00A87D57" w:rsidP="00717DB7">
      <w:pPr>
        <w:pStyle w:val="Heading2"/>
      </w:pPr>
      <w:r>
        <w:rPr>
          <w:noProof/>
        </w:rPr>
        <w:drawing>
          <wp:anchor distT="0" distB="0" distL="114300" distR="114300" simplePos="0" relativeHeight="251668480" behindDoc="0" locked="0" layoutInCell="1" allowOverlap="1" wp14:anchorId="29BD85A7" wp14:editId="2DE4968B">
            <wp:simplePos x="0" y="0"/>
            <wp:positionH relativeFrom="column">
              <wp:posOffset>-393700</wp:posOffset>
            </wp:positionH>
            <wp:positionV relativeFrom="paragraph">
              <wp:posOffset>318770</wp:posOffset>
            </wp:positionV>
            <wp:extent cx="3299779" cy="1984199"/>
            <wp:effectExtent l="0" t="0" r="0" b="0"/>
            <wp:wrapThrough wrapText="bothSides">
              <wp:wrapPolygon edited="0">
                <wp:start x="0" y="0"/>
                <wp:lineTo x="0" y="21365"/>
                <wp:lineTo x="21450" y="21365"/>
                <wp:lineTo x="2145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9779" cy="1984199"/>
                    </a:xfrm>
                    <a:prstGeom prst="rect">
                      <a:avLst/>
                    </a:prstGeom>
                    <a:noFill/>
                  </pic:spPr>
                </pic:pic>
              </a:graphicData>
            </a:graphic>
          </wp:anchor>
        </w:drawing>
      </w:r>
      <w:r w:rsidRPr="00A87D57">
        <w:t>The Undressed Crisis: Mental Health in the Digital Era</w:t>
      </w:r>
    </w:p>
    <w:p w14:paraId="490665D5" w14:textId="7264ED57" w:rsidR="00A87D57" w:rsidRDefault="006B6BB0" w:rsidP="00AE6C4E">
      <w:pPr>
        <w:pStyle w:val="ListParagraph"/>
        <w:numPr>
          <w:ilvl w:val="0"/>
          <w:numId w:val="6"/>
        </w:numPr>
      </w:pPr>
      <w:r w:rsidRPr="006B6BB0">
        <w:t>According to Deb (2024), the global market for artificial intelligence (AI) in mental health is expected to rise from $0.92 billion in 2023 to $14.89 billion in 2033, a CAGR (compound annual growth rate) of 32.1%.</w:t>
      </w:r>
    </w:p>
    <w:p w14:paraId="2A521C00" w14:textId="14E16FC1" w:rsidR="00A87D57" w:rsidRDefault="00AE6C4E" w:rsidP="00AE6C4E">
      <w:pPr>
        <w:pStyle w:val="ListParagraph"/>
        <w:numPr>
          <w:ilvl w:val="0"/>
          <w:numId w:val="6"/>
        </w:numPr>
      </w:pPr>
      <w:r w:rsidRPr="00A87D57">
        <w:rPr>
          <w:b/>
          <w:bCs/>
          <w:i/>
          <w:iCs/>
          <w:noProof/>
          <w:sz w:val="18"/>
          <w:szCs w:val="18"/>
        </w:rPr>
        <mc:AlternateContent>
          <mc:Choice Requires="wps">
            <w:drawing>
              <wp:anchor distT="45720" distB="45720" distL="114300" distR="114300" simplePos="0" relativeHeight="251667456" behindDoc="0" locked="0" layoutInCell="1" allowOverlap="1" wp14:anchorId="561DC934" wp14:editId="2385C227">
                <wp:simplePos x="0" y="0"/>
                <wp:positionH relativeFrom="column">
                  <wp:posOffset>-438150</wp:posOffset>
                </wp:positionH>
                <wp:positionV relativeFrom="paragraph">
                  <wp:posOffset>499110</wp:posOffset>
                </wp:positionV>
                <wp:extent cx="869950" cy="23495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9950" cy="234950"/>
                        </a:xfrm>
                        <a:prstGeom prst="rect">
                          <a:avLst/>
                        </a:prstGeom>
                        <a:solidFill>
                          <a:srgbClr val="FFFFFF"/>
                        </a:solidFill>
                        <a:ln w="9525">
                          <a:noFill/>
                          <a:miter lim="800000"/>
                          <a:headEnd/>
                          <a:tailEnd/>
                        </a:ln>
                      </wps:spPr>
                      <wps:txbx>
                        <w:txbxContent>
                          <w:p w14:paraId="3189F341" w14:textId="30772516" w:rsidR="00A87D57" w:rsidRPr="00A87D57" w:rsidRDefault="00A87D57">
                            <w:pPr>
                              <w:rPr>
                                <w:b/>
                                <w:bCs/>
                                <w:i/>
                                <w:iCs/>
                                <w:sz w:val="18"/>
                                <w:szCs w:val="18"/>
                              </w:rPr>
                            </w:pPr>
                            <w:r w:rsidRPr="00A87D57">
                              <w:rPr>
                                <w:b/>
                                <w:bCs/>
                                <w:i/>
                                <w:iCs/>
                                <w:sz w:val="18"/>
                                <w:szCs w:val="18"/>
                              </w:rPr>
                              <w:t>(Deb,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1DC934" id="_x0000_t202" coordsize="21600,21600" o:spt="202" path="m,l,21600r21600,l21600,xe">
                <v:stroke joinstyle="miter"/>
                <v:path gradientshapeok="t" o:connecttype="rect"/>
              </v:shapetype>
              <v:shape id="Text Box 2" o:spid="_x0000_s1026" type="#_x0000_t202" style="position:absolute;left:0;text-align:left;margin-left:-34.5pt;margin-top:39.3pt;width:68.5pt;height:1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" stroked="f">
                <v:textbox>
                  <w:txbxContent>
                    <w:p w14:paraId="3189F341" w14:textId="30772516" w:rsidR="00A87D57" w:rsidRPr="00A87D57" w:rsidRDefault="00A87D57">
                      <w:pPr>
                        <w:rPr>
                          <w:b/>
                          <w:bCs/>
                          <w:i/>
                          <w:iCs/>
                          <w:sz w:val="18"/>
                          <w:szCs w:val="18"/>
                        </w:rPr>
                      </w:pPr>
                      <w:r w:rsidRPr="00A87D57">
                        <w:rPr>
                          <w:b/>
                          <w:bCs/>
                          <w:i/>
                          <w:iCs/>
                          <w:sz w:val="18"/>
                          <w:szCs w:val="18"/>
                        </w:rPr>
                        <w:t>(Deb, 2024)</w:t>
                      </w:r>
                    </w:p>
                  </w:txbxContent>
                </v:textbox>
                <w10:wrap type="square"/>
              </v:shape>
            </w:pict>
          </mc:Fallback>
        </mc:AlternateContent>
      </w:r>
      <w:r w:rsidR="00A87D57">
        <w:t>Approximately 20% of children and adolescents globally have a mental health disorder</w:t>
      </w:r>
      <w:r w:rsidR="00937ECA">
        <w:t xml:space="preserve"> (</w:t>
      </w:r>
      <w:r w:rsidR="00937ECA" w:rsidRPr="00A622B6">
        <w:rPr>
          <w:lang w:eastAsia="en-GB"/>
        </w:rPr>
        <w:t>World Health Organization</w:t>
      </w:r>
      <w:r w:rsidR="00937ECA">
        <w:rPr>
          <w:lang w:eastAsia="en-GB"/>
        </w:rPr>
        <w:t xml:space="preserve">, </w:t>
      </w:r>
      <w:r w:rsidR="00937ECA" w:rsidRPr="00A622B6">
        <w:rPr>
          <w:lang w:eastAsia="en-GB"/>
        </w:rPr>
        <w:t>2025</w:t>
      </w:r>
      <w:r w:rsidR="00937ECA">
        <w:rPr>
          <w:lang w:eastAsia="en-GB"/>
        </w:rPr>
        <w:t>)</w:t>
      </w:r>
      <w:r w:rsidR="00A87D57">
        <w:t>.</w:t>
      </w:r>
    </w:p>
    <w:p w14:paraId="6FB174ED" w14:textId="02FAEBE7" w:rsidR="00A87D57" w:rsidRDefault="00A87D57" w:rsidP="00AE6C4E">
      <w:pPr>
        <w:pStyle w:val="ListParagraph"/>
        <w:numPr>
          <w:ilvl w:val="0"/>
          <w:numId w:val="6"/>
        </w:numPr>
      </w:pPr>
      <w:r>
        <w:t>Approximately 20% of individuals have post-conflict mental health disorders.</w:t>
      </w:r>
    </w:p>
    <w:p w14:paraId="76B7C753" w14:textId="0C9270A8" w:rsidR="007D22A4" w:rsidRDefault="00A87D57" w:rsidP="003B1019">
      <w:pPr>
        <w:pStyle w:val="ListParagraph"/>
        <w:numPr>
          <w:ilvl w:val="0"/>
          <w:numId w:val="6"/>
        </w:numPr>
      </w:pPr>
      <w:r>
        <w:t>The worldwide median of governmental health spending allocated to mental health is below 2%</w:t>
      </w:r>
      <w:r w:rsidR="00937ECA">
        <w:t xml:space="preserve"> (</w:t>
      </w:r>
      <w:proofErr w:type="spellStart"/>
      <w:r w:rsidR="00937ECA" w:rsidRPr="00A622B6">
        <w:rPr>
          <w:lang w:eastAsia="en-GB"/>
        </w:rPr>
        <w:t>Kieling</w:t>
      </w:r>
      <w:proofErr w:type="spellEnd"/>
      <w:r w:rsidR="00937ECA" w:rsidRPr="00A622B6">
        <w:rPr>
          <w:lang w:eastAsia="en-GB"/>
        </w:rPr>
        <w:t>,</w:t>
      </w:r>
      <w:r w:rsidR="00937ECA">
        <w:rPr>
          <w:lang w:eastAsia="en-GB"/>
        </w:rPr>
        <w:t xml:space="preserve"> 2024)</w:t>
      </w:r>
      <w:r>
        <w:t>.</w:t>
      </w:r>
    </w:p>
    <w:p w14:paraId="3EE05410" w14:textId="63F4A325" w:rsidR="003B1019" w:rsidRDefault="007D22A4" w:rsidP="007D22A4">
      <w:pPr>
        <w:pStyle w:val="Heading2"/>
        <w:rPr>
          <w:noProof/>
        </w:rPr>
      </w:pPr>
      <w:r w:rsidRPr="007D22A4">
        <w:rPr>
          <w:noProof/>
        </w:rPr>
        <w:t>Digital Mindfulness: The</w:t>
      </w:r>
      <w:r w:rsidR="00AE6C4E">
        <w:rPr>
          <w:noProof/>
        </w:rPr>
        <w:t xml:space="preserve"> Overview of</w:t>
      </w:r>
      <w:r w:rsidRPr="007D22A4">
        <w:rPr>
          <w:noProof/>
        </w:rPr>
        <w:t xml:space="preserve"> Headspace</w:t>
      </w:r>
    </w:p>
    <w:p w14:paraId="59FBAFC4" w14:textId="3FD7A635" w:rsidR="007D22A4" w:rsidRPr="00AE6C4E" w:rsidRDefault="00AE6C4E" w:rsidP="00AE6C4E">
      <w:pPr>
        <w:rPr>
          <w:noProof/>
        </w:rPr>
      </w:pPr>
      <w:r w:rsidRPr="00A87D57">
        <w:rPr>
          <w:b/>
          <w:bCs/>
          <w:i/>
          <w:iCs/>
          <w:noProof/>
          <w:sz w:val="18"/>
          <w:szCs w:val="18"/>
        </w:rPr>
        <mc:AlternateContent>
          <mc:Choice Requires="wps">
            <w:drawing>
              <wp:anchor distT="45720" distB="45720" distL="114300" distR="114300" simplePos="0" relativeHeight="251671552" behindDoc="0" locked="0" layoutInCell="1" allowOverlap="1" wp14:anchorId="33C2D10F" wp14:editId="129C8410">
                <wp:simplePos x="0" y="0"/>
                <wp:positionH relativeFrom="column">
                  <wp:posOffset>647700</wp:posOffset>
                </wp:positionH>
                <wp:positionV relativeFrom="paragraph">
                  <wp:posOffset>1811655</wp:posOffset>
                </wp:positionV>
                <wp:extent cx="1289050" cy="234950"/>
                <wp:effectExtent l="0" t="0" r="635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234950"/>
                        </a:xfrm>
                        <a:prstGeom prst="rect">
                          <a:avLst/>
                        </a:prstGeom>
                        <a:solidFill>
                          <a:srgbClr val="FFFFFF"/>
                        </a:solidFill>
                        <a:ln w="9525">
                          <a:noFill/>
                          <a:miter lim="800000"/>
                          <a:headEnd/>
                          <a:tailEnd/>
                        </a:ln>
                      </wps:spPr>
                      <wps:txbx>
                        <w:txbxContent>
                          <w:p w14:paraId="09F5E783" w14:textId="75FD7CFA" w:rsidR="00AE6C4E" w:rsidRPr="00A87D57" w:rsidRDefault="00AE6C4E" w:rsidP="00AE6C4E">
                            <w:pPr>
                              <w:rPr>
                                <w:b/>
                                <w:bCs/>
                                <w:i/>
                                <w:iCs/>
                                <w:sz w:val="18"/>
                                <w:szCs w:val="18"/>
                              </w:rPr>
                            </w:pPr>
                            <w:r w:rsidRPr="00A87D57">
                              <w:rPr>
                                <w:b/>
                                <w:bCs/>
                                <w:i/>
                                <w:iCs/>
                                <w:sz w:val="18"/>
                                <w:szCs w:val="18"/>
                              </w:rPr>
                              <w:t>(</w:t>
                            </w:r>
                            <w:r w:rsidRPr="007D22A4">
                              <w:rPr>
                                <w:b/>
                                <w:bCs/>
                                <w:i/>
                                <w:iCs/>
                                <w:noProof/>
                                <w:sz w:val="20"/>
                                <w:szCs w:val="20"/>
                              </w:rPr>
                              <w:t>Headspace</w:t>
                            </w:r>
                            <w:r>
                              <w:rPr>
                                <w:b/>
                                <w:bCs/>
                                <w:i/>
                                <w:iCs/>
                                <w:noProof/>
                                <w:sz w:val="20"/>
                                <w:szCs w:val="20"/>
                              </w:rPr>
                              <w:t>,</w:t>
                            </w:r>
                            <w:r w:rsidRPr="00A87D57">
                              <w:rPr>
                                <w:b/>
                                <w:bCs/>
                                <w:i/>
                                <w:iCs/>
                                <w:sz w:val="18"/>
                                <w:szCs w:val="18"/>
                              </w:rPr>
                              <w:t xml:space="preserve">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2D10F" id="_x0000_s1027" type="#_x0000_t202" style="position:absolute;left:0;text-align:left;margin-left:51pt;margin-top:142.65pt;width:101.5pt;height:18.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" stroked="f">
                <v:textbox>
                  <w:txbxContent>
                    <w:p w14:paraId="09F5E783" w14:textId="75FD7CFA" w:rsidR="00AE6C4E" w:rsidRPr="00A87D57" w:rsidRDefault="00AE6C4E" w:rsidP="00AE6C4E">
                      <w:pPr>
                        <w:rPr>
                          <w:b/>
                          <w:bCs/>
                          <w:i/>
                          <w:iCs/>
                          <w:sz w:val="18"/>
                          <w:szCs w:val="18"/>
                        </w:rPr>
                      </w:pPr>
                      <w:r w:rsidRPr="00A87D57">
                        <w:rPr>
                          <w:b/>
                          <w:bCs/>
                          <w:i/>
                          <w:iCs/>
                          <w:sz w:val="18"/>
                          <w:szCs w:val="18"/>
                        </w:rPr>
                        <w:t>(</w:t>
                      </w:r>
                      <w:r w:rsidRPr="007D22A4">
                        <w:rPr>
                          <w:b/>
                          <w:bCs/>
                          <w:i/>
                          <w:iCs/>
                          <w:noProof/>
                          <w:sz w:val="20"/>
                          <w:szCs w:val="20"/>
                        </w:rPr>
                        <w:t>Headspace</w:t>
                      </w:r>
                      <w:r>
                        <w:rPr>
                          <w:b/>
                          <w:bCs/>
                          <w:i/>
                          <w:iCs/>
                          <w:noProof/>
                          <w:sz w:val="20"/>
                          <w:szCs w:val="20"/>
                        </w:rPr>
                        <w:t>,</w:t>
                      </w:r>
                      <w:r w:rsidRPr="00A87D57">
                        <w:rPr>
                          <w:b/>
                          <w:bCs/>
                          <w:i/>
                          <w:iCs/>
                          <w:sz w:val="18"/>
                          <w:szCs w:val="18"/>
                        </w:rPr>
                        <w:t xml:space="preserve"> 2024)</w:t>
                      </w:r>
                    </w:p>
                  </w:txbxContent>
                </v:textbox>
                <w10:wrap type="square"/>
              </v:shape>
            </w:pict>
          </mc:Fallback>
        </mc:AlternateContent>
      </w:r>
      <w:r>
        <w:rPr>
          <w:noProof/>
        </w:rPr>
        <w:drawing>
          <wp:anchor distT="0" distB="0" distL="114300" distR="114300" simplePos="0" relativeHeight="251669504" behindDoc="0" locked="0" layoutInCell="1" allowOverlap="1" wp14:anchorId="1FA0967D" wp14:editId="402810A1">
            <wp:simplePos x="0" y="0"/>
            <wp:positionH relativeFrom="column">
              <wp:posOffset>-247650</wp:posOffset>
            </wp:positionH>
            <wp:positionV relativeFrom="paragraph">
              <wp:posOffset>103505</wp:posOffset>
            </wp:positionV>
            <wp:extent cx="3039110" cy="1708784"/>
            <wp:effectExtent l="0" t="0" r="0" b="6350"/>
            <wp:wrapThrough wrapText="bothSides">
              <wp:wrapPolygon edited="0">
                <wp:start x="0" y="0"/>
                <wp:lineTo x="0" y="21439"/>
                <wp:lineTo x="21392" y="21439"/>
                <wp:lineTo x="21392" y="0"/>
                <wp:lineTo x="0" y="0"/>
              </wp:wrapPolygon>
            </wp:wrapThrough>
            <wp:docPr id="3" name="Picture 3" descr="Headspace App Review: Is It The Right Choice For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dspace App Review: Is It The Right Choice For Yo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9110" cy="1708784"/>
                    </a:xfrm>
                    <a:prstGeom prst="rect">
                      <a:avLst/>
                    </a:prstGeom>
                    <a:noFill/>
                    <a:ln>
                      <a:noFill/>
                    </a:ln>
                  </pic:spPr>
                </pic:pic>
              </a:graphicData>
            </a:graphic>
          </wp:anchor>
        </w:drawing>
      </w:r>
      <w:r w:rsidRPr="00AE6C4E">
        <w:rPr>
          <w:noProof/>
        </w:rPr>
        <w:t>Headspace is a popular and well-regarded meditation and mindfulness app, praised for its high-quality guided meditations, comprehensive library of content for various needs like sleep and stress, and user-friendly interface, although some users report occasional app performance issues like slow loading times</w:t>
      </w:r>
      <w:r w:rsidR="00937ECA">
        <w:rPr>
          <w:noProof/>
        </w:rPr>
        <w:t xml:space="preserve"> </w:t>
      </w:r>
      <w:r w:rsidR="00937ECA">
        <w:rPr>
          <w:lang w:eastAsia="en-GB"/>
        </w:rPr>
        <w:t>(</w:t>
      </w:r>
      <w:r w:rsidR="00937ECA">
        <w:t>Ritchie et al., 2023)</w:t>
      </w:r>
      <w:r w:rsidRPr="00AE6C4E">
        <w:rPr>
          <w:noProof/>
        </w:rPr>
        <w:t>. It is often seen as a great starting point for beginners due to its structured lessons and calming voice, making it easier to build a consistent practice.</w:t>
      </w:r>
    </w:p>
    <w:p w14:paraId="12AC3494" w14:textId="4EA8AFCD" w:rsidR="004B27D0" w:rsidRPr="004B27D0" w:rsidRDefault="00AE6C4E" w:rsidP="004B27D0">
      <w:pPr>
        <w:pStyle w:val="Heading2"/>
        <w:rPr>
          <w:noProof/>
        </w:rPr>
      </w:pPr>
      <w:r w:rsidRPr="00AE6C4E">
        <w:rPr>
          <w:noProof/>
        </w:rPr>
        <w:t>Empirical Evidence of Impact: Insights from Research</w:t>
      </w:r>
    </w:p>
    <w:p w14:paraId="677CF53E" w14:textId="12B235FC" w:rsidR="004B27D0" w:rsidRDefault="00AE6C4E" w:rsidP="003B1019">
      <w:pPr>
        <w:rPr>
          <w:noProof/>
        </w:rPr>
      </w:pPr>
      <w:r w:rsidRPr="00AE6C4E">
        <w:rPr>
          <w:noProof/>
        </w:rPr>
        <w:t xml:space="preserve">According to one research </w:t>
      </w:r>
      <w:r w:rsidR="00937ECA">
        <w:rPr>
          <w:lang w:eastAsia="en-GB"/>
        </w:rPr>
        <w:t>Deb et al.,</w:t>
      </w:r>
      <w:r w:rsidR="00937ECA">
        <w:t xml:space="preserve"> (2023)</w:t>
      </w:r>
      <w:r w:rsidRPr="00AE6C4E">
        <w:rPr>
          <w:noProof/>
        </w:rPr>
        <w:t>, Headspace reduced mind-wandering and boosted concentrate by 14%. According to Headspace, research shows that using the app for as little as three weeks may help with emotional regulation. One study found that participants' aggressiveness and sensitivity to negative feedback decreased by 57% (Gavrilova and Zawadzki, 2023).</w:t>
      </w:r>
      <w:r w:rsidR="00937ECA">
        <w:rPr>
          <w:noProof/>
        </w:rPr>
        <w:t xml:space="preserve"> </w:t>
      </w:r>
      <w:r w:rsidRPr="00AE6C4E">
        <w:rPr>
          <w:noProof/>
        </w:rPr>
        <w:t>The capacity to quantify the mental health advantages of Headspace is one of its strongest points.</w:t>
      </w:r>
    </w:p>
    <w:p w14:paraId="6F593641" w14:textId="29E9CDA0" w:rsidR="004B27D0" w:rsidRDefault="004B27D0" w:rsidP="003B1019">
      <w:pPr>
        <w:rPr>
          <w:noProof/>
        </w:rPr>
      </w:pPr>
    </w:p>
    <w:p w14:paraId="09823D9B" w14:textId="64822BEA" w:rsidR="004B27D0" w:rsidRDefault="004B27D0" w:rsidP="003B1019">
      <w:pPr>
        <w:rPr>
          <w:noProof/>
        </w:rPr>
      </w:pPr>
    </w:p>
    <w:p w14:paraId="70DB8A38" w14:textId="31527ADC" w:rsidR="004B27D0" w:rsidRDefault="004B27D0" w:rsidP="003B1019">
      <w:pPr>
        <w:rPr>
          <w:noProof/>
        </w:rPr>
      </w:pPr>
    </w:p>
    <w:p w14:paraId="44400EC8" w14:textId="6883E5B9" w:rsidR="004B27D0" w:rsidRDefault="004B27D0" w:rsidP="003B1019">
      <w:pPr>
        <w:rPr>
          <w:noProof/>
        </w:rPr>
      </w:pPr>
    </w:p>
    <w:p w14:paraId="2710C698" w14:textId="77777777" w:rsidR="004B27D0" w:rsidRDefault="004B27D0" w:rsidP="003B1019">
      <w:pPr>
        <w:rPr>
          <w:noProof/>
        </w:rPr>
      </w:pPr>
    </w:p>
    <w:p w14:paraId="52F9B2AE" w14:textId="59135026" w:rsidR="007D22A4" w:rsidRDefault="007D22A4" w:rsidP="007D22A4">
      <w:pPr>
        <w:pStyle w:val="Heading2"/>
        <w:rPr>
          <w:noProof/>
        </w:rPr>
      </w:pPr>
      <w:r w:rsidRPr="007D22A4">
        <w:rPr>
          <w:noProof/>
        </w:rPr>
        <w:t xml:space="preserve">The </w:t>
      </w:r>
      <w:r w:rsidR="00AE6C4E">
        <w:rPr>
          <w:noProof/>
        </w:rPr>
        <w:t>Process</w:t>
      </w:r>
      <w:r w:rsidRPr="007D22A4">
        <w:rPr>
          <w:noProof/>
        </w:rPr>
        <w:t xml:space="preserve"> of Digital Healing</w:t>
      </w:r>
    </w:p>
    <w:p w14:paraId="32D7BC2D" w14:textId="2B68806E" w:rsidR="007D22A4" w:rsidRDefault="00AE6C4E" w:rsidP="004B27D0">
      <w:pPr>
        <w:rPr>
          <w:lang w:eastAsia="en-GB"/>
        </w:rPr>
      </w:pPr>
      <w:r w:rsidRPr="00AE6C4E">
        <w:rPr>
          <w:noProof/>
        </w:rPr>
        <w:t xml:space="preserve">Symptoms associated with mental health issues may be alleviated by the use of mindfulness applications, according to research </w:t>
      </w:r>
      <w:r w:rsidR="00937ECA">
        <w:rPr>
          <w:lang w:eastAsia="en-GB"/>
        </w:rPr>
        <w:t>(Headspace, 2024)</w:t>
      </w:r>
      <w:r w:rsidRPr="00AE6C4E">
        <w:rPr>
          <w:noProof/>
        </w:rPr>
        <w:t>. These apps specifically target three areas: attention management, defusion, and recurrent negative thinking.  Because they are easily available and convenient, app-based therapies are successful. Headspace provides evidence-based therapies at any time, day or night, unlike conventional therapy that often has waiting lists and geographical restrictions.</w:t>
      </w:r>
    </w:p>
    <w:p w14:paraId="170A5E5B" w14:textId="490A6C58" w:rsidR="004B27D0" w:rsidRDefault="004B27D0" w:rsidP="004B27D0">
      <w:pPr>
        <w:pStyle w:val="Heading2"/>
        <w:rPr>
          <w:noProof/>
        </w:rPr>
      </w:pPr>
      <w:r w:rsidRPr="004B27D0">
        <w:rPr>
          <w:noProof/>
        </w:rPr>
        <w:t>Advantages and Critical Limitations</w:t>
      </w:r>
    </w:p>
    <w:p w14:paraId="2FEB57DE" w14:textId="2955A6B4" w:rsidR="004B27D0" w:rsidRDefault="004B27D0" w:rsidP="004B27D0">
      <w:pPr>
        <w:rPr>
          <w:b/>
          <w:bCs/>
          <w:noProof/>
        </w:rPr>
      </w:pPr>
      <w:r w:rsidRPr="004B27D0">
        <w:rPr>
          <w:b/>
          <w:bCs/>
          <w:noProof/>
        </w:rPr>
        <w:t>Advantages:</w:t>
      </w:r>
    </w:p>
    <w:p w14:paraId="3ACB1162" w14:textId="3D60A7F8" w:rsidR="006B6BB0" w:rsidRDefault="006B6BB0" w:rsidP="006B6BB0">
      <w:pPr>
        <w:pStyle w:val="ListParagraph"/>
        <w:numPr>
          <w:ilvl w:val="0"/>
          <w:numId w:val="7"/>
        </w:numPr>
        <w:rPr>
          <w:noProof/>
        </w:rPr>
      </w:pPr>
      <w:r>
        <w:rPr>
          <w:noProof/>
        </w:rPr>
        <w:t>Scalability and ease of access</w:t>
      </w:r>
    </w:p>
    <w:p w14:paraId="4F0757FF" w14:textId="420E5B33" w:rsidR="006B6BB0" w:rsidRDefault="006B6BB0" w:rsidP="006B6BB0">
      <w:pPr>
        <w:pStyle w:val="ListParagraph"/>
        <w:numPr>
          <w:ilvl w:val="0"/>
          <w:numId w:val="7"/>
        </w:numPr>
        <w:rPr>
          <w:noProof/>
        </w:rPr>
      </w:pPr>
      <w:r>
        <w:rPr>
          <w:noProof/>
        </w:rPr>
        <w:t xml:space="preserve"> Customer Involvement</w:t>
      </w:r>
    </w:p>
    <w:p w14:paraId="745A5E59" w14:textId="56391DBA" w:rsidR="006B6BB0" w:rsidRDefault="006B6BB0" w:rsidP="006B6BB0">
      <w:pPr>
        <w:pStyle w:val="ListParagraph"/>
        <w:numPr>
          <w:ilvl w:val="0"/>
          <w:numId w:val="7"/>
        </w:numPr>
        <w:rPr>
          <w:noProof/>
        </w:rPr>
      </w:pPr>
      <w:r>
        <w:rPr>
          <w:noProof/>
        </w:rPr>
        <w:t xml:space="preserve"> Information Supported by Evidence</w:t>
      </w:r>
    </w:p>
    <w:p w14:paraId="10016ED5" w14:textId="389572A6" w:rsidR="006B6BB0" w:rsidRDefault="006B6BB0" w:rsidP="006B6BB0">
      <w:pPr>
        <w:pStyle w:val="ListParagraph"/>
        <w:numPr>
          <w:ilvl w:val="0"/>
          <w:numId w:val="7"/>
        </w:numPr>
        <w:rPr>
          <w:noProof/>
        </w:rPr>
      </w:pPr>
      <w:r>
        <w:rPr>
          <w:noProof/>
        </w:rPr>
        <w:t xml:space="preserve"> Efficient use of resources</w:t>
      </w:r>
    </w:p>
    <w:p w14:paraId="1FD19AF6" w14:textId="2205912F" w:rsidR="006B6BB0" w:rsidRPr="006B6BB0" w:rsidRDefault="006B6BB0" w:rsidP="006B6BB0">
      <w:pPr>
        <w:pStyle w:val="ListParagraph"/>
        <w:numPr>
          <w:ilvl w:val="0"/>
          <w:numId w:val="7"/>
        </w:numPr>
        <w:rPr>
          <w:b/>
          <w:bCs/>
          <w:noProof/>
        </w:rPr>
      </w:pPr>
      <w:r>
        <w:rPr>
          <w:noProof/>
        </w:rPr>
        <w:t xml:space="preserve"> making something unique for an individual.</w:t>
      </w:r>
    </w:p>
    <w:p w14:paraId="65291940" w14:textId="70D4691E" w:rsidR="00AE6C4E" w:rsidRPr="006B6BB0" w:rsidRDefault="00AE6C4E" w:rsidP="006B6BB0">
      <w:pPr>
        <w:rPr>
          <w:b/>
          <w:bCs/>
          <w:noProof/>
        </w:rPr>
      </w:pPr>
      <w:r w:rsidRPr="006B6BB0">
        <w:rPr>
          <w:b/>
          <w:bCs/>
          <w:noProof/>
        </w:rPr>
        <w:t>Significant limitations:</w:t>
      </w:r>
    </w:p>
    <w:p w14:paraId="3554B3E5" w14:textId="522C910C" w:rsidR="00AE6C4E" w:rsidRPr="00AE6C4E" w:rsidRDefault="00AE6C4E" w:rsidP="00AE6C4E">
      <w:pPr>
        <w:pStyle w:val="ListParagraph"/>
        <w:numPr>
          <w:ilvl w:val="0"/>
          <w:numId w:val="8"/>
        </w:numPr>
        <w:rPr>
          <w:noProof/>
        </w:rPr>
      </w:pPr>
      <w:r w:rsidRPr="00AE6C4E">
        <w:rPr>
          <w:noProof/>
        </w:rPr>
        <w:t>Brief Intervention Durations</w:t>
      </w:r>
    </w:p>
    <w:p w14:paraId="7000B129" w14:textId="12C56D94" w:rsidR="00AE6C4E" w:rsidRPr="00AE6C4E" w:rsidRDefault="00AE6C4E" w:rsidP="00AE6C4E">
      <w:pPr>
        <w:pStyle w:val="ListParagraph"/>
        <w:numPr>
          <w:ilvl w:val="0"/>
          <w:numId w:val="8"/>
        </w:numPr>
        <w:rPr>
          <w:noProof/>
        </w:rPr>
      </w:pPr>
      <w:r w:rsidRPr="00AE6C4E">
        <w:rPr>
          <w:noProof/>
        </w:rPr>
        <w:t>Elevated Attrition Rates</w:t>
      </w:r>
    </w:p>
    <w:p w14:paraId="4B8431C7" w14:textId="3B096FAD" w:rsidR="00AE6C4E" w:rsidRPr="00AE6C4E" w:rsidRDefault="00AE6C4E" w:rsidP="00AE6C4E">
      <w:pPr>
        <w:pStyle w:val="ListParagraph"/>
        <w:numPr>
          <w:ilvl w:val="0"/>
          <w:numId w:val="8"/>
        </w:numPr>
        <w:rPr>
          <w:noProof/>
        </w:rPr>
      </w:pPr>
      <w:r w:rsidRPr="00AE6C4E">
        <w:rPr>
          <w:noProof/>
        </w:rPr>
        <w:t>Conflicts of Interest</w:t>
      </w:r>
    </w:p>
    <w:p w14:paraId="55E8FF5C" w14:textId="740E206D" w:rsidR="00AE6C4E" w:rsidRPr="00AE6C4E" w:rsidRDefault="00AE6C4E" w:rsidP="00AE6C4E">
      <w:pPr>
        <w:pStyle w:val="ListParagraph"/>
        <w:numPr>
          <w:ilvl w:val="0"/>
          <w:numId w:val="8"/>
        </w:numPr>
        <w:rPr>
          <w:noProof/>
        </w:rPr>
      </w:pPr>
      <w:r w:rsidRPr="00AE6C4E">
        <w:rPr>
          <w:noProof/>
        </w:rPr>
        <w:t>Restricted Diversity</w:t>
      </w:r>
    </w:p>
    <w:p w14:paraId="093DFBEC" w14:textId="211B5D78" w:rsidR="004B27D0" w:rsidRDefault="004B27D0" w:rsidP="004B27D0">
      <w:pPr>
        <w:pStyle w:val="Heading2"/>
        <w:rPr>
          <w:noProof/>
        </w:rPr>
      </w:pPr>
      <w:r w:rsidRPr="004B27D0">
        <w:rPr>
          <w:noProof/>
        </w:rPr>
        <w:t>Addressing the Shortfalls: A Path Forward</w:t>
      </w:r>
    </w:p>
    <w:p w14:paraId="5B955397" w14:textId="369249A9" w:rsidR="00AE6C4E" w:rsidRDefault="00AE6C4E" w:rsidP="00AE6C4E">
      <w:pPr>
        <w:pStyle w:val="ListParagraph"/>
        <w:numPr>
          <w:ilvl w:val="0"/>
          <w:numId w:val="9"/>
        </w:numPr>
        <w:rPr>
          <w:noProof/>
        </w:rPr>
      </w:pPr>
      <w:r>
        <w:rPr>
          <w:noProof/>
        </w:rPr>
        <w:t>Regard mindfulness applications as an adjunct to professional mental health treatment, particularly for pronounced symptoms</w:t>
      </w:r>
      <w:r w:rsidR="00937ECA">
        <w:rPr>
          <w:noProof/>
        </w:rPr>
        <w:t xml:space="preserve"> </w:t>
      </w:r>
      <w:r w:rsidR="00937ECA">
        <w:rPr>
          <w:lang w:eastAsia="en-GB"/>
        </w:rPr>
        <w:t>(</w:t>
      </w:r>
      <w:r w:rsidR="00937ECA">
        <w:t>Ritchie et al., 2023)</w:t>
      </w:r>
      <w:r>
        <w:rPr>
          <w:noProof/>
        </w:rPr>
        <w:t>.</w:t>
      </w:r>
    </w:p>
    <w:p w14:paraId="35D43A96" w14:textId="77777777" w:rsidR="00AE6C4E" w:rsidRDefault="00AE6C4E" w:rsidP="00AE6C4E">
      <w:pPr>
        <w:pStyle w:val="ListParagraph"/>
        <w:numPr>
          <w:ilvl w:val="0"/>
          <w:numId w:val="9"/>
        </w:numPr>
        <w:rPr>
          <w:noProof/>
        </w:rPr>
      </w:pPr>
      <w:r>
        <w:rPr>
          <w:noProof/>
        </w:rPr>
        <w:t>Advanced algorithms can align users' symptoms, preferences, and reaction patterns with suitable therapies.</w:t>
      </w:r>
    </w:p>
    <w:p w14:paraId="5F735978" w14:textId="77777777" w:rsidR="00AE6C4E" w:rsidRDefault="00AE6C4E" w:rsidP="00AE6C4E">
      <w:pPr>
        <w:pStyle w:val="ListParagraph"/>
        <w:numPr>
          <w:ilvl w:val="0"/>
          <w:numId w:val="9"/>
        </w:numPr>
        <w:rPr>
          <w:noProof/>
        </w:rPr>
      </w:pPr>
      <w:r>
        <w:rPr>
          <w:noProof/>
        </w:rPr>
        <w:t>Enhanced social support may assist users in maintaining engagement and provide peer assistance to those experiencing demotivation.</w:t>
      </w:r>
    </w:p>
    <w:p w14:paraId="4E4328B3" w14:textId="3250C3C6" w:rsidR="004B27D0" w:rsidRDefault="00AE6C4E" w:rsidP="00AE6C4E">
      <w:pPr>
        <w:pStyle w:val="ListParagraph"/>
        <w:numPr>
          <w:ilvl w:val="0"/>
          <w:numId w:val="9"/>
        </w:numPr>
        <w:rPr>
          <w:noProof/>
        </w:rPr>
      </w:pPr>
      <w:r>
        <w:rPr>
          <w:noProof/>
        </w:rPr>
        <w:t>Integration with healthcare providers might facilitate the monitoring of customers requiring escalated care and guarantee proper use.</w:t>
      </w:r>
    </w:p>
    <w:p w14:paraId="6191DAB0" w14:textId="623AECD8" w:rsidR="004B27D0" w:rsidRDefault="004B27D0" w:rsidP="004B27D0">
      <w:pPr>
        <w:pStyle w:val="Heading2"/>
        <w:rPr>
          <w:noProof/>
        </w:rPr>
      </w:pPr>
      <w:r>
        <w:rPr>
          <w:noProof/>
        </w:rPr>
        <w:lastRenderedPageBreak/>
        <w:t>References</w:t>
      </w:r>
    </w:p>
    <w:p w14:paraId="1367F356" w14:textId="4EF1CF66" w:rsidR="00A622B6" w:rsidRDefault="00A622B6" w:rsidP="00A622B6">
      <w:pPr>
        <w:rPr>
          <w:lang w:eastAsia="en-GB"/>
        </w:rPr>
      </w:pPr>
      <w:r w:rsidRPr="00A622B6">
        <w:rPr>
          <w:lang w:eastAsia="en-GB"/>
        </w:rPr>
        <w:t xml:space="preserve">Deb, T. (2024). </w:t>
      </w:r>
      <w:r w:rsidRPr="00A622B6">
        <w:rPr>
          <w:i/>
          <w:iCs/>
          <w:lang w:eastAsia="en-GB"/>
        </w:rPr>
        <w:t>Mental Health Statistics 2024 By Lifestyles, Wellness, Treatment</w:t>
      </w:r>
      <w:r w:rsidRPr="00A622B6">
        <w:rPr>
          <w:lang w:eastAsia="en-GB"/>
        </w:rPr>
        <w:t xml:space="preserve">. [online] Market.us Media. Available at: </w:t>
      </w:r>
      <w:hyperlink r:id="rId9" w:history="1">
        <w:r w:rsidRPr="005F01C9">
          <w:rPr>
            <w:rStyle w:val="Hyperlink"/>
            <w:lang w:eastAsia="en-GB"/>
          </w:rPr>
          <w:t>https://media.market.us/mental-health-statistics/</w:t>
        </w:r>
      </w:hyperlink>
      <w:r w:rsidRPr="00A622B6">
        <w:rPr>
          <w:lang w:eastAsia="en-GB"/>
        </w:rPr>
        <w:t>.</w:t>
      </w:r>
    </w:p>
    <w:p w14:paraId="15EEF613" w14:textId="636203AF" w:rsidR="00A622B6" w:rsidRDefault="00A622B6" w:rsidP="00AD39B0">
      <w:r>
        <w:t xml:space="preserve">Gavrilova, L. and </w:t>
      </w:r>
      <w:proofErr w:type="spellStart"/>
      <w:r>
        <w:t>Zawadzki</w:t>
      </w:r>
      <w:proofErr w:type="spellEnd"/>
      <w:r>
        <w:t xml:space="preserve">, M.J. (2023). Examining How Headspace Impacts Mindfulness Mechanisms Over an 8-Week App-Based Mindfulness Intervention. </w:t>
      </w:r>
      <w:r>
        <w:rPr>
          <w:i/>
          <w:iCs/>
        </w:rPr>
        <w:t>Mindfulness</w:t>
      </w:r>
      <w:r>
        <w:t xml:space="preserve">, 14(9), pp.2236–2249. </w:t>
      </w:r>
      <w:proofErr w:type="spellStart"/>
      <w:r>
        <w:t>doi</w:t>
      </w:r>
      <w:proofErr w:type="spellEnd"/>
      <w:r>
        <w:t xml:space="preserve">: </w:t>
      </w:r>
      <w:hyperlink r:id="rId10" w:history="1">
        <w:r w:rsidRPr="005F01C9">
          <w:rPr>
            <w:rStyle w:val="Hyperlink"/>
          </w:rPr>
          <w:t>https://doi.org/10.1007/s12671-023-02214-4</w:t>
        </w:r>
      </w:hyperlink>
      <w:r>
        <w:t>.</w:t>
      </w:r>
    </w:p>
    <w:p w14:paraId="0B62E37D" w14:textId="7F035CF0" w:rsidR="00A622B6" w:rsidRDefault="00A622B6" w:rsidP="00AD39B0">
      <w:r>
        <w:t xml:space="preserve">Headspace (2024). </w:t>
      </w:r>
      <w:r>
        <w:rPr>
          <w:i/>
          <w:iCs/>
        </w:rPr>
        <w:t>Meditation and Mindfulness Made Simple - Headspace</w:t>
      </w:r>
      <w:r>
        <w:t xml:space="preserve">. [online] Headspace. Available at: </w:t>
      </w:r>
      <w:hyperlink r:id="rId11" w:history="1">
        <w:r w:rsidRPr="005F01C9">
          <w:rPr>
            <w:rStyle w:val="Hyperlink"/>
          </w:rPr>
          <w:t>https://www.headspace.com/</w:t>
        </w:r>
      </w:hyperlink>
      <w:r>
        <w:t>.</w:t>
      </w:r>
    </w:p>
    <w:p w14:paraId="6BBDE8CE" w14:textId="16300E3F" w:rsidR="00A622B6" w:rsidRDefault="00A622B6" w:rsidP="00A622B6">
      <w:pPr>
        <w:rPr>
          <w:lang w:eastAsia="en-GB"/>
        </w:rPr>
      </w:pPr>
      <w:proofErr w:type="spellStart"/>
      <w:r w:rsidRPr="00A622B6">
        <w:rPr>
          <w:lang w:eastAsia="en-GB"/>
        </w:rPr>
        <w:t>Kieling</w:t>
      </w:r>
      <w:proofErr w:type="spellEnd"/>
      <w:r w:rsidRPr="00A622B6">
        <w:rPr>
          <w:lang w:eastAsia="en-GB"/>
        </w:rPr>
        <w:t xml:space="preserve">, C., </w:t>
      </w:r>
      <w:proofErr w:type="spellStart"/>
      <w:r w:rsidRPr="00A622B6">
        <w:rPr>
          <w:lang w:eastAsia="en-GB"/>
        </w:rPr>
        <w:t>Buchweitz</w:t>
      </w:r>
      <w:proofErr w:type="spellEnd"/>
      <w:r w:rsidRPr="00A622B6">
        <w:rPr>
          <w:lang w:eastAsia="en-GB"/>
        </w:rPr>
        <w:t xml:space="preserve">, C., </w:t>
      </w:r>
      <w:proofErr w:type="spellStart"/>
      <w:r w:rsidRPr="00A622B6">
        <w:rPr>
          <w:lang w:eastAsia="en-GB"/>
        </w:rPr>
        <w:t>Caye</w:t>
      </w:r>
      <w:proofErr w:type="spellEnd"/>
      <w:r w:rsidRPr="00A622B6">
        <w:rPr>
          <w:lang w:eastAsia="en-GB"/>
        </w:rPr>
        <w:t xml:space="preserve">, A., </w:t>
      </w:r>
      <w:proofErr w:type="spellStart"/>
      <w:r w:rsidRPr="00A622B6">
        <w:rPr>
          <w:lang w:eastAsia="en-GB"/>
        </w:rPr>
        <w:t>Silvani</w:t>
      </w:r>
      <w:proofErr w:type="spellEnd"/>
      <w:r w:rsidRPr="00A622B6">
        <w:rPr>
          <w:lang w:eastAsia="en-GB"/>
        </w:rPr>
        <w:t xml:space="preserve">, J., </w:t>
      </w:r>
      <w:proofErr w:type="spellStart"/>
      <w:r w:rsidRPr="00A622B6">
        <w:rPr>
          <w:lang w:eastAsia="en-GB"/>
        </w:rPr>
        <w:t>Ameis</w:t>
      </w:r>
      <w:proofErr w:type="spellEnd"/>
      <w:r w:rsidRPr="00A622B6">
        <w:rPr>
          <w:lang w:eastAsia="en-GB"/>
        </w:rPr>
        <w:t xml:space="preserve">, S.H., </w:t>
      </w:r>
      <w:proofErr w:type="spellStart"/>
      <w:r w:rsidRPr="00A622B6">
        <w:rPr>
          <w:lang w:eastAsia="en-GB"/>
        </w:rPr>
        <w:t>Brunoni</w:t>
      </w:r>
      <w:proofErr w:type="spellEnd"/>
      <w:r w:rsidRPr="00A622B6">
        <w:rPr>
          <w:lang w:eastAsia="en-GB"/>
        </w:rPr>
        <w:t xml:space="preserve">, A.R., Cost, K.T., Courtney, D.B., Georgiades, K., </w:t>
      </w:r>
      <w:proofErr w:type="spellStart"/>
      <w:r w:rsidRPr="00A622B6">
        <w:rPr>
          <w:lang w:eastAsia="en-GB"/>
        </w:rPr>
        <w:t>Merikangas</w:t>
      </w:r>
      <w:proofErr w:type="spellEnd"/>
      <w:r w:rsidRPr="00A622B6">
        <w:rPr>
          <w:lang w:eastAsia="en-GB"/>
        </w:rPr>
        <w:t xml:space="preserve">, K.R., Henderson, J.L., </w:t>
      </w:r>
      <w:proofErr w:type="spellStart"/>
      <w:r w:rsidRPr="00A622B6">
        <w:rPr>
          <w:lang w:eastAsia="en-GB"/>
        </w:rPr>
        <w:t>Polanczyk</w:t>
      </w:r>
      <w:proofErr w:type="spellEnd"/>
      <w:r w:rsidRPr="00A622B6">
        <w:rPr>
          <w:lang w:eastAsia="en-GB"/>
        </w:rPr>
        <w:t xml:space="preserve">, G.V., Rohde, L.A., </w:t>
      </w:r>
      <w:proofErr w:type="spellStart"/>
      <w:r w:rsidRPr="00A622B6">
        <w:rPr>
          <w:lang w:eastAsia="en-GB"/>
        </w:rPr>
        <w:t>Salum</w:t>
      </w:r>
      <w:proofErr w:type="spellEnd"/>
      <w:r w:rsidRPr="00A622B6">
        <w:rPr>
          <w:lang w:eastAsia="en-GB"/>
        </w:rPr>
        <w:t xml:space="preserve">, G.A. and </w:t>
      </w:r>
      <w:proofErr w:type="spellStart"/>
      <w:r w:rsidRPr="00A622B6">
        <w:rPr>
          <w:lang w:eastAsia="en-GB"/>
        </w:rPr>
        <w:t>Szatmari</w:t>
      </w:r>
      <w:proofErr w:type="spellEnd"/>
      <w:r w:rsidRPr="00A622B6">
        <w:rPr>
          <w:lang w:eastAsia="en-GB"/>
        </w:rPr>
        <w:t xml:space="preserve">, P. (2024). Worldwide Prevalence and Disability </w:t>
      </w:r>
      <w:proofErr w:type="gramStart"/>
      <w:r w:rsidRPr="00A622B6">
        <w:rPr>
          <w:lang w:eastAsia="en-GB"/>
        </w:rPr>
        <w:t>From</w:t>
      </w:r>
      <w:proofErr w:type="gramEnd"/>
      <w:r w:rsidRPr="00A622B6">
        <w:rPr>
          <w:lang w:eastAsia="en-GB"/>
        </w:rPr>
        <w:t xml:space="preserve"> Mental Disorders Across Childhood and Adolescence: Evidence From the Global Burden of Disease Study. </w:t>
      </w:r>
      <w:r w:rsidRPr="00A622B6">
        <w:rPr>
          <w:i/>
          <w:iCs/>
          <w:lang w:eastAsia="en-GB"/>
        </w:rPr>
        <w:t>JAMA Psychiatry</w:t>
      </w:r>
      <w:r w:rsidRPr="00A622B6">
        <w:rPr>
          <w:lang w:eastAsia="en-GB"/>
        </w:rPr>
        <w:t xml:space="preserve">, [online] 81(4), pp.347–356. </w:t>
      </w:r>
      <w:proofErr w:type="spellStart"/>
      <w:r w:rsidRPr="00A622B6">
        <w:rPr>
          <w:lang w:eastAsia="en-GB"/>
        </w:rPr>
        <w:t>doi</w:t>
      </w:r>
      <w:proofErr w:type="spellEnd"/>
      <w:r w:rsidRPr="00A622B6">
        <w:rPr>
          <w:lang w:eastAsia="en-GB"/>
        </w:rPr>
        <w:t xml:space="preserve">: </w:t>
      </w:r>
      <w:hyperlink r:id="rId12" w:history="1">
        <w:r w:rsidRPr="005F01C9">
          <w:rPr>
            <w:rStyle w:val="Hyperlink"/>
            <w:lang w:eastAsia="en-GB"/>
          </w:rPr>
          <w:t>https://doi.org/10.1001/jamapsychiatry.2023.5051</w:t>
        </w:r>
      </w:hyperlink>
      <w:r w:rsidRPr="00A622B6">
        <w:rPr>
          <w:lang w:eastAsia="en-GB"/>
        </w:rPr>
        <w:t>.</w:t>
      </w:r>
    </w:p>
    <w:p w14:paraId="6F992217" w14:textId="0DF67FD9" w:rsidR="00A622B6" w:rsidRDefault="00A622B6" w:rsidP="00AD39B0">
      <w:r>
        <w:t xml:space="preserve">Ritchie, H., </w:t>
      </w:r>
      <w:proofErr w:type="spellStart"/>
      <w:r>
        <w:t>Roser</w:t>
      </w:r>
      <w:proofErr w:type="spellEnd"/>
      <w:r>
        <w:t xml:space="preserve">, M., </w:t>
      </w:r>
      <w:proofErr w:type="spellStart"/>
      <w:r>
        <w:t>Dattani</w:t>
      </w:r>
      <w:proofErr w:type="spellEnd"/>
      <w:r>
        <w:t xml:space="preserve">, S. and </w:t>
      </w:r>
      <w:proofErr w:type="spellStart"/>
      <w:r>
        <w:t>Rodes-Guirao</w:t>
      </w:r>
      <w:proofErr w:type="spellEnd"/>
      <w:r>
        <w:t xml:space="preserve">, L. (2023). </w:t>
      </w:r>
      <w:r>
        <w:rPr>
          <w:i/>
          <w:iCs/>
        </w:rPr>
        <w:t>Mental health</w:t>
      </w:r>
      <w:r>
        <w:t xml:space="preserve">. [online] Our World in Data. Available at: </w:t>
      </w:r>
      <w:hyperlink r:id="rId13" w:history="1">
        <w:r w:rsidRPr="005F01C9">
          <w:rPr>
            <w:rStyle w:val="Hyperlink"/>
          </w:rPr>
          <w:t>https://ourworldindata.org/mental-health</w:t>
        </w:r>
      </w:hyperlink>
      <w:r>
        <w:t>.</w:t>
      </w:r>
    </w:p>
    <w:p w14:paraId="2719A25C" w14:textId="208DCD57" w:rsidR="00AD39B0" w:rsidRDefault="00A622B6" w:rsidP="00937ECA">
      <w:pPr>
        <w:rPr>
          <w:lang w:eastAsia="en-GB"/>
        </w:rPr>
      </w:pPr>
      <w:r w:rsidRPr="00A622B6">
        <w:rPr>
          <w:lang w:eastAsia="en-GB"/>
        </w:rPr>
        <w:t xml:space="preserve">World Health Organization (2025). </w:t>
      </w:r>
      <w:r w:rsidRPr="00A622B6">
        <w:rPr>
          <w:i/>
          <w:iCs/>
          <w:lang w:eastAsia="en-GB"/>
        </w:rPr>
        <w:t>Over a billion people living with mental health conditions – services require urgent scale-up</w:t>
      </w:r>
      <w:r w:rsidRPr="00A622B6">
        <w:rPr>
          <w:lang w:eastAsia="en-GB"/>
        </w:rPr>
        <w:t xml:space="preserve">. [online] Who.int. Available at: </w:t>
      </w:r>
      <w:hyperlink r:id="rId14" w:history="1">
        <w:r w:rsidRPr="005F01C9">
          <w:rPr>
            <w:rStyle w:val="Hyperlink"/>
            <w:lang w:eastAsia="en-GB"/>
          </w:rPr>
          <w:t>https://www.who.int/news/item/02-09-2025-over-a-billion-people-living-with-mental-health-conditions-services-require-urgent-scale-up</w:t>
        </w:r>
      </w:hyperlink>
      <w:r w:rsidRPr="00A622B6">
        <w:rPr>
          <w:lang w:eastAsia="en-GB"/>
        </w:rPr>
        <w:t>.</w:t>
      </w:r>
      <w:r w:rsidR="00AD39B0">
        <w:rPr>
          <w:noProof/>
        </w:rPr>
        <w:br w:type="page"/>
      </w:r>
    </w:p>
    <w:p w14:paraId="6BEC8CD1" w14:textId="001C6A94" w:rsidR="004B27D0" w:rsidRDefault="00AD39B0" w:rsidP="00AD39B0">
      <w:pPr>
        <w:jc w:val="center"/>
        <w:rPr>
          <w:b/>
          <w:bCs/>
          <w:noProof/>
          <w:sz w:val="24"/>
          <w:szCs w:val="24"/>
        </w:rPr>
      </w:pPr>
      <w:r w:rsidRPr="00AD39B0">
        <w:rPr>
          <w:b/>
          <w:bCs/>
          <w:noProof/>
          <w:sz w:val="24"/>
          <w:szCs w:val="24"/>
        </w:rPr>
        <w:lastRenderedPageBreak/>
        <w:t xml:space="preserve">Blog 2: </w:t>
      </w:r>
      <w:r w:rsidR="00A36DA2" w:rsidRPr="00A36DA2">
        <w:rPr>
          <w:b/>
          <w:bCs/>
          <w:noProof/>
          <w:sz w:val="24"/>
          <w:szCs w:val="24"/>
        </w:rPr>
        <w:t>“Building the Next Digital Therapist: Imagining an AI-Driven CBT Platform for Everyday Mental Health Support”</w:t>
      </w:r>
    </w:p>
    <w:p w14:paraId="0D2F4E05" w14:textId="0B407568" w:rsidR="00AD39B0" w:rsidRDefault="00A36DA2" w:rsidP="008D2A27">
      <w:pPr>
        <w:pStyle w:val="Heading2"/>
        <w:rPr>
          <w:noProof/>
        </w:rPr>
      </w:pPr>
      <w:r w:rsidRPr="00A36DA2">
        <w:rPr>
          <w:noProof/>
        </w:rPr>
        <w:t>The Ongoing Issue: Deficiencies in Mental Health Care</w:t>
      </w:r>
    </w:p>
    <w:p w14:paraId="43F5F3F0" w14:textId="4835E4F1" w:rsidR="008D2A27" w:rsidRPr="00A36DA2" w:rsidRDefault="00A36DA2" w:rsidP="00AD39B0">
      <w:r>
        <w:rPr>
          <w:noProof/>
        </w:rPr>
        <w:drawing>
          <wp:anchor distT="0" distB="0" distL="114300" distR="114300" simplePos="0" relativeHeight="251672576" behindDoc="0" locked="0" layoutInCell="1" allowOverlap="1" wp14:anchorId="39DA191A" wp14:editId="0FAD0C42">
            <wp:simplePos x="0" y="0"/>
            <wp:positionH relativeFrom="column">
              <wp:posOffset>63500</wp:posOffset>
            </wp:positionH>
            <wp:positionV relativeFrom="paragraph">
              <wp:posOffset>56515</wp:posOffset>
            </wp:positionV>
            <wp:extent cx="2822659" cy="2357011"/>
            <wp:effectExtent l="0" t="0" r="0" b="5715"/>
            <wp:wrapThrough wrapText="bothSides">
              <wp:wrapPolygon edited="0">
                <wp:start x="0" y="0"/>
                <wp:lineTo x="0" y="21478"/>
                <wp:lineTo x="21430" y="21478"/>
                <wp:lineTo x="2143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22659" cy="2357011"/>
                    </a:xfrm>
                    <a:prstGeom prst="rect">
                      <a:avLst/>
                    </a:prstGeom>
                    <a:noFill/>
                    <a:ln>
                      <a:noFill/>
                    </a:ln>
                  </pic:spPr>
                </pic:pic>
              </a:graphicData>
            </a:graphic>
          </wp:anchor>
        </w:drawing>
      </w:r>
      <w:r w:rsidRPr="00A36DA2">
        <w:rPr>
          <w:noProof/>
        </w:rPr>
        <w:t>According to recent statistics from the World Health Organisation (</w:t>
      </w:r>
      <w:r w:rsidR="00A622B6">
        <w:rPr>
          <w:noProof/>
        </w:rPr>
        <w:t>2025</w:t>
      </w:r>
      <w:r w:rsidRPr="00A36DA2">
        <w:rPr>
          <w:noProof/>
        </w:rPr>
        <w:t>), over 1 billion individuals are afflicted with mental health illnesses, with ailments including anxiety and depression imposing significant human and economic burdens.</w:t>
      </w:r>
      <w:r>
        <w:t xml:space="preserve"> </w:t>
      </w:r>
    </w:p>
    <w:p w14:paraId="2094D487" w14:textId="7188DA36" w:rsidR="008D2A27" w:rsidRDefault="008D2A27" w:rsidP="008D2A27">
      <w:pPr>
        <w:jc w:val="center"/>
        <w:rPr>
          <w:noProof/>
        </w:rPr>
      </w:pPr>
    </w:p>
    <w:p w14:paraId="54CB41C8" w14:textId="66F9637D" w:rsidR="00A36DA2" w:rsidRDefault="00A36DA2" w:rsidP="008D2A27">
      <w:pPr>
        <w:jc w:val="center"/>
        <w:rPr>
          <w:b/>
          <w:bCs/>
          <w:i/>
          <w:iCs/>
          <w:noProof/>
          <w:sz w:val="20"/>
          <w:szCs w:val="20"/>
        </w:rPr>
      </w:pPr>
    </w:p>
    <w:p w14:paraId="7827D8E4" w14:textId="086AA25B" w:rsidR="00A36DA2" w:rsidRDefault="00A36DA2" w:rsidP="00A36DA2">
      <w:pPr>
        <w:rPr>
          <w:noProof/>
        </w:rPr>
      </w:pPr>
      <w:r w:rsidRPr="00A87D57">
        <w:rPr>
          <w:b/>
          <w:bCs/>
          <w:i/>
          <w:iCs/>
          <w:noProof/>
          <w:sz w:val="18"/>
          <w:szCs w:val="18"/>
        </w:rPr>
        <mc:AlternateContent>
          <mc:Choice Requires="wps">
            <w:drawing>
              <wp:anchor distT="45720" distB="45720" distL="114300" distR="114300" simplePos="0" relativeHeight="251676672" behindDoc="0" locked="0" layoutInCell="1" allowOverlap="1" wp14:anchorId="5F0CA61F" wp14:editId="37B4E3F3">
                <wp:simplePos x="0" y="0"/>
                <wp:positionH relativeFrom="column">
                  <wp:posOffset>749300</wp:posOffset>
                </wp:positionH>
                <wp:positionV relativeFrom="paragraph">
                  <wp:posOffset>96520</wp:posOffset>
                </wp:positionV>
                <wp:extent cx="1289050" cy="234950"/>
                <wp:effectExtent l="0" t="0" r="635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234950"/>
                        </a:xfrm>
                        <a:prstGeom prst="rect">
                          <a:avLst/>
                        </a:prstGeom>
                        <a:solidFill>
                          <a:srgbClr val="FFFFFF"/>
                        </a:solidFill>
                        <a:ln w="9525">
                          <a:noFill/>
                          <a:miter lim="800000"/>
                          <a:headEnd/>
                          <a:tailEnd/>
                        </a:ln>
                      </wps:spPr>
                      <wps:txbx>
                        <w:txbxContent>
                          <w:p w14:paraId="63AE9E28" w14:textId="753A1AAE" w:rsidR="00A36DA2" w:rsidRPr="00A87D57" w:rsidRDefault="00A36DA2" w:rsidP="00A36DA2">
                            <w:pPr>
                              <w:rPr>
                                <w:b/>
                                <w:bCs/>
                                <w:i/>
                                <w:iCs/>
                                <w:sz w:val="18"/>
                                <w:szCs w:val="18"/>
                              </w:rPr>
                            </w:pPr>
                            <w:r w:rsidRPr="00A87D57">
                              <w:rPr>
                                <w:b/>
                                <w:bCs/>
                                <w:i/>
                                <w:iCs/>
                                <w:sz w:val="18"/>
                                <w:szCs w:val="18"/>
                              </w:rPr>
                              <w:t>(</w:t>
                            </w:r>
                            <w:proofErr w:type="spellStart"/>
                            <w:r w:rsidRPr="00A36DA2">
                              <w:rPr>
                                <w:b/>
                                <w:bCs/>
                                <w:i/>
                                <w:iCs/>
                                <w:sz w:val="18"/>
                                <w:szCs w:val="18"/>
                              </w:rPr>
                              <w:t>Kieling</w:t>
                            </w:r>
                            <w:proofErr w:type="spellEnd"/>
                            <w:r w:rsidRPr="00A36DA2">
                              <w:rPr>
                                <w:b/>
                                <w:bCs/>
                                <w:i/>
                                <w:iCs/>
                                <w:sz w:val="18"/>
                                <w:szCs w:val="18"/>
                              </w:rPr>
                              <w:t xml:space="preserve"> et al., 2024</w:t>
                            </w:r>
                            <w:r w:rsidRPr="00A87D57">
                              <w:rPr>
                                <w:b/>
                                <w:bCs/>
                                <w:i/>
                                <w:i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CA61F" id="_x0000_s1028" type="#_x0000_t202" style="position:absolute;left:0;text-align:left;margin-left:59pt;margin-top:7.6pt;width:101.5pt;height:18.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" stroked="f">
                <v:textbox>
                  <w:txbxContent>
                    <w:p w14:paraId="63AE9E28" w14:textId="753A1AAE" w:rsidR="00A36DA2" w:rsidRPr="00A87D57" w:rsidRDefault="00A36DA2" w:rsidP="00A36DA2">
                      <w:pPr>
                        <w:rPr>
                          <w:b/>
                          <w:bCs/>
                          <w:i/>
                          <w:iCs/>
                          <w:sz w:val="18"/>
                          <w:szCs w:val="18"/>
                        </w:rPr>
                      </w:pPr>
                      <w:r w:rsidRPr="00A87D57">
                        <w:rPr>
                          <w:b/>
                          <w:bCs/>
                          <w:i/>
                          <w:iCs/>
                          <w:sz w:val="18"/>
                          <w:szCs w:val="18"/>
                        </w:rPr>
                        <w:t>(</w:t>
                      </w:r>
                      <w:proofErr w:type="spellStart"/>
                      <w:r w:rsidRPr="00A36DA2">
                        <w:rPr>
                          <w:b/>
                          <w:bCs/>
                          <w:i/>
                          <w:iCs/>
                          <w:sz w:val="18"/>
                          <w:szCs w:val="18"/>
                        </w:rPr>
                        <w:t>Kieling</w:t>
                      </w:r>
                      <w:proofErr w:type="spellEnd"/>
                      <w:r w:rsidRPr="00A36DA2">
                        <w:rPr>
                          <w:b/>
                          <w:bCs/>
                          <w:i/>
                          <w:iCs/>
                          <w:sz w:val="18"/>
                          <w:szCs w:val="18"/>
                        </w:rPr>
                        <w:t xml:space="preserve"> et al., 2024</w:t>
                      </w:r>
                      <w:r w:rsidRPr="00A87D57">
                        <w:rPr>
                          <w:b/>
                          <w:bCs/>
                          <w:i/>
                          <w:iCs/>
                          <w:sz w:val="18"/>
                          <w:szCs w:val="18"/>
                        </w:rPr>
                        <w:t>)</w:t>
                      </w:r>
                    </w:p>
                  </w:txbxContent>
                </v:textbox>
                <w10:wrap type="square"/>
              </v:shape>
            </w:pict>
          </mc:Fallback>
        </mc:AlternateContent>
      </w:r>
    </w:p>
    <w:p w14:paraId="67D7FA6A" w14:textId="18CED414" w:rsidR="00A36DA2" w:rsidRDefault="00A36DA2" w:rsidP="00A36DA2">
      <w:pPr>
        <w:rPr>
          <w:noProof/>
        </w:rPr>
      </w:pPr>
    </w:p>
    <w:p w14:paraId="12B54868" w14:textId="59B43303" w:rsidR="008D2A27" w:rsidRDefault="00A36DA2" w:rsidP="0016549B">
      <w:pPr>
        <w:pStyle w:val="Heading2"/>
        <w:rPr>
          <w:noProof/>
        </w:rPr>
      </w:pPr>
      <w:r w:rsidRPr="00A36DA2">
        <w:rPr>
          <w:noProof/>
        </w:rPr>
        <w:t>Presenting MindfulAI Companion: An Innovative Strategy</w:t>
      </w:r>
    </w:p>
    <w:p w14:paraId="6CE297CE" w14:textId="25EC6837" w:rsidR="0016549B" w:rsidRDefault="00F83C13" w:rsidP="00A622B6">
      <w:pPr>
        <w:rPr>
          <w:noProof/>
        </w:rPr>
      </w:pPr>
      <w:r>
        <w:rPr>
          <w:noProof/>
        </w:rPr>
        <w:drawing>
          <wp:anchor distT="0" distB="0" distL="114300" distR="114300" simplePos="0" relativeHeight="251677696" behindDoc="0" locked="0" layoutInCell="1" allowOverlap="1" wp14:anchorId="1B205CC6" wp14:editId="55A88908">
            <wp:simplePos x="0" y="0"/>
            <wp:positionH relativeFrom="column">
              <wp:posOffset>3968750</wp:posOffset>
            </wp:positionH>
            <wp:positionV relativeFrom="paragraph">
              <wp:posOffset>73660</wp:posOffset>
            </wp:positionV>
            <wp:extent cx="2270305" cy="2353310"/>
            <wp:effectExtent l="0" t="0" r="0" b="0"/>
            <wp:wrapThrough wrapText="bothSides">
              <wp:wrapPolygon edited="0">
                <wp:start x="12507" y="0"/>
                <wp:lineTo x="7250" y="350"/>
                <wp:lineTo x="3081" y="1574"/>
                <wp:lineTo x="3081" y="2798"/>
                <wp:lineTo x="2356" y="3847"/>
                <wp:lineTo x="1269" y="5595"/>
                <wp:lineTo x="725" y="8393"/>
                <wp:lineTo x="1269" y="11540"/>
                <wp:lineTo x="3444" y="13988"/>
                <wp:lineTo x="3625" y="14513"/>
                <wp:lineTo x="6163" y="16436"/>
                <wp:lineTo x="7975" y="16786"/>
                <wp:lineTo x="1450" y="17485"/>
                <wp:lineTo x="544" y="17835"/>
                <wp:lineTo x="544" y="20982"/>
                <wp:lineTo x="20845" y="20982"/>
                <wp:lineTo x="21207" y="18010"/>
                <wp:lineTo x="19757" y="17485"/>
                <wp:lineTo x="11782" y="16786"/>
                <wp:lineTo x="16495" y="15911"/>
                <wp:lineTo x="18670" y="14513"/>
                <wp:lineTo x="18126" y="13988"/>
                <wp:lineTo x="20301" y="11191"/>
                <wp:lineTo x="21026" y="10666"/>
                <wp:lineTo x="20845" y="9792"/>
                <wp:lineTo x="19576" y="8393"/>
                <wp:lineTo x="19938" y="5595"/>
                <wp:lineTo x="18126" y="2798"/>
                <wp:lineTo x="18307" y="1749"/>
                <wp:lineTo x="17038" y="874"/>
                <wp:lineTo x="13776" y="0"/>
                <wp:lineTo x="12507" y="0"/>
              </wp:wrapPolygon>
            </wp:wrapThrough>
            <wp:docPr id="10" name="Picture 10" descr="MindfulAI Course for Senior Schools | Build AI-Fluent Students | Digital  Literacy Licence — Digital Literacy Lic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dfulAI Course for Senior Schools | Build AI-Fluent Students | Digital  Literacy Licence — Digital Literacy Lic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70305" cy="2353310"/>
                    </a:xfrm>
                    <a:prstGeom prst="rect">
                      <a:avLst/>
                    </a:prstGeom>
                    <a:noFill/>
                    <a:ln>
                      <a:noFill/>
                    </a:ln>
                  </pic:spPr>
                </pic:pic>
              </a:graphicData>
            </a:graphic>
          </wp:anchor>
        </w:drawing>
      </w:r>
      <w:r w:rsidR="00A36DA2" w:rsidRPr="00A36DA2">
        <w:rPr>
          <w:noProof/>
        </w:rPr>
        <w:t>To address these shortcomings, I propose developing MindfulAI Companion, an AI-driven digital platform that integrates CBT with sophisticated machine learning, real-time tracking, and the provision of tailored interventions</w:t>
      </w:r>
      <w:r w:rsidR="00A622B6">
        <w:rPr>
          <w:noProof/>
        </w:rPr>
        <w:t xml:space="preserve">n </w:t>
      </w:r>
      <w:r w:rsidR="00A622B6">
        <w:rPr>
          <w:lang w:eastAsia="en-GB"/>
        </w:rPr>
        <w:t>(</w:t>
      </w:r>
      <w:proofErr w:type="spellStart"/>
      <w:r w:rsidR="00A622B6">
        <w:rPr>
          <w:lang w:eastAsia="en-GB"/>
        </w:rPr>
        <w:t>Torous</w:t>
      </w:r>
      <w:proofErr w:type="spellEnd"/>
      <w:r w:rsidR="00A622B6">
        <w:rPr>
          <w:lang w:eastAsia="en-GB"/>
        </w:rPr>
        <w:t xml:space="preserve"> et al., 2025)</w:t>
      </w:r>
      <w:r w:rsidR="00A36DA2" w:rsidRPr="00A36DA2">
        <w:rPr>
          <w:noProof/>
        </w:rPr>
        <w:t>.</w:t>
      </w:r>
    </w:p>
    <w:p w14:paraId="43428B8E" w14:textId="14BF93CA" w:rsidR="0016549B" w:rsidRDefault="00A36DA2" w:rsidP="00AD39B0">
      <w:pPr>
        <w:rPr>
          <w:b/>
          <w:bCs/>
          <w:noProof/>
        </w:rPr>
      </w:pPr>
      <w:r>
        <w:rPr>
          <w:b/>
          <w:bCs/>
          <w:noProof/>
        </w:rPr>
        <w:t xml:space="preserve">Key </w:t>
      </w:r>
      <w:r w:rsidR="0016549B" w:rsidRPr="0016549B">
        <w:rPr>
          <w:b/>
          <w:bCs/>
          <w:noProof/>
        </w:rPr>
        <w:t>Design Features and Architecture</w:t>
      </w:r>
    </w:p>
    <w:p w14:paraId="217F5C4A" w14:textId="77777777" w:rsidR="00A36DA2" w:rsidRDefault="00A36DA2" w:rsidP="00A36DA2">
      <w:pPr>
        <w:rPr>
          <w:noProof/>
        </w:rPr>
      </w:pPr>
      <w:r>
        <w:rPr>
          <w:noProof/>
        </w:rPr>
        <w:t>MindfulAI Companion incorporates many advanced technologies and empirically supported therapy methods:</w:t>
      </w:r>
    </w:p>
    <w:p w14:paraId="4BC3789B" w14:textId="1269AC75" w:rsidR="00F83C13" w:rsidRDefault="00A36DA2" w:rsidP="00A36DA2">
      <w:pPr>
        <w:rPr>
          <w:noProof/>
        </w:rPr>
      </w:pPr>
      <w:r w:rsidRPr="00F83C13">
        <w:rPr>
          <w:b/>
          <w:bCs/>
          <w:noProof/>
        </w:rPr>
        <w:t>Artificial Intelligence-Driven Personalisation System:</w:t>
      </w:r>
      <w:r w:rsidR="00F83C13">
        <w:rPr>
          <w:noProof/>
        </w:rPr>
        <w:t xml:space="preserve"> </w:t>
      </w:r>
      <w:r>
        <w:rPr>
          <w:noProof/>
        </w:rPr>
        <w:t>The software personalises medicine according to user behaviour and symptoms using sophisticated machine learning algorithms.</w:t>
      </w:r>
      <w:r w:rsidR="00937ECA">
        <w:rPr>
          <w:noProof/>
        </w:rPr>
        <w:t xml:space="preserve"> </w:t>
      </w:r>
      <w:r>
        <w:rPr>
          <w:noProof/>
        </w:rPr>
        <w:t>Artificial intelligence enhances the timing, content selection, and delivery of treatments, supported by studies indicating that personalised interventions have greater impact sizes (Koh et al., 2021).</w:t>
      </w:r>
    </w:p>
    <w:p w14:paraId="2B50B96D" w14:textId="3DE9ECD2" w:rsidR="00A36DA2" w:rsidRDefault="00A36DA2" w:rsidP="00A36DA2">
      <w:pPr>
        <w:rPr>
          <w:noProof/>
        </w:rPr>
      </w:pPr>
      <w:r w:rsidRPr="00F83C13">
        <w:rPr>
          <w:b/>
          <w:bCs/>
          <w:noProof/>
        </w:rPr>
        <w:t>Immediate Biometric Integration:</w:t>
      </w:r>
      <w:r w:rsidR="00F83C13">
        <w:rPr>
          <w:noProof/>
        </w:rPr>
        <w:t xml:space="preserve"> </w:t>
      </w:r>
      <w:r>
        <w:rPr>
          <w:noProof/>
        </w:rPr>
        <w:t>MindfulAI Companion use wearable gadgets and smartphone sensors to monitor physiological indications of mental health, in contrast to self-reported applications.</w:t>
      </w:r>
    </w:p>
    <w:p w14:paraId="7647B9DC" w14:textId="5E4F81B8" w:rsidR="00A36DA2" w:rsidRDefault="00A36DA2" w:rsidP="00A36DA2">
      <w:pPr>
        <w:rPr>
          <w:noProof/>
        </w:rPr>
      </w:pPr>
      <w:r w:rsidRPr="00F83C13">
        <w:rPr>
          <w:b/>
          <w:bCs/>
          <w:noProof/>
        </w:rPr>
        <w:lastRenderedPageBreak/>
        <w:t>Adaptive Cognitive Behavioural Therapy Module System:</w:t>
      </w:r>
      <w:r w:rsidR="00F83C13">
        <w:rPr>
          <w:noProof/>
        </w:rPr>
        <w:t xml:space="preserve"> </w:t>
      </w:r>
      <w:r>
        <w:rPr>
          <w:noProof/>
        </w:rPr>
        <w:t>Interactive modules adjust according on user advancement and involvement to provide evidence-based cognitive-behavioral therapy therapies.</w:t>
      </w:r>
    </w:p>
    <w:p w14:paraId="149579F0" w14:textId="109443E7" w:rsidR="00A36DA2" w:rsidRPr="00937ECA" w:rsidRDefault="00A36DA2" w:rsidP="00937ECA">
      <w:pPr>
        <w:rPr>
          <w:rFonts w:ascii="Times New Roman" w:eastAsia="Times New Roman" w:hAnsi="Times New Roman" w:cs="Times New Roman"/>
          <w:sz w:val="24"/>
          <w:szCs w:val="24"/>
          <w:lang w:eastAsia="en-GB"/>
        </w:rPr>
      </w:pPr>
      <w:r w:rsidRPr="00F83C13">
        <w:rPr>
          <w:b/>
          <w:bCs/>
          <w:noProof/>
        </w:rPr>
        <w:t>Digital Therapeutic Assistant:</w:t>
      </w:r>
      <w:r w:rsidR="00F83C13">
        <w:rPr>
          <w:noProof/>
        </w:rPr>
        <w:t xml:space="preserve"> </w:t>
      </w:r>
      <w:r>
        <w:rPr>
          <w:noProof/>
        </w:rPr>
        <w:t>An AI-driven conversational agent use natural language processing to provide round-the-clock therapeutic dialogues, psychoeducational content, and intervention recommendations</w:t>
      </w:r>
      <w:r w:rsidR="00937ECA">
        <w:rPr>
          <w:noProof/>
        </w:rPr>
        <w:t xml:space="preserve"> </w:t>
      </w:r>
      <w:r w:rsidR="00937ECA" w:rsidRPr="00937ECA">
        <w:t>(</w:t>
      </w:r>
      <w:proofErr w:type="spellStart"/>
      <w:r w:rsidR="00937ECA" w:rsidRPr="00937ECA">
        <w:t>Kieling</w:t>
      </w:r>
      <w:proofErr w:type="spellEnd"/>
      <w:r w:rsidR="00937ECA" w:rsidRPr="00937ECA">
        <w:t xml:space="preserve"> et al., 2024)</w:t>
      </w:r>
      <w:r w:rsidRPr="00937ECA">
        <w:t>.</w:t>
      </w:r>
    </w:p>
    <w:p w14:paraId="4B8910AA" w14:textId="4129294C" w:rsidR="0016549B" w:rsidRDefault="00F83C13" w:rsidP="0016549B">
      <w:pPr>
        <w:pStyle w:val="Heading2"/>
        <w:rPr>
          <w:noProof/>
        </w:rPr>
      </w:pPr>
      <w:r w:rsidRPr="00F83C13">
        <w:rPr>
          <w:noProof/>
        </w:rPr>
        <w:t>MindfulAI Companion: A Smarter Way to Navigate Everyday Mental Health Challenges</w:t>
      </w:r>
    </w:p>
    <w:p w14:paraId="493DE484" w14:textId="3B1C180E" w:rsidR="00F83C13" w:rsidRPr="00F83C13" w:rsidRDefault="0016549B" w:rsidP="00F83C13">
      <w:pPr>
        <w:rPr>
          <w:b/>
          <w:bCs/>
          <w:noProof/>
        </w:rPr>
      </w:pPr>
      <w:r w:rsidRPr="00F27512">
        <w:rPr>
          <w:b/>
          <w:bCs/>
          <w:noProof/>
        </w:rPr>
        <w:t>Immediate Crisis Support</w:t>
      </w:r>
      <w:r w:rsidR="00F83C13">
        <w:rPr>
          <w:b/>
          <w:bCs/>
          <w:noProof/>
        </w:rPr>
        <w:t xml:space="preserve">: </w:t>
      </w:r>
      <w:r w:rsidR="00F83C13" w:rsidRPr="00F83C13">
        <w:rPr>
          <w:noProof/>
        </w:rPr>
        <w:t>The platform has advanced crisis detection algorithms that analyse user inputs, behavioural patterns, and physiological data for indications of suicide intent or significant decline.</w:t>
      </w:r>
    </w:p>
    <w:p w14:paraId="775262AC" w14:textId="2D5976BF" w:rsidR="00F83C13" w:rsidRPr="00F83C13" w:rsidRDefault="00F83C13" w:rsidP="00F83C13">
      <w:pPr>
        <w:rPr>
          <w:lang w:eastAsia="en-GB"/>
        </w:rPr>
      </w:pPr>
      <w:r w:rsidRPr="00F83C13">
        <w:rPr>
          <w:b/>
          <w:bCs/>
          <w:noProof/>
        </w:rPr>
        <w:t>Customised Therapeutic Approaches:</w:t>
      </w:r>
      <w:r>
        <w:rPr>
          <w:noProof/>
        </w:rPr>
        <w:t xml:space="preserve"> </w:t>
      </w:r>
      <w:r w:rsidRPr="00F83C13">
        <w:rPr>
          <w:noProof/>
        </w:rPr>
        <w:t>Research on the efficacy of digital CBT feeds the platform's personalised treatment programs that adjust according to user response patterns</w:t>
      </w:r>
      <w:r w:rsidR="00A622B6">
        <w:rPr>
          <w:noProof/>
        </w:rPr>
        <w:t xml:space="preserve"> </w:t>
      </w:r>
      <w:r w:rsidR="00A622B6">
        <w:t>(</w:t>
      </w:r>
      <w:r w:rsidR="00A622B6" w:rsidRPr="00A622B6">
        <w:rPr>
          <w:lang w:eastAsia="en-GB"/>
        </w:rPr>
        <w:t>The Lancet Digital Health</w:t>
      </w:r>
      <w:r w:rsidR="00A622B6">
        <w:rPr>
          <w:lang w:eastAsia="en-GB"/>
        </w:rPr>
        <w:t xml:space="preserve">, </w:t>
      </w:r>
      <w:r w:rsidR="00A622B6" w:rsidRPr="00A622B6">
        <w:rPr>
          <w:lang w:eastAsia="en-GB"/>
        </w:rPr>
        <w:t>2022</w:t>
      </w:r>
      <w:r w:rsidR="00A622B6">
        <w:rPr>
          <w:lang w:eastAsia="en-GB"/>
        </w:rPr>
        <w:t>).</w:t>
      </w:r>
    </w:p>
    <w:p w14:paraId="01B85743" w14:textId="5146DF1A" w:rsidR="00F83C13" w:rsidRPr="00F83C13" w:rsidRDefault="00F83C13" w:rsidP="00F83C13">
      <w:pPr>
        <w:rPr>
          <w:noProof/>
        </w:rPr>
      </w:pPr>
      <w:r w:rsidRPr="00F83C13">
        <w:rPr>
          <w:b/>
          <w:bCs/>
          <w:noProof/>
        </w:rPr>
        <w:t>Addressing Care Disparities:</w:t>
      </w:r>
      <w:r>
        <w:rPr>
          <w:noProof/>
        </w:rPr>
        <w:t xml:space="preserve"> </w:t>
      </w:r>
      <w:r w:rsidRPr="00F83C13">
        <w:rPr>
          <w:noProof/>
        </w:rPr>
        <w:t>MindfulAI Companion offers evidence-based assistance to people on essential professional care waiting lists. Research indicates that mobile applications used during waits for psychiatric visits considerably alleviate symptoms of sadness and anxiety</w:t>
      </w:r>
      <w:r w:rsidR="00A622B6">
        <w:rPr>
          <w:noProof/>
        </w:rPr>
        <w:t xml:space="preserve"> </w:t>
      </w:r>
      <w:r w:rsidR="00A622B6">
        <w:rPr>
          <w:lang w:eastAsia="en-GB"/>
        </w:rPr>
        <w:t>(</w:t>
      </w:r>
      <w:proofErr w:type="spellStart"/>
      <w:r w:rsidR="00A622B6">
        <w:t>Martinengo</w:t>
      </w:r>
      <w:proofErr w:type="spellEnd"/>
      <w:r w:rsidR="00A622B6">
        <w:t xml:space="preserve"> et al., 2021)</w:t>
      </w:r>
      <w:r w:rsidRPr="00F83C13">
        <w:rPr>
          <w:noProof/>
        </w:rPr>
        <w:t>.</w:t>
      </w:r>
    </w:p>
    <w:p w14:paraId="7871CECD" w14:textId="5ECB928B" w:rsidR="00F27512" w:rsidRDefault="00F27512" w:rsidP="00F27512">
      <w:pPr>
        <w:pStyle w:val="Heading2"/>
        <w:rPr>
          <w:noProof/>
        </w:rPr>
      </w:pPr>
      <w:r w:rsidRPr="00F27512">
        <w:rPr>
          <w:noProof/>
        </w:rPr>
        <w:t>Advantages</w:t>
      </w:r>
    </w:p>
    <w:p w14:paraId="1AC73FB0" w14:textId="03A10A00" w:rsidR="00F83C13" w:rsidRDefault="00F83C13" w:rsidP="00F83C13">
      <w:pPr>
        <w:pStyle w:val="ListParagraph"/>
        <w:numPr>
          <w:ilvl w:val="0"/>
          <w:numId w:val="10"/>
        </w:numPr>
        <w:rPr>
          <w:noProof/>
        </w:rPr>
      </w:pPr>
      <w:r>
        <w:rPr>
          <w:noProof/>
        </w:rPr>
        <w:t>The platform approaches mental health via many methods, including CBT, mindfulness, and behavioural activation, potentially yielding greater impact sizes than single therapy</w:t>
      </w:r>
      <w:r w:rsidR="00A622B6">
        <w:rPr>
          <w:noProof/>
        </w:rPr>
        <w:t xml:space="preserve"> </w:t>
      </w:r>
      <w:r w:rsidR="00A622B6">
        <w:rPr>
          <w:lang w:eastAsia="en-GB"/>
        </w:rPr>
        <w:t>(</w:t>
      </w:r>
      <w:proofErr w:type="spellStart"/>
      <w:r w:rsidR="00A622B6">
        <w:rPr>
          <w:lang w:eastAsia="en-GB"/>
        </w:rPr>
        <w:t>Torous</w:t>
      </w:r>
      <w:proofErr w:type="spellEnd"/>
      <w:r w:rsidR="00A622B6">
        <w:rPr>
          <w:lang w:eastAsia="en-GB"/>
        </w:rPr>
        <w:t xml:space="preserve"> et al., 2025).</w:t>
      </w:r>
    </w:p>
    <w:p w14:paraId="4451A302" w14:textId="77777777" w:rsidR="00F83C13" w:rsidRDefault="00F83C13" w:rsidP="00F83C13">
      <w:pPr>
        <w:pStyle w:val="ListParagraph"/>
        <w:numPr>
          <w:ilvl w:val="0"/>
          <w:numId w:val="10"/>
        </w:numPr>
        <w:rPr>
          <w:noProof/>
        </w:rPr>
      </w:pPr>
      <w:r>
        <w:rPr>
          <w:noProof/>
        </w:rPr>
        <w:t>MindfulAI Companion guarantees care continuity via integrated professional supervision and escalation protocols, in contrast to independent applications.</w:t>
      </w:r>
    </w:p>
    <w:p w14:paraId="654F2440" w14:textId="3C6686E4" w:rsidR="00E814F8" w:rsidRDefault="00F83C13" w:rsidP="00F83C13">
      <w:pPr>
        <w:pStyle w:val="ListParagraph"/>
        <w:numPr>
          <w:ilvl w:val="0"/>
          <w:numId w:val="10"/>
        </w:numPr>
        <w:rPr>
          <w:noProof/>
        </w:rPr>
      </w:pPr>
      <w:r>
        <w:rPr>
          <w:noProof/>
        </w:rPr>
        <w:t>Conventional mental health services have challenges in scalability, while the platform can accommodate an infinite number of users with tailored experiences.</w:t>
      </w:r>
    </w:p>
    <w:p w14:paraId="1A9D2787" w14:textId="3D77E4B6" w:rsidR="00E814F8" w:rsidRPr="00E814F8" w:rsidRDefault="00E814F8" w:rsidP="00E814F8">
      <w:pPr>
        <w:pStyle w:val="Heading2"/>
        <w:rPr>
          <w:noProof/>
        </w:rPr>
      </w:pPr>
      <w:r w:rsidRPr="00E814F8">
        <w:rPr>
          <w:noProof/>
        </w:rPr>
        <w:t>Challenges</w:t>
      </w:r>
    </w:p>
    <w:p w14:paraId="5580A36D" w14:textId="77777777" w:rsidR="00F83C13" w:rsidRDefault="00F83C13" w:rsidP="00F83C13">
      <w:pPr>
        <w:pStyle w:val="ListParagraph"/>
        <w:numPr>
          <w:ilvl w:val="0"/>
          <w:numId w:val="11"/>
        </w:numPr>
        <w:rPr>
          <w:noProof/>
        </w:rPr>
      </w:pPr>
      <w:r w:rsidRPr="00F83C13">
        <w:rPr>
          <w:b/>
          <w:bCs/>
          <w:noProof/>
        </w:rPr>
        <w:t>Concerns Regarding Privacy and Data Security:</w:t>
      </w:r>
      <w:r>
        <w:rPr>
          <w:noProof/>
        </w:rPr>
        <w:t xml:space="preserve"> The personalisation of AI necessitates substantial data collecting, which raises privacy issues.</w:t>
      </w:r>
    </w:p>
    <w:p w14:paraId="65E74311" w14:textId="77777777" w:rsidR="00F83C13" w:rsidRDefault="00F83C13" w:rsidP="00F83C13">
      <w:pPr>
        <w:pStyle w:val="ListParagraph"/>
        <w:numPr>
          <w:ilvl w:val="0"/>
          <w:numId w:val="11"/>
        </w:numPr>
        <w:rPr>
          <w:noProof/>
        </w:rPr>
      </w:pPr>
      <w:r w:rsidRPr="00F83C13">
        <w:rPr>
          <w:b/>
          <w:bCs/>
          <w:noProof/>
        </w:rPr>
        <w:t>Excessive Dependence on Technology:</w:t>
      </w:r>
      <w:r>
        <w:rPr>
          <w:noProof/>
        </w:rPr>
        <w:t xml:space="preserve"> Users may grow reliant on applications rather than cultivating autonomous coping mechanisms.</w:t>
      </w:r>
    </w:p>
    <w:p w14:paraId="678BBC77" w14:textId="73B12DB2" w:rsidR="00E814F8" w:rsidRDefault="00F83C13" w:rsidP="00F83C13">
      <w:pPr>
        <w:pStyle w:val="ListParagraph"/>
        <w:numPr>
          <w:ilvl w:val="0"/>
          <w:numId w:val="11"/>
        </w:numPr>
        <w:rPr>
          <w:noProof/>
        </w:rPr>
      </w:pPr>
      <w:r w:rsidRPr="00F83C13">
        <w:rPr>
          <w:b/>
          <w:bCs/>
          <w:noProof/>
        </w:rPr>
        <w:lastRenderedPageBreak/>
        <w:t>Clinical Validity Requirements:</w:t>
      </w:r>
      <w:r>
        <w:rPr>
          <w:noProof/>
        </w:rPr>
        <w:t xml:space="preserve"> For serious mental health disorders, the platform would need extensive and costly clinical studies over many years to establish its effectiveness</w:t>
      </w:r>
      <w:r w:rsidR="00A622B6">
        <w:rPr>
          <w:noProof/>
        </w:rPr>
        <w:t xml:space="preserve"> </w:t>
      </w:r>
      <w:r w:rsidR="00A622B6">
        <w:rPr>
          <w:lang w:eastAsia="en-GB"/>
        </w:rPr>
        <w:t>(</w:t>
      </w:r>
      <w:proofErr w:type="spellStart"/>
      <w:r w:rsidR="00A622B6">
        <w:t>Martinengo</w:t>
      </w:r>
      <w:proofErr w:type="spellEnd"/>
      <w:r w:rsidR="00A622B6">
        <w:t xml:space="preserve"> et al., 2021)</w:t>
      </w:r>
      <w:r>
        <w:rPr>
          <w:noProof/>
        </w:rPr>
        <w:t>.</w:t>
      </w:r>
    </w:p>
    <w:p w14:paraId="5F82998B" w14:textId="39DD70E9" w:rsidR="00E814F8" w:rsidRDefault="00E814F8" w:rsidP="00E814F8">
      <w:pPr>
        <w:pStyle w:val="Heading2"/>
        <w:rPr>
          <w:noProof/>
        </w:rPr>
      </w:pPr>
      <w:r w:rsidRPr="00E814F8">
        <w:rPr>
          <w:noProof/>
        </w:rPr>
        <w:t>Addressing the Shortfalls: Implementation Strategies</w:t>
      </w:r>
    </w:p>
    <w:p w14:paraId="776D2A36" w14:textId="361F6566" w:rsidR="00F83C13" w:rsidRDefault="00F83C13" w:rsidP="00F83C13">
      <w:pPr>
        <w:pStyle w:val="ListParagraph"/>
        <w:numPr>
          <w:ilvl w:val="0"/>
          <w:numId w:val="12"/>
        </w:numPr>
        <w:rPr>
          <w:noProof/>
        </w:rPr>
      </w:pPr>
      <w:r>
        <w:rPr>
          <w:noProof/>
        </w:rPr>
        <w:t>Framework for Protection and Privacy</w:t>
      </w:r>
    </w:p>
    <w:p w14:paraId="31F959BF" w14:textId="6D81C847" w:rsidR="00F83C13" w:rsidRDefault="00F83C13" w:rsidP="00F83C13">
      <w:pPr>
        <w:pStyle w:val="ListParagraph"/>
        <w:numPr>
          <w:ilvl w:val="0"/>
          <w:numId w:val="12"/>
        </w:numPr>
        <w:rPr>
          <w:noProof/>
        </w:rPr>
      </w:pPr>
      <w:r>
        <w:rPr>
          <w:noProof/>
        </w:rPr>
        <w:t>Reducing Bias and Ensuring Equity</w:t>
      </w:r>
    </w:p>
    <w:p w14:paraId="5959729B" w14:textId="26ED3DE9" w:rsidR="00F83C13" w:rsidRDefault="00F83C13" w:rsidP="00F83C13">
      <w:pPr>
        <w:pStyle w:val="ListParagraph"/>
        <w:numPr>
          <w:ilvl w:val="0"/>
          <w:numId w:val="12"/>
        </w:numPr>
        <w:rPr>
          <w:noProof/>
        </w:rPr>
      </w:pPr>
      <w:r>
        <w:rPr>
          <w:noProof/>
        </w:rPr>
        <w:t>Integrating and training professionals</w:t>
      </w:r>
    </w:p>
    <w:p w14:paraId="1341EA2F" w14:textId="766CDFB2" w:rsidR="00F83C13" w:rsidRDefault="00F83C13" w:rsidP="00F83C13">
      <w:pPr>
        <w:pStyle w:val="ListParagraph"/>
        <w:numPr>
          <w:ilvl w:val="0"/>
          <w:numId w:val="12"/>
        </w:numPr>
        <w:rPr>
          <w:noProof/>
        </w:rPr>
      </w:pPr>
      <w:r>
        <w:rPr>
          <w:noProof/>
        </w:rPr>
        <w:t>The protocol for clinical validation.</w:t>
      </w:r>
    </w:p>
    <w:p w14:paraId="3DF9336A" w14:textId="49CE9784" w:rsidR="00F83C13" w:rsidRDefault="00F83C13" w:rsidP="00F83C13">
      <w:pPr>
        <w:pStyle w:val="ListParagraph"/>
        <w:numPr>
          <w:ilvl w:val="0"/>
          <w:numId w:val="12"/>
        </w:numPr>
        <w:rPr>
          <w:noProof/>
        </w:rPr>
      </w:pPr>
      <w:r>
        <w:rPr>
          <w:noProof/>
        </w:rPr>
        <w:t>Enhancements to Accessibility</w:t>
      </w:r>
    </w:p>
    <w:p w14:paraId="54AB7F7B" w14:textId="77777777" w:rsidR="00A622B6" w:rsidRDefault="00F83C13" w:rsidP="00F83C13">
      <w:pPr>
        <w:pStyle w:val="ListParagraph"/>
        <w:numPr>
          <w:ilvl w:val="0"/>
          <w:numId w:val="12"/>
        </w:numPr>
        <w:rPr>
          <w:noProof/>
        </w:rPr>
      </w:pPr>
      <w:r>
        <w:rPr>
          <w:noProof/>
        </w:rPr>
        <w:t>Framework for Ethical Supervision</w:t>
      </w:r>
    </w:p>
    <w:p w14:paraId="157BF0C2" w14:textId="77777777" w:rsidR="00A622B6" w:rsidRDefault="00A622B6" w:rsidP="00A622B6">
      <w:pPr>
        <w:rPr>
          <w:noProof/>
        </w:rPr>
      </w:pPr>
    </w:p>
    <w:p w14:paraId="1F207504" w14:textId="77777777" w:rsidR="00A622B6" w:rsidRDefault="00A622B6" w:rsidP="00A622B6">
      <w:pPr>
        <w:rPr>
          <w:noProof/>
        </w:rPr>
      </w:pPr>
    </w:p>
    <w:p w14:paraId="176C57A7" w14:textId="4ED010C7" w:rsidR="00174D49" w:rsidRDefault="00174D49" w:rsidP="00A622B6">
      <w:pPr>
        <w:rPr>
          <w:noProof/>
        </w:rPr>
      </w:pPr>
      <w:r>
        <w:rPr>
          <w:noProof/>
        </w:rPr>
        <w:br w:type="page"/>
      </w:r>
    </w:p>
    <w:p w14:paraId="2D5797EB" w14:textId="540B1ABD" w:rsidR="00E814F8" w:rsidRDefault="00174D49" w:rsidP="00174D49">
      <w:pPr>
        <w:pStyle w:val="Heading2"/>
        <w:rPr>
          <w:noProof/>
        </w:rPr>
      </w:pPr>
      <w:r>
        <w:rPr>
          <w:noProof/>
        </w:rPr>
        <w:lastRenderedPageBreak/>
        <w:t>References</w:t>
      </w:r>
    </w:p>
    <w:p w14:paraId="05CA6FF4" w14:textId="3011E754" w:rsidR="00937ECA" w:rsidRDefault="00937ECA" w:rsidP="00937ECA">
      <w:proofErr w:type="spellStart"/>
      <w:r w:rsidRPr="00A622B6">
        <w:rPr>
          <w:lang w:eastAsia="en-GB"/>
        </w:rPr>
        <w:t>Kieling</w:t>
      </w:r>
      <w:proofErr w:type="spellEnd"/>
      <w:r w:rsidRPr="00A622B6">
        <w:rPr>
          <w:lang w:eastAsia="en-GB"/>
        </w:rPr>
        <w:t xml:space="preserve">, C., </w:t>
      </w:r>
      <w:proofErr w:type="spellStart"/>
      <w:r w:rsidRPr="00A622B6">
        <w:rPr>
          <w:lang w:eastAsia="en-GB"/>
        </w:rPr>
        <w:t>Buchweitz</w:t>
      </w:r>
      <w:proofErr w:type="spellEnd"/>
      <w:r w:rsidRPr="00A622B6">
        <w:rPr>
          <w:lang w:eastAsia="en-GB"/>
        </w:rPr>
        <w:t xml:space="preserve">, C., </w:t>
      </w:r>
      <w:proofErr w:type="spellStart"/>
      <w:r w:rsidRPr="00A622B6">
        <w:rPr>
          <w:lang w:eastAsia="en-GB"/>
        </w:rPr>
        <w:t>Caye</w:t>
      </w:r>
      <w:proofErr w:type="spellEnd"/>
      <w:r w:rsidRPr="00A622B6">
        <w:rPr>
          <w:lang w:eastAsia="en-GB"/>
        </w:rPr>
        <w:t xml:space="preserve">, A., </w:t>
      </w:r>
      <w:proofErr w:type="spellStart"/>
      <w:r w:rsidRPr="00A622B6">
        <w:rPr>
          <w:lang w:eastAsia="en-GB"/>
        </w:rPr>
        <w:t>Silvani</w:t>
      </w:r>
      <w:proofErr w:type="spellEnd"/>
      <w:r w:rsidRPr="00A622B6">
        <w:rPr>
          <w:lang w:eastAsia="en-GB"/>
        </w:rPr>
        <w:t xml:space="preserve">, J., </w:t>
      </w:r>
      <w:proofErr w:type="spellStart"/>
      <w:r w:rsidRPr="00A622B6">
        <w:rPr>
          <w:lang w:eastAsia="en-GB"/>
        </w:rPr>
        <w:t>Ameis</w:t>
      </w:r>
      <w:proofErr w:type="spellEnd"/>
      <w:r w:rsidRPr="00A622B6">
        <w:rPr>
          <w:lang w:eastAsia="en-GB"/>
        </w:rPr>
        <w:t xml:space="preserve">, S.H., </w:t>
      </w:r>
      <w:proofErr w:type="spellStart"/>
      <w:r w:rsidRPr="00A622B6">
        <w:rPr>
          <w:lang w:eastAsia="en-GB"/>
        </w:rPr>
        <w:t>Brunoni</w:t>
      </w:r>
      <w:proofErr w:type="spellEnd"/>
      <w:r w:rsidRPr="00A622B6">
        <w:rPr>
          <w:lang w:eastAsia="en-GB"/>
        </w:rPr>
        <w:t xml:space="preserve">, A.R., Cost, K.T., Courtney, D.B., Georgiades, K., </w:t>
      </w:r>
      <w:proofErr w:type="spellStart"/>
      <w:r w:rsidRPr="00A622B6">
        <w:rPr>
          <w:lang w:eastAsia="en-GB"/>
        </w:rPr>
        <w:t>Merikangas</w:t>
      </w:r>
      <w:proofErr w:type="spellEnd"/>
      <w:r w:rsidRPr="00A622B6">
        <w:rPr>
          <w:lang w:eastAsia="en-GB"/>
        </w:rPr>
        <w:t xml:space="preserve">, K.R., Henderson, J.L., </w:t>
      </w:r>
      <w:proofErr w:type="spellStart"/>
      <w:r w:rsidRPr="00A622B6">
        <w:rPr>
          <w:lang w:eastAsia="en-GB"/>
        </w:rPr>
        <w:t>Polanczyk</w:t>
      </w:r>
      <w:proofErr w:type="spellEnd"/>
      <w:r w:rsidRPr="00A622B6">
        <w:rPr>
          <w:lang w:eastAsia="en-GB"/>
        </w:rPr>
        <w:t xml:space="preserve">, G.V., Rohde, L.A., </w:t>
      </w:r>
      <w:proofErr w:type="spellStart"/>
      <w:r w:rsidRPr="00A622B6">
        <w:rPr>
          <w:lang w:eastAsia="en-GB"/>
        </w:rPr>
        <w:t>Salum</w:t>
      </w:r>
      <w:proofErr w:type="spellEnd"/>
      <w:r w:rsidRPr="00A622B6">
        <w:rPr>
          <w:lang w:eastAsia="en-GB"/>
        </w:rPr>
        <w:t xml:space="preserve">, G.A. and </w:t>
      </w:r>
      <w:proofErr w:type="spellStart"/>
      <w:r w:rsidRPr="00A622B6">
        <w:rPr>
          <w:lang w:eastAsia="en-GB"/>
        </w:rPr>
        <w:t>Szatmari</w:t>
      </w:r>
      <w:proofErr w:type="spellEnd"/>
      <w:r w:rsidRPr="00A622B6">
        <w:rPr>
          <w:lang w:eastAsia="en-GB"/>
        </w:rPr>
        <w:t xml:space="preserve">, P. (2024). Worldwide Prevalence and Disability </w:t>
      </w:r>
      <w:proofErr w:type="gramStart"/>
      <w:r w:rsidRPr="00A622B6">
        <w:rPr>
          <w:lang w:eastAsia="en-GB"/>
        </w:rPr>
        <w:t>From</w:t>
      </w:r>
      <w:proofErr w:type="gramEnd"/>
      <w:r w:rsidRPr="00A622B6">
        <w:rPr>
          <w:lang w:eastAsia="en-GB"/>
        </w:rPr>
        <w:t xml:space="preserve"> Mental Disorders Across Childhood and Adolescence: Evidence From the Global Burden of Disease Study. </w:t>
      </w:r>
      <w:r w:rsidRPr="00A622B6">
        <w:rPr>
          <w:i/>
          <w:iCs/>
          <w:lang w:eastAsia="en-GB"/>
        </w:rPr>
        <w:t>JAMA Psychiatry</w:t>
      </w:r>
      <w:r w:rsidRPr="00A622B6">
        <w:rPr>
          <w:lang w:eastAsia="en-GB"/>
        </w:rPr>
        <w:t xml:space="preserve">, [online] 81(4), pp.347–356. </w:t>
      </w:r>
      <w:proofErr w:type="spellStart"/>
      <w:r w:rsidRPr="00A622B6">
        <w:rPr>
          <w:lang w:eastAsia="en-GB"/>
        </w:rPr>
        <w:t>doi</w:t>
      </w:r>
      <w:proofErr w:type="spellEnd"/>
      <w:r w:rsidRPr="00A622B6">
        <w:rPr>
          <w:lang w:eastAsia="en-GB"/>
        </w:rPr>
        <w:t xml:space="preserve">: </w:t>
      </w:r>
      <w:hyperlink r:id="rId17" w:history="1">
        <w:r w:rsidRPr="00937ECA">
          <w:t>https://doi.org/10.1001/jamapsychiatry.2023.5051</w:t>
        </w:r>
      </w:hyperlink>
      <w:r w:rsidRPr="00937ECA">
        <w:t>.</w:t>
      </w:r>
    </w:p>
    <w:p w14:paraId="4235850F" w14:textId="77777777" w:rsidR="00937ECA" w:rsidRDefault="00937ECA" w:rsidP="00937ECA">
      <w:pPr>
        <w:rPr>
          <w:noProof/>
        </w:rPr>
      </w:pPr>
      <w:r w:rsidRPr="00174D49">
        <w:rPr>
          <w:noProof/>
        </w:rPr>
        <w:t>Koh, A., Swanepoel, D.W., Ling, A., Ho, B.L., Tan, S.Y. and Lim, J.</w:t>
      </w:r>
      <w:r>
        <w:rPr>
          <w:noProof/>
        </w:rPr>
        <w:t xml:space="preserve"> (</w:t>
      </w:r>
      <w:r w:rsidRPr="00174D49">
        <w:rPr>
          <w:noProof/>
        </w:rPr>
        <w:t>2021</w:t>
      </w:r>
      <w:r>
        <w:rPr>
          <w:noProof/>
        </w:rPr>
        <w:t>)</w:t>
      </w:r>
      <w:r w:rsidRPr="00174D49">
        <w:rPr>
          <w:noProof/>
        </w:rPr>
        <w:t>. Digital health promotion: promise and peril. Health Promotion International, 36(Supplement_1), pp.i70-i80.</w:t>
      </w:r>
    </w:p>
    <w:p w14:paraId="1A3E6ABE" w14:textId="77777777" w:rsidR="00937ECA" w:rsidRDefault="00937ECA" w:rsidP="00937ECA">
      <w:proofErr w:type="spellStart"/>
      <w:r>
        <w:t>Martinengo</w:t>
      </w:r>
      <w:proofErr w:type="spellEnd"/>
      <w:r>
        <w:t xml:space="preserve">, L., </w:t>
      </w:r>
      <w:proofErr w:type="spellStart"/>
      <w:r>
        <w:t>Stona</w:t>
      </w:r>
      <w:proofErr w:type="spellEnd"/>
      <w:r>
        <w:t xml:space="preserve">, A.-C., </w:t>
      </w:r>
      <w:proofErr w:type="spellStart"/>
      <w:r>
        <w:t>Griva</w:t>
      </w:r>
      <w:proofErr w:type="spellEnd"/>
      <w:r>
        <w:t xml:space="preserve">, K., </w:t>
      </w:r>
      <w:proofErr w:type="spellStart"/>
      <w:r>
        <w:t>Dazzan</w:t>
      </w:r>
      <w:proofErr w:type="spellEnd"/>
      <w:r>
        <w:t xml:space="preserve">, P., </w:t>
      </w:r>
      <w:proofErr w:type="spellStart"/>
      <w:r>
        <w:t>Pariante</w:t>
      </w:r>
      <w:proofErr w:type="spellEnd"/>
      <w:r>
        <w:t xml:space="preserve">, C.M., von </w:t>
      </w:r>
      <w:proofErr w:type="spellStart"/>
      <w:r>
        <w:t>Wangenheim</w:t>
      </w:r>
      <w:proofErr w:type="spellEnd"/>
      <w:r>
        <w:t xml:space="preserve">, F. and Car, J. (2021). Self-guided Cognitive </w:t>
      </w:r>
      <w:proofErr w:type="spellStart"/>
      <w:r>
        <w:t>Behavioral</w:t>
      </w:r>
      <w:proofErr w:type="spellEnd"/>
      <w:r>
        <w:t xml:space="preserve"> Therapy Apps for Depression: Systematic Assessment of Features, Functionality, and Congruence </w:t>
      </w:r>
      <w:proofErr w:type="gramStart"/>
      <w:r>
        <w:t>With</w:t>
      </w:r>
      <w:proofErr w:type="gramEnd"/>
      <w:r>
        <w:t xml:space="preserve"> Evidence. </w:t>
      </w:r>
      <w:r>
        <w:rPr>
          <w:i/>
          <w:iCs/>
        </w:rPr>
        <w:t>Journal of Medical Internet Research</w:t>
      </w:r>
      <w:r>
        <w:t xml:space="preserve">, 23(7), p.e27619. </w:t>
      </w:r>
      <w:proofErr w:type="spellStart"/>
      <w:r>
        <w:t>doi</w:t>
      </w:r>
      <w:proofErr w:type="spellEnd"/>
      <w:r>
        <w:t xml:space="preserve">: </w:t>
      </w:r>
      <w:hyperlink r:id="rId18" w:history="1">
        <w:r w:rsidRPr="005F01C9">
          <w:rPr>
            <w:rStyle w:val="Hyperlink"/>
          </w:rPr>
          <w:t>https://doi.org/10.2196/27619</w:t>
        </w:r>
      </w:hyperlink>
      <w:r>
        <w:t>.</w:t>
      </w:r>
    </w:p>
    <w:p w14:paraId="6791A9C7" w14:textId="77777777" w:rsidR="00937ECA" w:rsidRDefault="00937ECA" w:rsidP="00937ECA">
      <w:pPr>
        <w:rPr>
          <w:lang w:eastAsia="en-GB"/>
        </w:rPr>
      </w:pPr>
      <w:r w:rsidRPr="00A622B6">
        <w:rPr>
          <w:lang w:eastAsia="en-GB"/>
        </w:rPr>
        <w:t xml:space="preserve">The Lancet Digital Health (2022). Mental health in the digital age. </w:t>
      </w:r>
      <w:r w:rsidRPr="00A622B6">
        <w:rPr>
          <w:i/>
          <w:iCs/>
          <w:lang w:eastAsia="en-GB"/>
        </w:rPr>
        <w:t>The Lancet Digital Health</w:t>
      </w:r>
      <w:r w:rsidRPr="00A622B6">
        <w:rPr>
          <w:lang w:eastAsia="en-GB"/>
        </w:rPr>
        <w:t xml:space="preserve">, 4(11). </w:t>
      </w:r>
      <w:proofErr w:type="spellStart"/>
      <w:r w:rsidRPr="00A622B6">
        <w:rPr>
          <w:lang w:eastAsia="en-GB"/>
        </w:rPr>
        <w:t>doi</w:t>
      </w:r>
      <w:proofErr w:type="spellEnd"/>
      <w:r w:rsidRPr="00A622B6">
        <w:rPr>
          <w:lang w:eastAsia="en-GB"/>
        </w:rPr>
        <w:t xml:space="preserve">: </w:t>
      </w:r>
      <w:hyperlink r:id="rId19" w:history="1">
        <w:r w:rsidRPr="005F01C9">
          <w:rPr>
            <w:rStyle w:val="Hyperlink"/>
            <w:lang w:eastAsia="en-GB"/>
          </w:rPr>
          <w:t>https://doi.org/10.1016/s2589-7500(22)00191-1</w:t>
        </w:r>
      </w:hyperlink>
      <w:r w:rsidRPr="00A622B6">
        <w:rPr>
          <w:lang w:eastAsia="en-GB"/>
        </w:rPr>
        <w:t>.</w:t>
      </w:r>
    </w:p>
    <w:p w14:paraId="5A2B1E51" w14:textId="77777777" w:rsidR="00937ECA" w:rsidRDefault="00937ECA" w:rsidP="00937ECA">
      <w:pPr>
        <w:rPr>
          <w:lang w:eastAsia="en-GB"/>
        </w:rPr>
      </w:pPr>
      <w:bookmarkStart w:id="0" w:name="_Hlk214637571"/>
      <w:proofErr w:type="spellStart"/>
      <w:r w:rsidRPr="00A622B6">
        <w:rPr>
          <w:lang w:eastAsia="en-GB"/>
        </w:rPr>
        <w:t>Torous</w:t>
      </w:r>
      <w:proofErr w:type="spellEnd"/>
      <w:r w:rsidRPr="00A622B6">
        <w:rPr>
          <w:lang w:eastAsia="en-GB"/>
        </w:rPr>
        <w:t xml:space="preserve">, J., </w:t>
      </w:r>
      <w:proofErr w:type="spellStart"/>
      <w:r w:rsidRPr="00A622B6">
        <w:rPr>
          <w:lang w:eastAsia="en-GB"/>
        </w:rPr>
        <w:t>Linardon</w:t>
      </w:r>
      <w:proofErr w:type="spellEnd"/>
      <w:r w:rsidRPr="00A622B6">
        <w:rPr>
          <w:lang w:eastAsia="en-GB"/>
        </w:rPr>
        <w:t xml:space="preserve">, J., Goldberg, S.B., Sun, S., Bell, I., Nicholas, J., Hassan, L., Hua, Y., Milton, A. and Firth, J. (2025). The evolving field of digital mental health: current evidence and implementation issues for smartphone apps, generative artificial intelligence, and virtual reality. </w:t>
      </w:r>
      <w:r w:rsidRPr="00A622B6">
        <w:rPr>
          <w:i/>
          <w:iCs/>
          <w:lang w:eastAsia="en-GB"/>
        </w:rPr>
        <w:t>World Psychiatry</w:t>
      </w:r>
      <w:r w:rsidRPr="00A622B6">
        <w:rPr>
          <w:lang w:eastAsia="en-GB"/>
        </w:rPr>
        <w:t xml:space="preserve">, [online] 24(2), pp.156–174. </w:t>
      </w:r>
      <w:proofErr w:type="spellStart"/>
      <w:r w:rsidRPr="00A622B6">
        <w:rPr>
          <w:lang w:eastAsia="en-GB"/>
        </w:rPr>
        <w:t>doi</w:t>
      </w:r>
      <w:proofErr w:type="spellEnd"/>
      <w:r w:rsidRPr="00A622B6">
        <w:rPr>
          <w:lang w:eastAsia="en-GB"/>
        </w:rPr>
        <w:t xml:space="preserve">: </w:t>
      </w:r>
      <w:hyperlink r:id="rId20" w:history="1">
        <w:r w:rsidRPr="005F01C9">
          <w:rPr>
            <w:rStyle w:val="Hyperlink"/>
            <w:lang w:eastAsia="en-GB"/>
          </w:rPr>
          <w:t>https://doi.org/10.1002/wps.21299</w:t>
        </w:r>
      </w:hyperlink>
      <w:r w:rsidRPr="00A622B6">
        <w:rPr>
          <w:lang w:eastAsia="en-GB"/>
        </w:rPr>
        <w:t>.</w:t>
      </w:r>
    </w:p>
    <w:bookmarkEnd w:id="0"/>
    <w:p w14:paraId="4D208C8C" w14:textId="47C3A23B" w:rsidR="00174D49" w:rsidRDefault="00937ECA" w:rsidP="00174D49">
      <w:pPr>
        <w:rPr>
          <w:lang w:eastAsia="en-GB"/>
        </w:rPr>
      </w:pPr>
      <w:r w:rsidRPr="00A622B6">
        <w:rPr>
          <w:lang w:eastAsia="en-GB"/>
        </w:rPr>
        <w:t xml:space="preserve">World Health Organization (2025). </w:t>
      </w:r>
      <w:r w:rsidRPr="00A622B6">
        <w:rPr>
          <w:i/>
          <w:iCs/>
          <w:lang w:eastAsia="en-GB"/>
        </w:rPr>
        <w:t>Over a billion people living with mental health conditions – services require urgent scale-up</w:t>
      </w:r>
      <w:r w:rsidRPr="00A622B6">
        <w:rPr>
          <w:lang w:eastAsia="en-GB"/>
        </w:rPr>
        <w:t xml:space="preserve">. [online] Who.int. Available at: </w:t>
      </w:r>
      <w:hyperlink r:id="rId21" w:history="1">
        <w:r w:rsidRPr="005F01C9">
          <w:rPr>
            <w:rStyle w:val="Hyperlink"/>
            <w:lang w:eastAsia="en-GB"/>
          </w:rPr>
          <w:t>https://www.who.int/news/item/02-09-2025-over-a-billion-people-living-with-mental-health-conditions-services-require-urgent-scale-up</w:t>
        </w:r>
      </w:hyperlink>
      <w:r w:rsidRPr="00A622B6">
        <w:rPr>
          <w:lang w:eastAsia="en-GB"/>
        </w:rPr>
        <w:t>.</w:t>
      </w:r>
    </w:p>
    <w:p w14:paraId="7B0E5B78" w14:textId="44439FE3" w:rsidR="001F05E8" w:rsidRPr="00B92747" w:rsidRDefault="001F05E8" w:rsidP="00174D49"/>
    <w:sectPr w:rsidR="001F05E8" w:rsidRPr="00B9274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198FD" w14:textId="77777777" w:rsidR="009304C7" w:rsidRDefault="009304C7" w:rsidP="002710FB">
      <w:pPr>
        <w:spacing w:after="0" w:line="240" w:lineRule="auto"/>
      </w:pPr>
      <w:r>
        <w:separator/>
      </w:r>
    </w:p>
  </w:endnote>
  <w:endnote w:type="continuationSeparator" w:id="0">
    <w:p w14:paraId="0289B2C5" w14:textId="77777777" w:rsidR="009304C7" w:rsidRDefault="009304C7" w:rsidP="002710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136728"/>
      <w:docPartObj>
        <w:docPartGallery w:val="Page Numbers (Bottom of Page)"/>
        <w:docPartUnique/>
      </w:docPartObj>
    </w:sdtPr>
    <w:sdtEndPr>
      <w:rPr>
        <w:color w:val="7F7F7F" w:themeColor="background1" w:themeShade="7F"/>
        <w:spacing w:val="60"/>
      </w:rPr>
    </w:sdtEndPr>
    <w:sdtContent>
      <w:p w14:paraId="6C805518" w14:textId="3E5A065D" w:rsidR="00871D73" w:rsidRDefault="00871D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3D635B" w14:textId="77777777" w:rsidR="00871D73" w:rsidRDefault="00871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ADE82" w14:textId="77777777" w:rsidR="009304C7" w:rsidRDefault="009304C7" w:rsidP="002710FB">
      <w:pPr>
        <w:spacing w:after="0" w:line="240" w:lineRule="auto"/>
      </w:pPr>
      <w:r>
        <w:separator/>
      </w:r>
    </w:p>
  </w:footnote>
  <w:footnote w:type="continuationSeparator" w:id="0">
    <w:p w14:paraId="7F368D08" w14:textId="77777777" w:rsidR="009304C7" w:rsidRDefault="009304C7" w:rsidP="002710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0.5pt;height:10.5pt" o:bullet="t">
        <v:imagedata r:id="rId1" o:title="msoBDD3"/>
      </v:shape>
    </w:pict>
  </w:numPicBullet>
  <w:abstractNum w:abstractNumId="0" w15:restartNumberingAfterBreak="0">
    <w:nsid w:val="0A4643B6"/>
    <w:multiLevelType w:val="hybridMultilevel"/>
    <w:tmpl w:val="C742C564"/>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77D39"/>
    <w:multiLevelType w:val="hybridMultilevel"/>
    <w:tmpl w:val="A322FACC"/>
    <w:lvl w:ilvl="0" w:tplc="4C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016B0"/>
    <w:multiLevelType w:val="hybridMultilevel"/>
    <w:tmpl w:val="72523C5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3582B"/>
    <w:multiLevelType w:val="hybridMultilevel"/>
    <w:tmpl w:val="5E2C5B68"/>
    <w:lvl w:ilvl="0" w:tplc="4C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25FFC"/>
    <w:multiLevelType w:val="hybridMultilevel"/>
    <w:tmpl w:val="296EBF3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16FD8"/>
    <w:multiLevelType w:val="hybridMultilevel"/>
    <w:tmpl w:val="EF7E3352"/>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B5289"/>
    <w:multiLevelType w:val="hybridMultilevel"/>
    <w:tmpl w:val="056C6068"/>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AF462A"/>
    <w:multiLevelType w:val="hybridMultilevel"/>
    <w:tmpl w:val="F4CCFB0A"/>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2D0229"/>
    <w:multiLevelType w:val="hybridMultilevel"/>
    <w:tmpl w:val="FA8C4E6A"/>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B28CB"/>
    <w:multiLevelType w:val="hybridMultilevel"/>
    <w:tmpl w:val="6D4C9550"/>
    <w:lvl w:ilvl="0" w:tplc="4C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B830A1"/>
    <w:multiLevelType w:val="hybridMultilevel"/>
    <w:tmpl w:val="96A81B3A"/>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093C63"/>
    <w:multiLevelType w:val="hybridMultilevel"/>
    <w:tmpl w:val="C778EC8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9"/>
  </w:num>
  <w:num w:numId="4">
    <w:abstractNumId w:val="0"/>
  </w:num>
  <w:num w:numId="5">
    <w:abstractNumId w:val="1"/>
  </w:num>
  <w:num w:numId="6">
    <w:abstractNumId w:val="2"/>
  </w:num>
  <w:num w:numId="7">
    <w:abstractNumId w:val="11"/>
  </w:num>
  <w:num w:numId="8">
    <w:abstractNumId w:val="4"/>
  </w:num>
  <w:num w:numId="9">
    <w:abstractNumId w:val="5"/>
  </w:num>
  <w:num w:numId="10">
    <w:abstractNumId w:val="8"/>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4F7"/>
    <w:rsid w:val="00027576"/>
    <w:rsid w:val="000D7C08"/>
    <w:rsid w:val="000E66B6"/>
    <w:rsid w:val="00145339"/>
    <w:rsid w:val="0016549B"/>
    <w:rsid w:val="00174D49"/>
    <w:rsid w:val="001F05E8"/>
    <w:rsid w:val="002710FB"/>
    <w:rsid w:val="003B1019"/>
    <w:rsid w:val="004B27D0"/>
    <w:rsid w:val="00697877"/>
    <w:rsid w:val="006B6BB0"/>
    <w:rsid w:val="00717DB7"/>
    <w:rsid w:val="00744A38"/>
    <w:rsid w:val="007A7C7A"/>
    <w:rsid w:val="007C0748"/>
    <w:rsid w:val="007D22A4"/>
    <w:rsid w:val="00871D73"/>
    <w:rsid w:val="008D2A27"/>
    <w:rsid w:val="009304C7"/>
    <w:rsid w:val="00937ECA"/>
    <w:rsid w:val="0099446A"/>
    <w:rsid w:val="00A324F7"/>
    <w:rsid w:val="00A36DA2"/>
    <w:rsid w:val="00A622B6"/>
    <w:rsid w:val="00A87D57"/>
    <w:rsid w:val="00AD39B0"/>
    <w:rsid w:val="00AE6C4E"/>
    <w:rsid w:val="00B92747"/>
    <w:rsid w:val="00E814F8"/>
    <w:rsid w:val="00F27512"/>
    <w:rsid w:val="00F83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D976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ECA"/>
    <w:pPr>
      <w:spacing w:line="360" w:lineRule="auto"/>
      <w:jc w:val="both"/>
    </w:pPr>
    <w:rPr>
      <w:rFonts w:ascii="Arial" w:hAnsi="Arial"/>
    </w:rPr>
  </w:style>
  <w:style w:type="paragraph" w:styleId="Heading1">
    <w:name w:val="heading 1"/>
    <w:basedOn w:val="Normal"/>
    <w:next w:val="Normal"/>
    <w:link w:val="Heading1Char"/>
    <w:autoRedefine/>
    <w:uiPriority w:val="9"/>
    <w:qFormat/>
    <w:rsid w:val="00B92747"/>
    <w:pPr>
      <w:keepNext/>
      <w:keepLines/>
      <w:spacing w:before="240" w:after="0"/>
      <w:jc w:val="cente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92747"/>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7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B92747"/>
    <w:rPr>
      <w:rFonts w:ascii="Arial" w:eastAsiaTheme="majorEastAsia" w:hAnsi="Arial" w:cstheme="majorBidi"/>
      <w:color w:val="2F5496" w:themeColor="accent1" w:themeShade="BF"/>
      <w:sz w:val="28"/>
      <w:szCs w:val="26"/>
    </w:rPr>
  </w:style>
  <w:style w:type="table" w:styleId="GridTable4-Accent2">
    <w:name w:val="Grid Table 4 Accent 2"/>
    <w:basedOn w:val="TableNormal"/>
    <w:uiPriority w:val="49"/>
    <w:rsid w:val="00B9274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7D22A4"/>
    <w:pPr>
      <w:ind w:left="720"/>
      <w:contextualSpacing/>
    </w:pPr>
  </w:style>
  <w:style w:type="paragraph" w:styleId="NormalWeb">
    <w:name w:val="Normal (Web)"/>
    <w:basedOn w:val="Normal"/>
    <w:uiPriority w:val="99"/>
    <w:unhideWhenUsed/>
    <w:rsid w:val="00AD39B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710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0FB"/>
    <w:rPr>
      <w:rFonts w:ascii="Arial" w:hAnsi="Arial"/>
    </w:rPr>
  </w:style>
  <w:style w:type="paragraph" w:styleId="Footer">
    <w:name w:val="footer"/>
    <w:basedOn w:val="Normal"/>
    <w:link w:val="FooterChar"/>
    <w:uiPriority w:val="99"/>
    <w:unhideWhenUsed/>
    <w:rsid w:val="002710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0FB"/>
    <w:rPr>
      <w:rFonts w:ascii="Arial" w:hAnsi="Arial"/>
    </w:rPr>
  </w:style>
  <w:style w:type="table" w:styleId="GridTable4-Accent1">
    <w:name w:val="Grid Table 4 Accent 1"/>
    <w:basedOn w:val="TableNormal"/>
    <w:uiPriority w:val="49"/>
    <w:rsid w:val="00A87D5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A622B6"/>
    <w:rPr>
      <w:color w:val="0563C1" w:themeColor="hyperlink"/>
      <w:u w:val="single"/>
    </w:rPr>
  </w:style>
  <w:style w:type="character" w:styleId="UnresolvedMention">
    <w:name w:val="Unresolved Mention"/>
    <w:basedOn w:val="DefaultParagraphFont"/>
    <w:uiPriority w:val="99"/>
    <w:semiHidden/>
    <w:unhideWhenUsed/>
    <w:rsid w:val="00A622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818743">
      <w:bodyDiv w:val="1"/>
      <w:marLeft w:val="0"/>
      <w:marRight w:val="0"/>
      <w:marTop w:val="0"/>
      <w:marBottom w:val="0"/>
      <w:divBdr>
        <w:top w:val="none" w:sz="0" w:space="0" w:color="auto"/>
        <w:left w:val="none" w:sz="0" w:space="0" w:color="auto"/>
        <w:bottom w:val="none" w:sz="0" w:space="0" w:color="auto"/>
        <w:right w:val="none" w:sz="0" w:space="0" w:color="auto"/>
      </w:divBdr>
      <w:divsChild>
        <w:div w:id="1405950606">
          <w:marLeft w:val="0"/>
          <w:marRight w:val="0"/>
          <w:marTop w:val="0"/>
          <w:marBottom w:val="0"/>
          <w:divBdr>
            <w:top w:val="none" w:sz="0" w:space="0" w:color="auto"/>
            <w:left w:val="none" w:sz="0" w:space="0" w:color="auto"/>
            <w:bottom w:val="none" w:sz="0" w:space="0" w:color="auto"/>
            <w:right w:val="none" w:sz="0" w:space="0" w:color="auto"/>
          </w:divBdr>
        </w:div>
      </w:divsChild>
    </w:div>
    <w:div w:id="991955415">
      <w:bodyDiv w:val="1"/>
      <w:marLeft w:val="0"/>
      <w:marRight w:val="0"/>
      <w:marTop w:val="0"/>
      <w:marBottom w:val="0"/>
      <w:divBdr>
        <w:top w:val="none" w:sz="0" w:space="0" w:color="auto"/>
        <w:left w:val="none" w:sz="0" w:space="0" w:color="auto"/>
        <w:bottom w:val="none" w:sz="0" w:space="0" w:color="auto"/>
        <w:right w:val="none" w:sz="0" w:space="0" w:color="auto"/>
      </w:divBdr>
      <w:divsChild>
        <w:div w:id="269750264">
          <w:marLeft w:val="0"/>
          <w:marRight w:val="0"/>
          <w:marTop w:val="0"/>
          <w:marBottom w:val="0"/>
          <w:divBdr>
            <w:top w:val="none" w:sz="0" w:space="0" w:color="auto"/>
            <w:left w:val="none" w:sz="0" w:space="0" w:color="auto"/>
            <w:bottom w:val="none" w:sz="0" w:space="0" w:color="auto"/>
            <w:right w:val="none" w:sz="0" w:space="0" w:color="auto"/>
          </w:divBdr>
        </w:div>
      </w:divsChild>
    </w:div>
    <w:div w:id="1310523740">
      <w:bodyDiv w:val="1"/>
      <w:marLeft w:val="0"/>
      <w:marRight w:val="0"/>
      <w:marTop w:val="0"/>
      <w:marBottom w:val="0"/>
      <w:divBdr>
        <w:top w:val="none" w:sz="0" w:space="0" w:color="auto"/>
        <w:left w:val="none" w:sz="0" w:space="0" w:color="auto"/>
        <w:bottom w:val="none" w:sz="0" w:space="0" w:color="auto"/>
        <w:right w:val="none" w:sz="0" w:space="0" w:color="auto"/>
      </w:divBdr>
    </w:div>
    <w:div w:id="1408501656">
      <w:bodyDiv w:val="1"/>
      <w:marLeft w:val="0"/>
      <w:marRight w:val="0"/>
      <w:marTop w:val="0"/>
      <w:marBottom w:val="0"/>
      <w:divBdr>
        <w:top w:val="none" w:sz="0" w:space="0" w:color="auto"/>
        <w:left w:val="none" w:sz="0" w:space="0" w:color="auto"/>
        <w:bottom w:val="none" w:sz="0" w:space="0" w:color="auto"/>
        <w:right w:val="none" w:sz="0" w:space="0" w:color="auto"/>
      </w:divBdr>
    </w:div>
    <w:div w:id="1411124937">
      <w:bodyDiv w:val="1"/>
      <w:marLeft w:val="0"/>
      <w:marRight w:val="0"/>
      <w:marTop w:val="0"/>
      <w:marBottom w:val="0"/>
      <w:divBdr>
        <w:top w:val="none" w:sz="0" w:space="0" w:color="auto"/>
        <w:left w:val="none" w:sz="0" w:space="0" w:color="auto"/>
        <w:bottom w:val="none" w:sz="0" w:space="0" w:color="auto"/>
        <w:right w:val="none" w:sz="0" w:space="0" w:color="auto"/>
      </w:divBdr>
      <w:divsChild>
        <w:div w:id="641809965">
          <w:marLeft w:val="0"/>
          <w:marRight w:val="0"/>
          <w:marTop w:val="0"/>
          <w:marBottom w:val="0"/>
          <w:divBdr>
            <w:top w:val="none" w:sz="0" w:space="0" w:color="auto"/>
            <w:left w:val="none" w:sz="0" w:space="0" w:color="auto"/>
            <w:bottom w:val="none" w:sz="0" w:space="0" w:color="auto"/>
            <w:right w:val="none" w:sz="0" w:space="0" w:color="auto"/>
          </w:divBdr>
        </w:div>
      </w:divsChild>
    </w:div>
    <w:div w:id="1484811856">
      <w:bodyDiv w:val="1"/>
      <w:marLeft w:val="0"/>
      <w:marRight w:val="0"/>
      <w:marTop w:val="0"/>
      <w:marBottom w:val="0"/>
      <w:divBdr>
        <w:top w:val="none" w:sz="0" w:space="0" w:color="auto"/>
        <w:left w:val="none" w:sz="0" w:space="0" w:color="auto"/>
        <w:bottom w:val="none" w:sz="0" w:space="0" w:color="auto"/>
        <w:right w:val="none" w:sz="0" w:space="0" w:color="auto"/>
      </w:divBdr>
      <w:divsChild>
        <w:div w:id="1381324932">
          <w:marLeft w:val="0"/>
          <w:marRight w:val="0"/>
          <w:marTop w:val="0"/>
          <w:marBottom w:val="0"/>
          <w:divBdr>
            <w:top w:val="none" w:sz="0" w:space="0" w:color="auto"/>
            <w:left w:val="none" w:sz="0" w:space="0" w:color="auto"/>
            <w:bottom w:val="none" w:sz="0" w:space="0" w:color="auto"/>
            <w:right w:val="none" w:sz="0" w:space="0" w:color="auto"/>
          </w:divBdr>
        </w:div>
      </w:divsChild>
    </w:div>
    <w:div w:id="1632665483">
      <w:bodyDiv w:val="1"/>
      <w:marLeft w:val="0"/>
      <w:marRight w:val="0"/>
      <w:marTop w:val="0"/>
      <w:marBottom w:val="0"/>
      <w:divBdr>
        <w:top w:val="none" w:sz="0" w:space="0" w:color="auto"/>
        <w:left w:val="none" w:sz="0" w:space="0" w:color="auto"/>
        <w:bottom w:val="none" w:sz="0" w:space="0" w:color="auto"/>
        <w:right w:val="none" w:sz="0" w:space="0" w:color="auto"/>
      </w:divBdr>
      <w:divsChild>
        <w:div w:id="994065772">
          <w:marLeft w:val="0"/>
          <w:marRight w:val="0"/>
          <w:marTop w:val="0"/>
          <w:marBottom w:val="0"/>
          <w:divBdr>
            <w:top w:val="none" w:sz="0" w:space="0" w:color="auto"/>
            <w:left w:val="none" w:sz="0" w:space="0" w:color="auto"/>
            <w:bottom w:val="none" w:sz="0" w:space="0" w:color="auto"/>
            <w:right w:val="none" w:sz="0" w:space="0" w:color="auto"/>
          </w:divBdr>
        </w:div>
      </w:divsChild>
    </w:div>
    <w:div w:id="1954357506">
      <w:bodyDiv w:val="1"/>
      <w:marLeft w:val="0"/>
      <w:marRight w:val="0"/>
      <w:marTop w:val="0"/>
      <w:marBottom w:val="0"/>
      <w:divBdr>
        <w:top w:val="none" w:sz="0" w:space="0" w:color="auto"/>
        <w:left w:val="none" w:sz="0" w:space="0" w:color="auto"/>
        <w:bottom w:val="none" w:sz="0" w:space="0" w:color="auto"/>
        <w:right w:val="none" w:sz="0" w:space="0" w:color="auto"/>
      </w:divBdr>
      <w:divsChild>
        <w:div w:id="2060670301">
          <w:marLeft w:val="0"/>
          <w:marRight w:val="0"/>
          <w:marTop w:val="0"/>
          <w:marBottom w:val="0"/>
          <w:divBdr>
            <w:top w:val="none" w:sz="0" w:space="0" w:color="auto"/>
            <w:left w:val="none" w:sz="0" w:space="0" w:color="auto"/>
            <w:bottom w:val="none" w:sz="0" w:space="0" w:color="auto"/>
            <w:right w:val="none" w:sz="0" w:space="0" w:color="auto"/>
          </w:divBdr>
        </w:div>
      </w:divsChild>
    </w:div>
    <w:div w:id="2028019171">
      <w:bodyDiv w:val="1"/>
      <w:marLeft w:val="0"/>
      <w:marRight w:val="0"/>
      <w:marTop w:val="0"/>
      <w:marBottom w:val="0"/>
      <w:divBdr>
        <w:top w:val="none" w:sz="0" w:space="0" w:color="auto"/>
        <w:left w:val="none" w:sz="0" w:space="0" w:color="auto"/>
        <w:bottom w:val="none" w:sz="0" w:space="0" w:color="auto"/>
        <w:right w:val="none" w:sz="0" w:space="0" w:color="auto"/>
      </w:divBdr>
      <w:divsChild>
        <w:div w:id="533544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ourworldindata.org/mental-health" TargetMode="External"/><Relationship Id="rId18" Type="http://schemas.openxmlformats.org/officeDocument/2006/relationships/hyperlink" Target="https://doi.org/10.2196/27619" TargetMode="External"/><Relationship Id="rId3" Type="http://schemas.openxmlformats.org/officeDocument/2006/relationships/settings" Target="settings.xml"/><Relationship Id="rId21" Type="http://schemas.openxmlformats.org/officeDocument/2006/relationships/hyperlink" Target="https://www.who.int/news/item/02-09-2025-over-a-billion-people-living-with-mental-health-conditions-services-require-urgent-scale-up" TargetMode="External"/><Relationship Id="rId7" Type="http://schemas.openxmlformats.org/officeDocument/2006/relationships/image" Target="media/image2.png"/><Relationship Id="rId12" Type="http://schemas.openxmlformats.org/officeDocument/2006/relationships/hyperlink" Target="https://doi.org/10.1001/jamapsychiatry.2023.5051" TargetMode="External"/><Relationship Id="rId17" Type="http://schemas.openxmlformats.org/officeDocument/2006/relationships/hyperlink" Target="https://doi.org/10.1001/jamapsychiatry.2023.5051"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doi.org/10.1002/wps.212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dspace.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doi.org/10.1007/s12671-023-02214-4" TargetMode="External"/><Relationship Id="rId19" Type="http://schemas.openxmlformats.org/officeDocument/2006/relationships/hyperlink" Target="https://doi.org/10.1016/s2589-7500(22)00191-1" TargetMode="External"/><Relationship Id="rId4" Type="http://schemas.openxmlformats.org/officeDocument/2006/relationships/webSettings" Target="webSettings.xml"/><Relationship Id="rId9" Type="http://schemas.openxmlformats.org/officeDocument/2006/relationships/hyperlink" Target="https://media.market.us/mental-health-statistics/" TargetMode="External"/><Relationship Id="rId14" Type="http://schemas.openxmlformats.org/officeDocument/2006/relationships/hyperlink" Target="https://www.who.int/news/item/02-09-2025-over-a-billion-people-living-with-mental-health-conditions-services-require-urgent-scale-up"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1714</Words>
  <Characters>9772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2025-07-27T15:53:00Z</dcterms:created>
  <dcterms:modified xsi:type="dcterms:W3CDTF">2025-11-22T13:45:00Z</dcterms:modified>
</cp:coreProperties>
</file>