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54F1" w:rsidRPr="00770B37" w:rsidRDefault="00DB54F1" w:rsidP="00770B37">
      <w:pPr>
        <w:spacing w:line="360" w:lineRule="auto"/>
        <w:rPr>
          <w:rFonts w:eastAsia="Times New Roman" w:cstheme="minorHAnsi"/>
          <w:lang w:eastAsia="en-GB"/>
        </w:rPr>
      </w:pPr>
      <w:r w:rsidRPr="00770B37">
        <w:rPr>
          <w:rFonts w:eastAsia="Times New Roman" w:cstheme="minorHAnsi"/>
          <w:lang w:eastAsia="en-GB"/>
        </w:rPr>
        <w:t xml:space="preserve">My professional teaching experience took place in a primary school that has a total of 582 pupils within the school. The ages within this school branch from three to eleven years old. To elaborate on the context of the children within the school it is important to understand the needs of the pupils. According to Estyn (2018) there is currently eleven children with English as an addition language (EAL), 39 children have a statement for addition learning needs, and small percent (6%) have Free school meals (FSM) and 3% of children who are looked after (LAC). During this essay I will be looking at three of the pedagogical principles as suggested by Donaldson (2015)  within education and reflecting how they have impacted my own teaching practice and reflect on progress made and how they were implemented within my teaching. It is also important to identify areas for improvement as part of my own professional progress. </w:t>
      </w:r>
    </w:p>
    <w:p w:rsidR="00DB54F1" w:rsidRPr="00770B37" w:rsidRDefault="00DB54F1" w:rsidP="00770B37">
      <w:pPr>
        <w:spacing w:line="360" w:lineRule="auto"/>
        <w:rPr>
          <w:rFonts w:cstheme="minorHAnsi"/>
        </w:rPr>
      </w:pPr>
    </w:p>
    <w:p w:rsidR="00DB54F1" w:rsidRPr="00770B37" w:rsidRDefault="00DB54F1" w:rsidP="00770B37">
      <w:pPr>
        <w:spacing w:line="360" w:lineRule="auto"/>
        <w:rPr>
          <w:rFonts w:cstheme="minorHAnsi"/>
        </w:rPr>
      </w:pPr>
      <w:r w:rsidRPr="00770B37">
        <w:rPr>
          <w:rFonts w:cstheme="minorHAnsi"/>
        </w:rPr>
        <w:t xml:space="preserve">As suggested by Donaldson (2015) assessment for learning  (AFL) allows teachers and practitioners to understand awareness of how the child is learning and allows the teacher to gain instant feedback off the children. This allows the practitioner to see where their pupil is at, where they need to be and how to facilitate them there.  </w:t>
      </w:r>
    </w:p>
    <w:p w:rsidR="00DB54F1" w:rsidRPr="00770B37" w:rsidRDefault="00DB54F1" w:rsidP="00770B37">
      <w:pPr>
        <w:spacing w:line="360" w:lineRule="auto"/>
        <w:rPr>
          <w:rFonts w:cstheme="minorHAnsi"/>
          <w:color w:val="000000" w:themeColor="text1"/>
        </w:rPr>
      </w:pPr>
      <w:r w:rsidRPr="00770B37">
        <w:rPr>
          <w:rFonts w:cstheme="minorHAnsi"/>
        </w:rPr>
        <w:t>It is suggested that regular feedback from the teacher alongside consistent correcti</w:t>
      </w:r>
      <w:r w:rsidRPr="00770B37">
        <w:rPr>
          <w:rFonts w:cstheme="minorHAnsi"/>
        </w:rPr>
        <w:t xml:space="preserve">ons if needed </w:t>
      </w:r>
      <w:r w:rsidRPr="00770B37">
        <w:rPr>
          <w:rFonts w:cstheme="minorHAnsi"/>
        </w:rPr>
        <w:t>during a lesson</w:t>
      </w:r>
      <w:r w:rsidRPr="00770B37">
        <w:rPr>
          <w:rFonts w:cstheme="minorHAnsi"/>
        </w:rPr>
        <w:t xml:space="preserve"> is</w:t>
      </w:r>
      <w:r w:rsidRPr="00770B37">
        <w:rPr>
          <w:rFonts w:cstheme="minorHAnsi"/>
        </w:rPr>
        <w:t xml:space="preserve">  an effective teaching aid for the pupils learning as teachers were able to change their delivery of the lesson throughout the lesson</w:t>
      </w:r>
      <w:r w:rsidRPr="00770B37">
        <w:rPr>
          <w:rFonts w:cstheme="minorHAnsi"/>
        </w:rPr>
        <w:t>.</w:t>
      </w:r>
      <w:r w:rsidRPr="00770B37">
        <w:rPr>
          <w:rFonts w:cstheme="minorHAnsi"/>
        </w:rPr>
        <w:t xml:space="preserve"> </w:t>
      </w:r>
      <w:r w:rsidRPr="00770B37">
        <w:rPr>
          <w:rFonts w:cstheme="minorHAnsi"/>
        </w:rPr>
        <w:t>T</w:t>
      </w:r>
      <w:r w:rsidRPr="00770B37">
        <w:rPr>
          <w:rFonts w:cstheme="minorHAnsi"/>
        </w:rPr>
        <w:t>his is a benefit of assessment for learning as it eliminates the possibility of a child sitting there struggling as regular pit stops can be put in place to assist the child</w:t>
      </w:r>
      <w:r w:rsidRPr="00770B37">
        <w:rPr>
          <w:rFonts w:cstheme="minorHAnsi"/>
        </w:rPr>
        <w:t>.</w:t>
      </w:r>
      <w:r w:rsidRPr="00770B37">
        <w:rPr>
          <w:rFonts w:cstheme="minorHAnsi"/>
        </w:rPr>
        <w:t xml:space="preserve"> </w:t>
      </w:r>
      <w:r w:rsidRPr="00770B37">
        <w:rPr>
          <w:rFonts w:cstheme="minorHAnsi"/>
        </w:rPr>
        <w:t>A</w:t>
      </w:r>
      <w:r w:rsidRPr="00770B37">
        <w:rPr>
          <w:rFonts w:cstheme="minorHAnsi"/>
        </w:rPr>
        <w:t xml:space="preserve">nother benefit of this is that research shows that assessment for learning improves a learners performance in education by 60 percent </w:t>
      </w:r>
      <w:r w:rsidRPr="00770B37">
        <w:rPr>
          <w:rFonts w:cstheme="minorHAnsi"/>
          <w:color w:val="000000" w:themeColor="text1"/>
        </w:rPr>
        <w:t xml:space="preserve">(Black, William et al </w:t>
      </w:r>
      <w:r w:rsidR="004F2C53" w:rsidRPr="00770B37">
        <w:rPr>
          <w:rFonts w:cstheme="minorHAnsi"/>
          <w:color w:val="000000" w:themeColor="text1"/>
        </w:rPr>
        <w:t>1998</w:t>
      </w:r>
      <w:r w:rsidRPr="00770B37">
        <w:rPr>
          <w:rFonts w:cstheme="minorHAnsi"/>
          <w:color w:val="000000" w:themeColor="text1"/>
        </w:rPr>
        <w:t>., &amp; William 201</w:t>
      </w:r>
      <w:r w:rsidR="00770B37" w:rsidRPr="00770B37">
        <w:rPr>
          <w:rFonts w:cstheme="minorHAnsi"/>
          <w:color w:val="000000" w:themeColor="text1"/>
        </w:rPr>
        <w:t>8</w:t>
      </w:r>
      <w:r w:rsidRPr="00770B37">
        <w:rPr>
          <w:rFonts w:cstheme="minorHAnsi"/>
          <w:color w:val="000000" w:themeColor="text1"/>
        </w:rPr>
        <w:t xml:space="preserve">). One form of AFL that encourages higher order thinking is Blooms taxonomy (1956). This hierarchical model can be seen as useful tool for teachers when thinking of what questions to ask to encourage deeper thinking. This technique can encourage the children not to just remember an answer but to develop it further and show understanding and progress through the stages (Bloom 1956). </w:t>
      </w:r>
    </w:p>
    <w:p w:rsidR="00DB54F1" w:rsidRPr="00770B37" w:rsidRDefault="00DB54F1" w:rsidP="00770B37">
      <w:pPr>
        <w:spacing w:line="360" w:lineRule="auto"/>
        <w:rPr>
          <w:rFonts w:cstheme="minorHAnsi"/>
          <w:color w:val="000000" w:themeColor="text1"/>
        </w:rPr>
      </w:pPr>
      <w:r w:rsidRPr="00770B37">
        <w:rPr>
          <w:rFonts w:cstheme="minorHAnsi"/>
        </w:rPr>
        <w:t xml:space="preserve">During the beginning of PTE1 I would only use pit stops too close to the end and it would be a little late to look at any misconceptions within the lesson. After talking to my mentor we </w:t>
      </w:r>
      <w:r w:rsidRPr="00770B37">
        <w:rPr>
          <w:rFonts w:cstheme="minorHAnsi"/>
        </w:rPr>
        <w:t xml:space="preserve">came to a conclusion </w:t>
      </w:r>
      <w:r w:rsidRPr="00770B37">
        <w:rPr>
          <w:rFonts w:cstheme="minorHAnsi"/>
        </w:rPr>
        <w:t xml:space="preserve">that this was </w:t>
      </w:r>
      <w:r w:rsidRPr="00770B37">
        <w:rPr>
          <w:rFonts w:cstheme="minorHAnsi"/>
        </w:rPr>
        <w:t xml:space="preserve">to be a </w:t>
      </w:r>
      <w:r w:rsidRPr="00770B37">
        <w:rPr>
          <w:rFonts w:cstheme="minorHAnsi"/>
        </w:rPr>
        <w:t xml:space="preserve">strong focus </w:t>
      </w:r>
      <w:r w:rsidRPr="00770B37">
        <w:rPr>
          <w:rFonts w:cstheme="minorHAnsi"/>
        </w:rPr>
        <w:t xml:space="preserve">to improve on due to the benefits it has on the pupils but also on my teaching as I could gain a clear understanding as to what level the children are at and allows me to change the focus of teaching if it was necessary </w:t>
      </w:r>
      <w:r w:rsidRPr="00770B37">
        <w:rPr>
          <w:rFonts w:cstheme="minorHAnsi"/>
        </w:rPr>
        <w:lastRenderedPageBreak/>
        <w:t>(Grigg, 2015).</w:t>
      </w:r>
      <w:r w:rsidRPr="00770B37">
        <w:rPr>
          <w:rFonts w:cstheme="minorHAnsi"/>
        </w:rPr>
        <w:t xml:space="preserve"> </w:t>
      </w:r>
      <w:r w:rsidRPr="00770B37">
        <w:rPr>
          <w:rFonts w:cstheme="minorHAnsi"/>
        </w:rPr>
        <w:t xml:space="preserve">Furthermore, </w:t>
      </w:r>
      <w:r w:rsidRPr="00770B37">
        <w:rPr>
          <w:rFonts w:cstheme="minorHAnsi"/>
        </w:rPr>
        <w:t xml:space="preserve">during the lesson if I saw one child forgetting capital letters or full stops I would then do a pit stop and get the pupils to look at their work and their partners, this then encouraged children to check their work throughout and self-assess without singling out a certain pupil (Welsh Government, 2010). </w:t>
      </w:r>
      <w:r w:rsidRPr="00770B37">
        <w:rPr>
          <w:rFonts w:cstheme="minorHAnsi"/>
          <w:color w:val="000000" w:themeColor="text1"/>
        </w:rPr>
        <w:t>By using Blooms taxonomy within my lesson it allowed me to check how well the children understood by the questions I asked. This tool provided the guidance I needed to encourage higher level thinking instead of just accepting a recall answer without advancing further (Armstrong, 2016 &amp; Bloom 1956).</w:t>
      </w:r>
      <w:r w:rsidR="00B2019F" w:rsidRPr="00770B37">
        <w:rPr>
          <w:rFonts w:cstheme="minorHAnsi"/>
          <w:color w:val="000000" w:themeColor="text1"/>
        </w:rPr>
        <w:t xml:space="preserve"> </w:t>
      </w:r>
    </w:p>
    <w:p w:rsidR="00DB54F1" w:rsidRPr="00770B37" w:rsidRDefault="00DB54F1" w:rsidP="00770B37">
      <w:pPr>
        <w:spacing w:line="360" w:lineRule="auto"/>
        <w:rPr>
          <w:rFonts w:cstheme="minorHAnsi"/>
        </w:rPr>
      </w:pPr>
    </w:p>
    <w:p w:rsidR="00DB54F1" w:rsidRPr="00770B37" w:rsidRDefault="00DB54F1" w:rsidP="00770B37">
      <w:pPr>
        <w:spacing w:line="360" w:lineRule="auto"/>
        <w:rPr>
          <w:rFonts w:cstheme="minorHAnsi"/>
        </w:rPr>
      </w:pPr>
      <w:r w:rsidRPr="00770B37">
        <w:rPr>
          <w:rFonts w:cstheme="minorHAnsi"/>
        </w:rPr>
        <w:t xml:space="preserve">The second form of AFL that I adopted within my teaching was the use of a Success Criteria. By sharing success criteria with the pupils, it eliminates the subjectivity of what makes good work as it is displayed clearly and they know what is expected by the teacher (Purves, 1993 &amp; Hall and Burke 2003). </w:t>
      </w:r>
      <w:r w:rsidRPr="00770B37">
        <w:rPr>
          <w:rFonts w:cstheme="minorHAnsi"/>
        </w:rPr>
        <w:t xml:space="preserve"> It is suggested that pupils who understand the process of a success criteria show greater improvement of those who </w:t>
      </w:r>
      <w:r w:rsidR="00D641B5" w:rsidRPr="00770B37">
        <w:rPr>
          <w:rFonts w:cstheme="minorHAnsi"/>
        </w:rPr>
        <w:t xml:space="preserve">do not do this process (Grigg, 2015, &amp; Fontanna and Fenandes, 1994). </w:t>
      </w:r>
      <w:r w:rsidRPr="00770B37">
        <w:rPr>
          <w:rFonts w:cstheme="minorHAnsi"/>
        </w:rPr>
        <w:t>Black et al., (2007) states that success criteria’s  need to focus more on achievement in comparison to their last piece of work rather than comparing the results to another students. This is something I used with my personal teaching experience as some pupils, even after pit stops would struggle with certain elements on the success criteria. I would then make sure that the next piece of work they did ,would improve due to a stronger focus on that particular skill. The success criteria was decided at the start of the project with the pupils and then a criteria was stuck in their books on the set skills. The illustrative example was used in a literacy lesson which encouraged the children to check throughout their work and tick at the end if they felt they have met the success criteria. This was a good tool as it allowed the children to become more independent with their learning and check the work themselves making the expectations from myself completely transparent to the pupils (Black et al., 2007). As the children were only 5 years old it also encouraged the skills needed for peer and self-assessment as they ticked their partners criteria if they met it which enhanced their ability to scan work and make a judgement in relation to a criterion. Hattie (</w:t>
      </w:r>
      <w:r w:rsidR="00066C5C" w:rsidRPr="00770B37">
        <w:rPr>
          <w:rFonts w:cstheme="minorHAnsi"/>
        </w:rPr>
        <w:t>2007</w:t>
      </w:r>
      <w:r w:rsidRPr="00770B37">
        <w:rPr>
          <w:rFonts w:cstheme="minorHAnsi"/>
        </w:rPr>
        <w:t xml:space="preserve">) suggests that the use of modelling and regular and insightful feedback is important in essence of scaffolding. This worked very well within my professional teaching practice as I modelled an example of work whilst leaving out all of the skills, this allowed the children to correct the example and they know what is </w:t>
      </w:r>
      <w:r w:rsidRPr="00770B37">
        <w:rPr>
          <w:rFonts w:cstheme="minorHAnsi"/>
        </w:rPr>
        <w:lastRenderedPageBreak/>
        <w:t xml:space="preserve">and isn’t expected within the finished piece of work.  </w:t>
      </w:r>
      <w:r w:rsidR="00B2019F" w:rsidRPr="00770B37">
        <w:rPr>
          <w:rFonts w:cstheme="minorHAnsi"/>
        </w:rPr>
        <w:t xml:space="preserve">Although I felt like the success criteria was beneficial for self-assessment, I will progress this further by completing a success criteria with the pupils. By allowing the children to co-create a success criteria it could possibly make the pupils feel more independent of their learning as they have come up with themselves. By taking ownership of their learning and creating the criteria it could encourage the children to tick them off themselves in comparison to a criteria that the teacher has created for them and stuck in their books prior to the learning (Griggs, 2015). </w:t>
      </w:r>
    </w:p>
    <w:p w:rsidR="00DB54F1" w:rsidRPr="00770B37" w:rsidRDefault="00DB54F1" w:rsidP="00770B37">
      <w:pPr>
        <w:spacing w:line="360" w:lineRule="auto"/>
        <w:rPr>
          <w:rFonts w:eastAsia="Times New Roman" w:cstheme="minorHAnsi"/>
          <w:lang w:eastAsia="en-GB"/>
        </w:rPr>
      </w:pPr>
      <w:r w:rsidRPr="00770B37">
        <w:rPr>
          <w:rFonts w:cstheme="minorHAnsi"/>
        </w:rPr>
        <w:t xml:space="preserve">The final example of assessment for learning was the use of think pair share. This technique allowed learners to think about the proposed question, discuss with their partner an then share with the class. This allowed the children to verbalise their thoughts and to express what they are thinking and allow myself as the teacher to see how they learn this then becomes more visible and coherent within the classroom. Furthermore, think pair share worked well as it encourages collaboration amongst peers. The collaboration process as suggested by </w:t>
      </w:r>
      <w:r w:rsidR="00574AA3" w:rsidRPr="00770B37">
        <w:rPr>
          <w:rFonts w:eastAsia="Times New Roman" w:cstheme="minorHAnsi"/>
          <w:color w:val="222222"/>
          <w:shd w:val="clear" w:color="auto" w:fill="FFFFFF"/>
          <w:lang w:eastAsia="en-GB"/>
        </w:rPr>
        <w:t xml:space="preserve">Kaddoura, </w:t>
      </w:r>
      <w:r w:rsidR="00574AA3" w:rsidRPr="00770B37">
        <w:rPr>
          <w:rFonts w:eastAsia="Times New Roman" w:cstheme="minorHAnsi"/>
          <w:color w:val="222222"/>
          <w:shd w:val="clear" w:color="auto" w:fill="FFFFFF"/>
          <w:lang w:eastAsia="en-GB"/>
        </w:rPr>
        <w:t>(</w:t>
      </w:r>
      <w:r w:rsidR="00574AA3" w:rsidRPr="00770B37">
        <w:rPr>
          <w:rFonts w:eastAsia="Times New Roman" w:cstheme="minorHAnsi"/>
          <w:color w:val="222222"/>
          <w:shd w:val="clear" w:color="auto" w:fill="FFFFFF"/>
          <w:lang w:eastAsia="en-GB"/>
        </w:rPr>
        <w:t>2013</w:t>
      </w:r>
      <w:r w:rsidR="00574AA3" w:rsidRPr="00770B37">
        <w:rPr>
          <w:rFonts w:eastAsia="Times New Roman" w:cstheme="minorHAnsi"/>
          <w:color w:val="222222"/>
          <w:shd w:val="clear" w:color="auto" w:fill="FFFFFF"/>
          <w:lang w:eastAsia="en-GB"/>
        </w:rPr>
        <w:t>)</w:t>
      </w:r>
      <w:r w:rsidR="00574AA3" w:rsidRPr="00770B37">
        <w:rPr>
          <w:rFonts w:eastAsia="Times New Roman" w:cstheme="minorHAnsi"/>
          <w:lang w:eastAsia="en-GB"/>
        </w:rPr>
        <w:t xml:space="preserve"> </w:t>
      </w:r>
      <w:r w:rsidRPr="00770B37">
        <w:rPr>
          <w:rFonts w:cstheme="minorHAnsi"/>
        </w:rPr>
        <w:t xml:space="preserve">encourages the learners to take greater risks within their learning such as answer questions in front of their peers when perhaps normally they wouldn’t and in result enhance their own learning. This is something I want to develop further within my own teaching as I want to ensure that the pupils have enough time with this process to think and share with their pupils. In addition to this I will ensure that I leave enough time for the pupils to share their ideas and not rush to start the work so that the children benefit from this AFL technique.  (Black et al., 2007 &amp; Welsh Government, 2010). </w:t>
      </w:r>
    </w:p>
    <w:p w:rsidR="00DB54F1" w:rsidRPr="00770B37" w:rsidRDefault="00DB54F1" w:rsidP="00770B37">
      <w:pPr>
        <w:spacing w:line="360" w:lineRule="auto"/>
        <w:rPr>
          <w:rFonts w:cstheme="minorHAnsi"/>
        </w:rPr>
      </w:pPr>
    </w:p>
    <w:p w:rsidR="00DB54F1" w:rsidRPr="00770B37" w:rsidRDefault="00DB54F1" w:rsidP="00770B37">
      <w:pPr>
        <w:pStyle w:val="NormalWeb"/>
        <w:spacing w:before="0" w:beforeAutospacing="0" w:after="0" w:afterAutospacing="0" w:line="360" w:lineRule="auto"/>
        <w:rPr>
          <w:rFonts w:asciiTheme="minorHAnsi" w:hAnsiTheme="minorHAnsi" w:cstheme="minorHAnsi"/>
        </w:rPr>
      </w:pPr>
      <w:r w:rsidRPr="00770B37">
        <w:rPr>
          <w:rFonts w:asciiTheme="minorHAnsi" w:hAnsiTheme="minorHAnsi" w:cstheme="minorHAnsi"/>
        </w:rPr>
        <w:t xml:space="preserve">The second pedagogical principle that I enforced within my teaching as suggested by Donaldson in Success Futures (2015) was the use of cross curriculum responsibilities and giving children opportunities to practice this within their education. This means including elements of literacy, numeracy and digital competence within many different contexts </w:t>
      </w:r>
      <w:r w:rsidR="00574AA3" w:rsidRPr="00770B37">
        <w:rPr>
          <w:rFonts w:asciiTheme="minorHAnsi" w:hAnsiTheme="minorHAnsi" w:cstheme="minorHAnsi"/>
        </w:rPr>
        <w:t xml:space="preserve">. </w:t>
      </w:r>
      <w:r w:rsidRPr="00770B37">
        <w:rPr>
          <w:rFonts w:asciiTheme="minorHAnsi" w:hAnsiTheme="minorHAnsi" w:cstheme="minorHAnsi"/>
        </w:rPr>
        <w:t xml:space="preserve">It is assumed that cross-curricular work is often described as a way of stimulating and enhancing creative thinking (Barnes, 2015). Kerry (2015) suggests that cross curricular teaching and learning allows teachers and pupils to make relevant connections within their learning. This allows the children to create links that perhaps wouldn’t happen in subject specific lessons and apply the skills in different contexts. Teachers could do this by planning to do graphs on the computer thus linking maths and digital competence. The benefit of this that the children will enhance both their numeracy and digital competence at the same time. Estyn </w:t>
      </w:r>
      <w:r w:rsidRPr="00770B37">
        <w:rPr>
          <w:rFonts w:asciiTheme="minorHAnsi" w:hAnsiTheme="minorHAnsi" w:cstheme="minorHAnsi"/>
        </w:rPr>
        <w:lastRenderedPageBreak/>
        <w:t>(20</w:t>
      </w:r>
      <w:r w:rsidR="00066C5C" w:rsidRPr="00770B37">
        <w:rPr>
          <w:rFonts w:asciiTheme="minorHAnsi" w:hAnsiTheme="minorHAnsi" w:cstheme="minorHAnsi"/>
        </w:rPr>
        <w:t>1</w:t>
      </w:r>
      <w:r w:rsidRPr="00770B37">
        <w:rPr>
          <w:rFonts w:asciiTheme="minorHAnsi" w:hAnsiTheme="minorHAnsi" w:cstheme="minorHAnsi"/>
        </w:rPr>
        <w:t>6)  states that one way of cross curricular learning is having an overall theme to achieve interdisciplinary learning. By having an overall theme allows the teacher to still have a focus within their lessons whilst still having the cross curricular aspects (Savage 201</w:t>
      </w:r>
      <w:r w:rsidR="00574AA3" w:rsidRPr="00770B37">
        <w:rPr>
          <w:rFonts w:asciiTheme="minorHAnsi" w:hAnsiTheme="minorHAnsi" w:cstheme="minorHAnsi"/>
        </w:rPr>
        <w:t>0</w:t>
      </w:r>
      <w:r w:rsidRPr="00770B37">
        <w:rPr>
          <w:rFonts w:asciiTheme="minorHAnsi" w:hAnsiTheme="minorHAnsi" w:cstheme="minorHAnsi"/>
        </w:rPr>
        <w:t xml:space="preserve">). </w:t>
      </w:r>
    </w:p>
    <w:p w:rsidR="00DB54F1" w:rsidRPr="00770B37" w:rsidRDefault="00DB54F1" w:rsidP="00770B37">
      <w:pPr>
        <w:pStyle w:val="NormalWeb"/>
        <w:spacing w:before="0" w:beforeAutospacing="0" w:after="0" w:afterAutospacing="0" w:line="360" w:lineRule="auto"/>
        <w:rPr>
          <w:rFonts w:asciiTheme="minorHAnsi" w:hAnsiTheme="minorHAnsi" w:cstheme="minorHAnsi"/>
        </w:rPr>
      </w:pPr>
    </w:p>
    <w:p w:rsidR="00DB54F1" w:rsidRPr="00770B37" w:rsidRDefault="00DB54F1" w:rsidP="00770B37">
      <w:pPr>
        <w:pStyle w:val="NormalWeb"/>
        <w:spacing w:before="0" w:beforeAutospacing="0" w:after="0" w:afterAutospacing="0" w:line="360" w:lineRule="auto"/>
        <w:rPr>
          <w:rFonts w:asciiTheme="minorHAnsi" w:hAnsiTheme="minorHAnsi" w:cstheme="minorHAnsi"/>
        </w:rPr>
      </w:pPr>
      <w:r w:rsidRPr="00770B37">
        <w:rPr>
          <w:rFonts w:asciiTheme="minorHAnsi" w:hAnsiTheme="minorHAnsi" w:cstheme="minorHAnsi"/>
        </w:rPr>
        <w:t xml:space="preserve">For example within my PTE the overall theme was America, as included within my illustrative evidence we chose to focus on native America and the art that the native Americans did in the past. This worked well as the children were excited to explore the different aspects of native American art. We introduced properties of shape by using a game on the computers, all children showed aspects of learning due to visible engagement of the children and all of the pupils wanted to contribute to the lesson. This game enhanced the ICT skills but also think about properties of 2D shapes. </w:t>
      </w:r>
    </w:p>
    <w:p w:rsidR="00DB54F1" w:rsidRPr="00770B37" w:rsidRDefault="00DB54F1" w:rsidP="00770B37">
      <w:pPr>
        <w:pStyle w:val="NormalWeb"/>
        <w:spacing w:before="0" w:beforeAutospacing="0" w:after="0" w:afterAutospacing="0" w:line="360" w:lineRule="auto"/>
        <w:rPr>
          <w:rFonts w:asciiTheme="minorHAnsi" w:hAnsiTheme="minorHAnsi" w:cstheme="minorHAnsi"/>
        </w:rPr>
      </w:pPr>
      <w:r w:rsidRPr="00770B37">
        <w:rPr>
          <w:rFonts w:asciiTheme="minorHAnsi" w:hAnsiTheme="minorHAnsi" w:cstheme="minorHAnsi"/>
        </w:rPr>
        <w:t>The next step of this topic was to use the information that they had learned and create art like the ones they had seen previously. This lesson enhanced both their numeracy and art skills in a fun and creative way. I felt that it was important to link the two topics together as the children had only recently been introduced to the properties of shapes, so, by completing the maths element it helped them understand the purpose of what they were doing . If I was to do this lesson again with more time</w:t>
      </w:r>
      <w:r w:rsidR="00C15A24" w:rsidRPr="00770B37">
        <w:rPr>
          <w:rFonts w:asciiTheme="minorHAnsi" w:hAnsiTheme="minorHAnsi" w:cstheme="minorHAnsi"/>
        </w:rPr>
        <w:t>,</w:t>
      </w:r>
      <w:r w:rsidRPr="00770B37">
        <w:rPr>
          <w:rFonts w:asciiTheme="minorHAnsi" w:hAnsiTheme="minorHAnsi" w:cstheme="minorHAnsi"/>
        </w:rPr>
        <w:t xml:space="preserve"> I would encourage the children to upload their work to an application and dis</w:t>
      </w:r>
      <w:r w:rsidR="00C15A24" w:rsidRPr="00770B37">
        <w:rPr>
          <w:rFonts w:asciiTheme="minorHAnsi" w:hAnsiTheme="minorHAnsi" w:cstheme="minorHAnsi"/>
        </w:rPr>
        <w:t>c</w:t>
      </w:r>
      <w:r w:rsidRPr="00770B37">
        <w:rPr>
          <w:rFonts w:asciiTheme="minorHAnsi" w:hAnsiTheme="minorHAnsi" w:cstheme="minorHAnsi"/>
        </w:rPr>
        <w:t xml:space="preserve">uss what they have found out about Native Americans so that they are working on their oracy skills as well. </w:t>
      </w:r>
    </w:p>
    <w:p w:rsidR="00DB54F1" w:rsidRPr="00770B37" w:rsidRDefault="00DB54F1" w:rsidP="00770B37">
      <w:pPr>
        <w:pStyle w:val="NormalWeb"/>
        <w:spacing w:before="0" w:beforeAutospacing="0" w:after="0" w:afterAutospacing="0" w:line="360" w:lineRule="auto"/>
        <w:rPr>
          <w:rFonts w:asciiTheme="minorHAnsi" w:hAnsiTheme="minorHAnsi" w:cstheme="minorHAnsi"/>
        </w:rPr>
      </w:pPr>
      <w:r w:rsidRPr="00770B37">
        <w:rPr>
          <w:rFonts w:asciiTheme="minorHAnsi" w:hAnsiTheme="minorHAnsi" w:cstheme="minorHAnsi"/>
        </w:rPr>
        <w:t xml:space="preserve">The last illustrative example for cross curricular learning was the use of Welsh Literacy, during this task I ensured that I was using as many assessment for learning techniques to encourage the children to meet the success criteria. Although the main focus was improving their welsh vocabulary it was also important to still improve their literacy skills. Although the subject was enhancing their welsh skills we also set a criteria as ability groups on what was expected within their finished piece of writing. The criteria included the use of capital letters and full stops as this is something they needed to continuously work on. By using a bilingual approach in lessons like this could enhance the pupils enthusiasm and enjoyment of the language as it has not been isolated to a subject of it own and will not overwhelm the children. In result of this the learning of welsh and literacy will hopefully create an interest for the children to carry on throughout their education (Lovell, 2019 &amp; Welsh Government 2019). By focusing on the Curriculum Cymraeg to learn about thanksgiving has enhanced their language skills but also learning about the world which is seen as important to this </w:t>
      </w:r>
      <w:r w:rsidRPr="00770B37">
        <w:rPr>
          <w:rFonts w:asciiTheme="minorHAnsi" w:hAnsiTheme="minorHAnsi" w:cstheme="minorHAnsi"/>
        </w:rPr>
        <w:lastRenderedPageBreak/>
        <w:t>curriculum (</w:t>
      </w:r>
      <w:r w:rsidR="00C25730" w:rsidRPr="00770B37">
        <w:rPr>
          <w:rFonts w:asciiTheme="minorHAnsi" w:hAnsiTheme="minorHAnsi" w:cstheme="minorHAnsi"/>
        </w:rPr>
        <w:t>Welsh Government</w:t>
      </w:r>
      <w:r w:rsidRPr="00770B37">
        <w:rPr>
          <w:rFonts w:asciiTheme="minorHAnsi" w:hAnsiTheme="minorHAnsi" w:cstheme="minorHAnsi"/>
        </w:rPr>
        <w:t xml:space="preserve">, 2003). I believe that the children responded very well to this lesson and through the use of AFL techniques we could determine if the children were confident with the skills they have learned or if we needed to address further. If I was to do this again I would ensure that there was more freedom in think pair share and allocate more time for detailed questioning as this is something myself and my class mentor believed I could have improved on. </w:t>
      </w:r>
    </w:p>
    <w:p w:rsidR="00DB54F1" w:rsidRPr="00770B37" w:rsidRDefault="00DB54F1" w:rsidP="00770B37">
      <w:pPr>
        <w:pStyle w:val="NormalWeb"/>
        <w:spacing w:before="0" w:beforeAutospacing="0" w:after="0" w:afterAutospacing="0" w:line="360" w:lineRule="auto"/>
        <w:rPr>
          <w:rFonts w:asciiTheme="minorHAnsi" w:hAnsiTheme="minorHAnsi" w:cstheme="minorHAnsi"/>
        </w:rPr>
      </w:pPr>
    </w:p>
    <w:p w:rsidR="00DB54F1" w:rsidRPr="00770B37" w:rsidRDefault="00DB54F1" w:rsidP="00770B37">
      <w:pPr>
        <w:spacing w:line="360" w:lineRule="auto"/>
        <w:rPr>
          <w:rFonts w:cstheme="minorHAnsi"/>
        </w:rPr>
      </w:pPr>
      <w:r w:rsidRPr="00770B37">
        <w:rPr>
          <w:rFonts w:cstheme="minorHAnsi"/>
        </w:rPr>
        <w:t>The last pedagogical principle that will be reflected is the importance of selecting resources that will build on previous knowledge. Donaldson strongly advises within this review that there is an importance for teachers to plan and set tasks and use resources that will develop previous knowledge whilst also enhancing children’s interest and engagement. Donaldson also suggest that these resources and the task should be as personalised as possible to each pupil as no child learns in the same way. Rosenshine (2012) suggests that the most useful way of children retaining information is to build on previous knowledge, this can involve different techniques such as having the background information accessible, this could be done by having handouts of the information, or related classroom displays. It is also seen as important that when building on the previous knowledge teacher that the teacher builds on these experiences in manageable amounts not to overwhelm the pupils and to keep them engaged. Whilst also increasing their knowledge of their subject it is beneficial for the teacher to modelling and if the students get anything wrong or have any misconceptions it is important that they have had help in correcting these issues (Rosenshine, 2012 &amp; Coe et al, 2014). Watson (</w:t>
      </w:r>
      <w:r w:rsidR="00A6213F" w:rsidRPr="00770B37">
        <w:rPr>
          <w:rFonts w:cstheme="minorHAnsi"/>
        </w:rPr>
        <w:t>1925 &amp; 2017</w:t>
      </w:r>
      <w:r w:rsidRPr="00770B37">
        <w:rPr>
          <w:rFonts w:cstheme="minorHAnsi"/>
        </w:rPr>
        <w:t xml:space="preserve">) released a behaviourist model on the importance of recall and regular short reviews of the previous lesson. This will allow the information to be stored in to a child’s lifetime memory (LTM). By repeating and recalling the information within half a day, full day, week, month and half a year the recall will have a 100% accuracy rate. This is important to do with the pupils within primary education as there are many different factors that can influence a child’s mind for example when they go home the information has the possibility of getting lost. By starting a lesson by touching upon the previous skill/topic this allows the pupils to see a link with the learning of what has been previously learned and what they are about to learn. The use of this pedagogy can create a sense of justification for the pupils as to why they are learning the skill that they are and the purpose of it. Another approach that focus’ on prior knowledge and experience is constructivism. </w:t>
      </w:r>
      <w:r w:rsidRPr="00770B37">
        <w:rPr>
          <w:rFonts w:cstheme="minorHAnsi"/>
        </w:rPr>
        <w:lastRenderedPageBreak/>
        <w:t>Phillips (1995) states that the knowledge that we have learnt previously allows pupils to use this and influence the new skill or topic. This then allows the pupils to create new experiences within their learning. This is important for each pupil to do as Mcleod (2019) states that information can either just be received and forgotten about later or if the learning they receive is meaningful then they will show understanding and like Watson (</w:t>
      </w:r>
      <w:r w:rsidR="00A6213F" w:rsidRPr="00770B37">
        <w:rPr>
          <w:rFonts w:cstheme="minorHAnsi"/>
        </w:rPr>
        <w:t>1925</w:t>
      </w:r>
      <w:r w:rsidRPr="00770B37">
        <w:rPr>
          <w:rFonts w:cstheme="minorHAnsi"/>
        </w:rPr>
        <w:t>) states the pupils will make useful and purposeful connections from their prior knowledge. By using a constructivist approach within my teaching practice during PTE it allowed me to assist students in the linking process of information and allow them to interpret this information (both old and new) in the way they see fit, as each pupil is different and will store this information the best way. By linking this model with Watson’s behaviourist model of repetition it will allow them to create links and show understanding by using repetition (Piaget, 193</w:t>
      </w:r>
      <w:r w:rsidR="00066C5C" w:rsidRPr="00770B37">
        <w:rPr>
          <w:rFonts w:cstheme="minorHAnsi"/>
        </w:rPr>
        <w:t>6</w:t>
      </w:r>
      <w:r w:rsidRPr="00770B37">
        <w:rPr>
          <w:rFonts w:cstheme="minorHAnsi"/>
        </w:rPr>
        <w:t xml:space="preserve"> &amp; Mcleod 2019).  Furthermore, by adapting these models and techniques will allow the children to reach the proximal zone of development (Vygotsky, 1978), this zone describes the zone to which a pupil can solve a problem on their own and the zone to which they need assistance. If there is a balance of both then Vygotsky believes that these pupils will improve their development within their education. </w:t>
      </w:r>
    </w:p>
    <w:p w:rsidR="00DB54F1" w:rsidRPr="00770B37" w:rsidRDefault="00DB54F1" w:rsidP="00770B37">
      <w:pPr>
        <w:pStyle w:val="NormalWeb"/>
        <w:spacing w:before="0" w:beforeAutospacing="0" w:after="0" w:afterAutospacing="0" w:line="360" w:lineRule="auto"/>
        <w:rPr>
          <w:rFonts w:asciiTheme="minorHAnsi" w:hAnsiTheme="minorHAnsi" w:cstheme="minorHAnsi"/>
        </w:rPr>
      </w:pPr>
      <w:r w:rsidRPr="00770B37">
        <w:rPr>
          <w:rFonts w:asciiTheme="minorHAnsi" w:hAnsiTheme="minorHAnsi" w:cstheme="minorHAnsi"/>
        </w:rPr>
        <w:t xml:space="preserve">During my PTE experience as included within my illustrative example I ensured I was building on the pupils previous knowledge. Before my placement the pupils had begun data collection and looked at examples of tally charts and focused on just the use of inputting data, to create the link between what they have previously learned we talked about the different ways they could represent this data. This then creates a purpose of the learning and the children can then mentally create the link. Progressing on from this, the children then created bar charts from the tally chart data. For the children who had Additional learning needs I ensured that resources for this task were suitable and I assisted when necessary and asked questions so that there was evidence of learning was taking place. When creating pictograms with the children I cut out all the symbols for them to stick in to their books. For the able and more able children I used relevant resources that I believed would enhance their learning whilst building on the previous knowledge they had learned about the importance of titles (HWB, 2019). For the basic skill pupils and addition learning needs pupils it would have been easier to cut the symbols in to strips, so all they had to do was cut off the excess symbols that they didn’t need. The children then only had to focus on the intended skill and not worry about individually gluing and sticking. I felt that for these </w:t>
      </w:r>
      <w:r w:rsidRPr="00770B37">
        <w:rPr>
          <w:rFonts w:asciiTheme="minorHAnsi" w:hAnsiTheme="minorHAnsi" w:cstheme="minorHAnsi"/>
        </w:rPr>
        <w:lastRenderedPageBreak/>
        <w:t xml:space="preserve">children the engagement started to fall slightly as it was a time consuming process, However, the children could still link the knowledge with what was previously learned and enhance their learning. </w:t>
      </w:r>
    </w:p>
    <w:p w:rsidR="00DB54F1" w:rsidRPr="00770B37" w:rsidRDefault="00DB54F1" w:rsidP="00770B37">
      <w:pPr>
        <w:pStyle w:val="NormalWeb"/>
        <w:spacing w:before="0" w:beforeAutospacing="0" w:after="0" w:afterAutospacing="0" w:line="360" w:lineRule="auto"/>
        <w:rPr>
          <w:rFonts w:asciiTheme="minorHAnsi" w:hAnsiTheme="minorHAnsi" w:cstheme="minorHAnsi"/>
        </w:rPr>
      </w:pPr>
      <w:r w:rsidRPr="00770B37">
        <w:rPr>
          <w:rFonts w:asciiTheme="minorHAnsi" w:hAnsiTheme="minorHAnsi" w:cstheme="minorHAnsi"/>
        </w:rPr>
        <w:t xml:space="preserve">Finally, the last illustrative example brought all of these skills together as they had to extract information from the text to show understanding. This was a nice way to tie up the project and the children enjoyed the use of a pre-existing graph. This piece of worked allowed me to see if the prior knowledge was carried through and that the children’s ability on data collection had grown. The children within my placement class could use what they have previously learnt about graphs and could bring it forward to what they were doing within the comprehension. This showed me that linking the topics together but advancing each time worked well as all the children felt like they understood, there was strong evidence of learning with pupil feedback and when I marked their work. All of the skills were met and they could personally reflect on what they have learnt. </w:t>
      </w:r>
    </w:p>
    <w:p w:rsidR="00B2019F" w:rsidRPr="00770B37" w:rsidRDefault="00B2019F" w:rsidP="00770B37">
      <w:pPr>
        <w:pStyle w:val="NormalWeb"/>
        <w:spacing w:before="0" w:beforeAutospacing="0" w:after="0" w:afterAutospacing="0" w:line="360" w:lineRule="auto"/>
        <w:rPr>
          <w:rFonts w:asciiTheme="minorHAnsi" w:hAnsiTheme="minorHAnsi" w:cstheme="minorHAnsi"/>
        </w:rPr>
      </w:pPr>
    </w:p>
    <w:p w:rsidR="00DB54F1" w:rsidRPr="00E168F0" w:rsidRDefault="00C15A24" w:rsidP="00770B37">
      <w:pPr>
        <w:pStyle w:val="NormalWeb"/>
        <w:spacing w:before="0" w:beforeAutospacing="0" w:after="0" w:afterAutospacing="0" w:line="360" w:lineRule="auto"/>
        <w:rPr>
          <w:rFonts w:asciiTheme="minorHAnsi" w:hAnsiTheme="minorHAnsi" w:cstheme="minorHAnsi"/>
        </w:rPr>
      </w:pPr>
      <w:r w:rsidRPr="00770B37">
        <w:rPr>
          <w:rFonts w:asciiTheme="minorHAnsi" w:hAnsiTheme="minorHAnsi" w:cstheme="minorHAnsi"/>
        </w:rPr>
        <w:t xml:space="preserve">During my first PTE I had plenty of opportunities to self-reflect and also reflect with my class mentor, this helped me to realise what pedagogical principles I needed to improve. It was interested to see how I had already picked up on the points that I believed needed to improve such as allowing enough time to implement the AFL strategies that I had planned to do such as using Think, Pair, Share and allocating enough time for the pupils to communicate effectively. However, after researching the pedagogical principles I will ensure that I use some different techniques as I always tend to use the same ones and I think it will keep it interesting to change these techniques every so often. After reading texts of these different techniques and recommendations I feel like it has made me feel more confident in trying out new things that perhaps my class mentor hasn’t used with the class before. This is something I will take with me to my next placement and future career within teaching. </w:t>
      </w:r>
    </w:p>
    <w:p w:rsidR="00512EF5" w:rsidRDefault="00512EF5" w:rsidP="00770B37">
      <w:pPr>
        <w:spacing w:line="360" w:lineRule="auto"/>
        <w:rPr>
          <w:rFonts w:cstheme="minorHAnsi"/>
        </w:rPr>
      </w:pPr>
    </w:p>
    <w:p w:rsidR="00770B37" w:rsidRDefault="00770B37" w:rsidP="00770B37">
      <w:pPr>
        <w:spacing w:line="360" w:lineRule="auto"/>
        <w:rPr>
          <w:rFonts w:cstheme="minorHAnsi"/>
        </w:rPr>
      </w:pPr>
    </w:p>
    <w:p w:rsidR="00770B37" w:rsidRDefault="00770B37" w:rsidP="00770B37">
      <w:pPr>
        <w:spacing w:line="360" w:lineRule="auto"/>
        <w:rPr>
          <w:rFonts w:cstheme="minorHAnsi"/>
        </w:rPr>
      </w:pPr>
    </w:p>
    <w:p w:rsidR="00770B37" w:rsidRDefault="00770B37" w:rsidP="00770B37">
      <w:pPr>
        <w:spacing w:line="360" w:lineRule="auto"/>
        <w:rPr>
          <w:rFonts w:cstheme="minorHAnsi"/>
        </w:rPr>
      </w:pPr>
    </w:p>
    <w:p w:rsidR="00770B37" w:rsidRDefault="00770B37" w:rsidP="00770B37">
      <w:pPr>
        <w:spacing w:line="360" w:lineRule="auto"/>
        <w:rPr>
          <w:rFonts w:cstheme="minorHAnsi"/>
        </w:rPr>
      </w:pPr>
    </w:p>
    <w:p w:rsidR="00770B37" w:rsidRDefault="00770B37" w:rsidP="00770B37">
      <w:pPr>
        <w:spacing w:line="360" w:lineRule="auto"/>
        <w:rPr>
          <w:rFonts w:cstheme="minorHAnsi"/>
        </w:rPr>
      </w:pPr>
    </w:p>
    <w:p w:rsidR="00770B37" w:rsidRDefault="00770B37" w:rsidP="00770B37">
      <w:pPr>
        <w:spacing w:line="360" w:lineRule="auto"/>
        <w:rPr>
          <w:rFonts w:cstheme="minorHAnsi"/>
        </w:rPr>
      </w:pPr>
    </w:p>
    <w:p w:rsidR="00770B37" w:rsidRDefault="00770B37" w:rsidP="00770B37">
      <w:pPr>
        <w:spacing w:line="360" w:lineRule="auto"/>
        <w:rPr>
          <w:rFonts w:cstheme="minorHAnsi"/>
        </w:rPr>
      </w:pPr>
    </w:p>
    <w:p w:rsidR="00770B37" w:rsidRPr="0017518F" w:rsidRDefault="00770B37" w:rsidP="00770B37">
      <w:pPr>
        <w:spacing w:line="360" w:lineRule="auto"/>
        <w:ind w:left="580"/>
        <w:rPr>
          <w:rFonts w:eastAsia="Times New Roman" w:cstheme="minorHAnsi"/>
          <w:sz w:val="22"/>
          <w:szCs w:val="22"/>
          <w:lang w:eastAsia="en-GB"/>
        </w:rPr>
      </w:pPr>
    </w:p>
    <w:p w:rsidR="00770B37" w:rsidRPr="0017518F" w:rsidRDefault="00770B37" w:rsidP="00770B37">
      <w:pPr>
        <w:spacing w:line="480" w:lineRule="auto"/>
        <w:ind w:left="360"/>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Armstrong, P., 2016. Bloom’s taxonomy. </w:t>
      </w:r>
      <w:r w:rsidRPr="0017518F">
        <w:rPr>
          <w:rFonts w:eastAsia="Times New Roman" w:cstheme="minorHAnsi"/>
          <w:i/>
          <w:iCs/>
          <w:color w:val="000000" w:themeColor="text1"/>
          <w:lang w:eastAsia="en-GB"/>
        </w:rPr>
        <w:t>Vanderbilt University Center for Teaching</w:t>
      </w:r>
      <w:r w:rsidRPr="0017518F">
        <w:rPr>
          <w:rFonts w:eastAsia="Times New Roman" w:cstheme="minorHAnsi"/>
          <w:color w:val="000000" w:themeColor="text1"/>
          <w:lang w:eastAsia="en-GB"/>
        </w:rPr>
        <w:t>.</w:t>
      </w:r>
    </w:p>
    <w:p w:rsidR="00770B37" w:rsidRPr="0017518F" w:rsidRDefault="00770B37" w:rsidP="00770B37">
      <w:pPr>
        <w:spacing w:after="160"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Barnes, J., 2015. </w:t>
      </w:r>
      <w:r w:rsidRPr="0017518F">
        <w:rPr>
          <w:rFonts w:eastAsia="Times New Roman" w:cstheme="minorHAnsi"/>
          <w:i/>
          <w:iCs/>
          <w:color w:val="000000" w:themeColor="text1"/>
          <w:lang w:eastAsia="en-GB"/>
        </w:rPr>
        <w:t>Cross-curricular learning 3-14</w:t>
      </w:r>
      <w:r w:rsidRPr="0017518F">
        <w:rPr>
          <w:rFonts w:eastAsia="Times New Roman" w:cstheme="minorHAnsi"/>
          <w:color w:val="000000" w:themeColor="text1"/>
          <w:lang w:eastAsia="en-GB"/>
        </w:rPr>
        <w:t>. Sage.</w:t>
      </w:r>
    </w:p>
    <w:p w:rsidR="00770B37" w:rsidRPr="0017518F" w:rsidRDefault="00770B37" w:rsidP="00770B37">
      <w:pPr>
        <w:spacing w:line="480" w:lineRule="auto"/>
        <w:ind w:left="567" w:hanging="141"/>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 xml:space="preserve">BLACK, P. and WILIAM, D. (1998). </w:t>
      </w:r>
      <w:r w:rsidRPr="0017518F">
        <w:rPr>
          <w:rFonts w:eastAsia="Times New Roman" w:cstheme="minorHAnsi"/>
          <w:i/>
          <w:iCs/>
          <w:color w:val="000000" w:themeColor="text1"/>
          <w:lang w:eastAsia="en-GB"/>
        </w:rPr>
        <w:t>Inside the Black Box: Raising Standards through Classroom Assessment</w:t>
      </w:r>
      <w:r w:rsidRPr="0017518F">
        <w:rPr>
          <w:rFonts w:eastAsia="Times New Roman" w:cstheme="minorHAnsi"/>
          <w:color w:val="000000" w:themeColor="text1"/>
          <w:lang w:eastAsia="en-GB"/>
        </w:rPr>
        <w:t xml:space="preserve">. London: King’s College London, School of Education. </w:t>
      </w:r>
    </w:p>
    <w:p w:rsidR="00770B37" w:rsidRPr="0017518F" w:rsidRDefault="00770B37" w:rsidP="00770B37">
      <w:pPr>
        <w:spacing w:after="160" w:line="480" w:lineRule="auto"/>
        <w:ind w:left="360"/>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Black, P. et al., 2007. </w:t>
      </w:r>
      <w:r w:rsidRPr="0017518F">
        <w:rPr>
          <w:rFonts w:eastAsia="Times New Roman" w:cstheme="minorHAnsi"/>
          <w:i/>
          <w:iCs/>
          <w:color w:val="000000" w:themeColor="text1"/>
          <w:lang w:eastAsia="en-GB"/>
        </w:rPr>
        <w:t>Assessment for Learning</w:t>
      </w:r>
      <w:r w:rsidRPr="0017518F">
        <w:rPr>
          <w:rFonts w:eastAsia="Times New Roman" w:cstheme="minorHAnsi"/>
          <w:color w:val="000000" w:themeColor="text1"/>
          <w:lang w:eastAsia="en-GB"/>
        </w:rPr>
        <w:t>, Maidenhead: McGraw-Hill Education.</w:t>
      </w:r>
    </w:p>
    <w:p w:rsidR="00770B37" w:rsidRPr="0017518F" w:rsidRDefault="00770B37" w:rsidP="00770B37">
      <w:pPr>
        <w:spacing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Bloom, B.S., 1956. Taxonomy of educational objectives. Vol. 1: Cognitive domain. </w:t>
      </w:r>
      <w:r w:rsidRPr="0017518F">
        <w:rPr>
          <w:rFonts w:eastAsia="Times New Roman" w:cstheme="minorHAnsi"/>
          <w:i/>
          <w:iCs/>
          <w:color w:val="000000" w:themeColor="text1"/>
          <w:lang w:eastAsia="en-GB"/>
        </w:rPr>
        <w:t>New York: McKay</w:t>
      </w:r>
      <w:r w:rsidRPr="0017518F">
        <w:rPr>
          <w:rFonts w:eastAsia="Times New Roman" w:cstheme="minorHAnsi"/>
          <w:color w:val="000000" w:themeColor="text1"/>
          <w:lang w:eastAsia="en-GB"/>
        </w:rPr>
        <w:t>, pp.20-24.</w:t>
      </w:r>
    </w:p>
    <w:p w:rsidR="00770B37" w:rsidRPr="0017518F" w:rsidRDefault="00770B37" w:rsidP="00770B37">
      <w:pPr>
        <w:spacing w:after="160"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Coe, R., Aloisi, C., Higgins, S. and Major, L.E., 2014. What makes great teaching? Review of the underpinning research.</w:t>
      </w:r>
    </w:p>
    <w:p w:rsidR="00770B37" w:rsidRPr="00316A0A" w:rsidRDefault="00770B37" w:rsidP="00770B37">
      <w:pPr>
        <w:spacing w:line="480" w:lineRule="auto"/>
        <w:ind w:left="567" w:hanging="283"/>
        <w:textAlignment w:val="center"/>
        <w:rPr>
          <w:rFonts w:eastAsia="Times New Roman" w:cstheme="minorHAnsi"/>
          <w:color w:val="000000" w:themeColor="text1"/>
          <w:shd w:val="clear" w:color="auto" w:fill="FFFFFF"/>
        </w:rPr>
      </w:pPr>
      <w:r w:rsidRPr="00316A0A">
        <w:rPr>
          <w:rFonts w:eastAsia="Times New Roman" w:cstheme="minorHAnsi"/>
          <w:color w:val="000000" w:themeColor="text1"/>
          <w:shd w:val="clear" w:color="auto" w:fill="FFFFFF"/>
        </w:rPr>
        <w:t>Donaldson, G. (2015). </w:t>
      </w:r>
      <w:r w:rsidRPr="00316A0A">
        <w:rPr>
          <w:rFonts w:eastAsia="Times New Roman" w:cstheme="minorHAnsi"/>
          <w:i/>
          <w:iCs/>
          <w:color w:val="000000" w:themeColor="text1"/>
        </w:rPr>
        <w:t>Successful Futures</w:t>
      </w:r>
      <w:r w:rsidRPr="00316A0A">
        <w:rPr>
          <w:rFonts w:eastAsia="Times New Roman" w:cstheme="minorHAnsi"/>
          <w:color w:val="000000" w:themeColor="text1"/>
          <w:shd w:val="clear" w:color="auto" w:fill="FFFFFF"/>
        </w:rPr>
        <w:t xml:space="preserve">. [online] Crown, pp.29-30. Available at: https://gweddill.gov.wales/docs/dcells/publications/150225-successful-futures-en.pdf </w:t>
      </w:r>
    </w:p>
    <w:p w:rsidR="00770B37" w:rsidRPr="0017518F" w:rsidRDefault="00770B37" w:rsidP="00770B37">
      <w:pPr>
        <w:spacing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Estyn.gov.wales. (2016). </w:t>
      </w:r>
      <w:r w:rsidRPr="0017518F">
        <w:rPr>
          <w:rFonts w:eastAsia="Times New Roman" w:cstheme="minorHAnsi"/>
          <w:i/>
          <w:iCs/>
          <w:color w:val="000000" w:themeColor="text1"/>
          <w:lang w:eastAsia="en-GB"/>
        </w:rPr>
        <w:t>Cross-curricular themes that develop pupils’ key skills | Estyn</w:t>
      </w:r>
      <w:r w:rsidRPr="0017518F">
        <w:rPr>
          <w:rFonts w:eastAsia="Times New Roman" w:cstheme="minorHAnsi"/>
          <w:color w:val="000000" w:themeColor="text1"/>
          <w:lang w:eastAsia="en-GB"/>
        </w:rPr>
        <w:t xml:space="preserve">. [online] Available at: </w:t>
      </w:r>
      <w:hyperlink r:id="rId4" w:history="1">
        <w:r w:rsidRPr="0017518F">
          <w:rPr>
            <w:rFonts w:eastAsia="Times New Roman" w:cstheme="minorHAnsi"/>
            <w:color w:val="000000" w:themeColor="text1"/>
            <w:lang w:eastAsia="en-GB"/>
          </w:rPr>
          <w:t>https://www.estyn.gov.wales/effective-practice/cross-curricular-themes-develop-pupils’-key-skills</w:t>
        </w:r>
      </w:hyperlink>
      <w:r w:rsidRPr="0017518F">
        <w:rPr>
          <w:rFonts w:eastAsia="Times New Roman" w:cstheme="minorHAnsi"/>
          <w:color w:val="000000" w:themeColor="text1"/>
          <w:lang w:eastAsia="en-GB"/>
        </w:rPr>
        <w:t xml:space="preserve"> [Accessed 5 Jan. 2020].</w:t>
      </w:r>
    </w:p>
    <w:p w:rsidR="00770B37" w:rsidRPr="00316A0A" w:rsidRDefault="00770B37" w:rsidP="00770B37">
      <w:pPr>
        <w:spacing w:line="480" w:lineRule="auto"/>
        <w:ind w:left="567" w:hanging="283"/>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Fontana, D. and Fernandes, M., 1994. Improvements in mathematics performance as a consequence of self‐assessment in Portuguese primary school pupils. </w:t>
      </w:r>
      <w:r w:rsidRPr="0017518F">
        <w:rPr>
          <w:rFonts w:eastAsia="Times New Roman" w:cstheme="minorHAnsi"/>
          <w:i/>
          <w:iCs/>
          <w:color w:val="000000" w:themeColor="text1"/>
          <w:lang w:eastAsia="en-GB"/>
        </w:rPr>
        <w:t>British Journal of Educational Psychology</w:t>
      </w:r>
      <w:r w:rsidRPr="0017518F">
        <w:rPr>
          <w:rFonts w:eastAsia="Times New Roman" w:cstheme="minorHAnsi"/>
          <w:color w:val="000000" w:themeColor="text1"/>
          <w:lang w:eastAsia="en-GB"/>
        </w:rPr>
        <w:t>, </w:t>
      </w:r>
      <w:r w:rsidRPr="0017518F">
        <w:rPr>
          <w:rFonts w:eastAsia="Times New Roman" w:cstheme="minorHAnsi"/>
          <w:i/>
          <w:iCs/>
          <w:color w:val="000000" w:themeColor="text1"/>
          <w:lang w:eastAsia="en-GB"/>
        </w:rPr>
        <w:t>64</w:t>
      </w:r>
      <w:r w:rsidRPr="0017518F">
        <w:rPr>
          <w:rFonts w:eastAsia="Times New Roman" w:cstheme="minorHAnsi"/>
          <w:color w:val="000000" w:themeColor="text1"/>
          <w:lang w:eastAsia="en-GB"/>
        </w:rPr>
        <w:t>(3), pp.407-417.</w:t>
      </w:r>
    </w:p>
    <w:p w:rsidR="00770B37" w:rsidRPr="00AE43DB" w:rsidRDefault="00770B37" w:rsidP="00770B37">
      <w:pPr>
        <w:spacing w:line="480" w:lineRule="auto"/>
        <w:ind w:left="567" w:hanging="283"/>
        <w:rPr>
          <w:rFonts w:eastAsia="Times New Roman" w:cstheme="minorHAnsi"/>
          <w:color w:val="000000" w:themeColor="text1"/>
          <w:shd w:val="clear" w:color="auto" w:fill="FFFFFF"/>
          <w:lang w:eastAsia="en-GB"/>
        </w:rPr>
      </w:pPr>
      <w:r w:rsidRPr="00AE43DB">
        <w:rPr>
          <w:rFonts w:eastAsia="Times New Roman" w:cstheme="minorHAnsi"/>
          <w:color w:val="000000" w:themeColor="text1"/>
          <w:shd w:val="clear" w:color="auto" w:fill="FFFFFF"/>
          <w:lang w:eastAsia="en-GB"/>
        </w:rPr>
        <w:t>Grigg, R. (2015). </w:t>
      </w:r>
      <w:r w:rsidRPr="00AE43DB">
        <w:rPr>
          <w:rFonts w:eastAsia="Times New Roman" w:cstheme="minorHAnsi"/>
          <w:i/>
          <w:iCs/>
          <w:color w:val="000000" w:themeColor="text1"/>
          <w:lang w:eastAsia="en-GB"/>
        </w:rPr>
        <w:t>How to be an outstanding primary school teacher</w:t>
      </w:r>
      <w:r w:rsidRPr="00AE43DB">
        <w:rPr>
          <w:rFonts w:eastAsia="Times New Roman" w:cstheme="minorHAnsi"/>
          <w:color w:val="000000" w:themeColor="text1"/>
          <w:shd w:val="clear" w:color="auto" w:fill="FFFFFF"/>
          <w:lang w:eastAsia="en-GB"/>
        </w:rPr>
        <w:t>. 2nd ed. Oxon: Routledge.</w:t>
      </w:r>
    </w:p>
    <w:p w:rsidR="00770B37" w:rsidRPr="00316A0A" w:rsidRDefault="00770B37" w:rsidP="00770B37">
      <w:pPr>
        <w:spacing w:line="480" w:lineRule="auto"/>
        <w:ind w:left="567" w:hanging="141"/>
        <w:rPr>
          <w:rFonts w:eastAsia="Times New Roman" w:cstheme="minorHAnsi"/>
          <w:color w:val="000000" w:themeColor="text1"/>
          <w:lang w:eastAsia="en-GB"/>
        </w:rPr>
      </w:pPr>
      <w:r w:rsidRPr="00316A0A">
        <w:rPr>
          <w:rFonts w:eastAsia="Times New Roman" w:cstheme="minorHAnsi"/>
          <w:color w:val="000000" w:themeColor="text1"/>
          <w:shd w:val="clear" w:color="auto" w:fill="FFFFFF"/>
          <w:lang w:eastAsia="en-GB"/>
        </w:rPr>
        <w:t>Hall, K. and Burke, W. (n.d.). </w:t>
      </w:r>
      <w:r w:rsidRPr="00316A0A">
        <w:rPr>
          <w:rFonts w:eastAsia="Times New Roman" w:cstheme="minorHAnsi"/>
          <w:i/>
          <w:iCs/>
          <w:color w:val="000000" w:themeColor="text1"/>
          <w:lang w:eastAsia="en-GB"/>
        </w:rPr>
        <w:t>Making formative assessment work</w:t>
      </w:r>
      <w:r w:rsidRPr="00316A0A">
        <w:rPr>
          <w:rFonts w:eastAsia="Times New Roman" w:cstheme="minorHAnsi"/>
          <w:color w:val="000000" w:themeColor="text1"/>
          <w:shd w:val="clear" w:color="auto" w:fill="FFFFFF"/>
          <w:lang w:eastAsia="en-GB"/>
        </w:rPr>
        <w:t>. Maidenhead: Open University Press.</w:t>
      </w:r>
    </w:p>
    <w:p w:rsidR="00770B37" w:rsidRPr="0017518F" w:rsidRDefault="00770B37" w:rsidP="00770B37">
      <w:pPr>
        <w:spacing w:line="480" w:lineRule="auto"/>
        <w:ind w:left="360"/>
        <w:textAlignment w:val="center"/>
        <w:rPr>
          <w:rFonts w:eastAsia="Times New Roman" w:cstheme="minorHAnsi"/>
          <w:color w:val="000000" w:themeColor="text1"/>
          <w:lang w:eastAsia="en-GB"/>
        </w:rPr>
      </w:pPr>
    </w:p>
    <w:p w:rsidR="00770B37" w:rsidRPr="0017518F" w:rsidRDefault="00770B37" w:rsidP="00770B37">
      <w:pPr>
        <w:spacing w:line="480" w:lineRule="auto"/>
        <w:ind w:left="567" w:hanging="283"/>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lastRenderedPageBreak/>
        <w:t xml:space="preserve">  Hattie, J. and Timperley, H. (2007) ‘The Power of Feedback’, Review of Educational Research, 77(1), pp. 81–112. doi: 10.3102/003465430298487.</w:t>
      </w:r>
    </w:p>
    <w:p w:rsidR="00770B37" w:rsidRPr="00316A0A" w:rsidRDefault="00770B37" w:rsidP="00770B37">
      <w:pPr>
        <w:spacing w:line="480" w:lineRule="auto"/>
        <w:ind w:left="567" w:hanging="142"/>
        <w:rPr>
          <w:rFonts w:cstheme="minorHAnsi"/>
          <w:color w:val="000000" w:themeColor="text1"/>
          <w:shd w:val="clear" w:color="auto" w:fill="FFFFFF"/>
        </w:rPr>
      </w:pPr>
      <w:r w:rsidRPr="00316A0A">
        <w:rPr>
          <w:rFonts w:cstheme="minorHAnsi"/>
          <w:color w:val="000000" w:themeColor="text1"/>
          <w:shd w:val="clear" w:color="auto" w:fill="FFFFFF"/>
        </w:rPr>
        <w:t>Lovell, A. (2019).</w:t>
      </w:r>
      <w:r w:rsidRPr="00316A0A">
        <w:rPr>
          <w:rStyle w:val="apple-converted-space"/>
          <w:rFonts w:cstheme="minorHAnsi"/>
          <w:color w:val="000000" w:themeColor="text1"/>
          <w:shd w:val="clear" w:color="auto" w:fill="FFFFFF"/>
        </w:rPr>
        <w:t> </w:t>
      </w:r>
      <w:r w:rsidRPr="00316A0A">
        <w:rPr>
          <w:rFonts w:cstheme="minorHAnsi"/>
          <w:i/>
          <w:iCs/>
          <w:color w:val="000000" w:themeColor="text1"/>
        </w:rPr>
        <w:t>Wales wants to make the Welsh language part of every lesson under new curriculum</w:t>
      </w:r>
      <w:r w:rsidRPr="00316A0A">
        <w:rPr>
          <w:rFonts w:cstheme="minorHAnsi"/>
          <w:color w:val="000000" w:themeColor="text1"/>
          <w:shd w:val="clear" w:color="auto" w:fill="FFFFFF"/>
        </w:rPr>
        <w:t>. [online] The Conversation. Available at: http://theconversation.com/wales-wants-to-make-the-welsh-language-part-of-every-lesson-under-new-curriculum-120312 [Accessed 5 Jan. 2020].</w:t>
      </w:r>
    </w:p>
    <w:p w:rsidR="00770B37" w:rsidRPr="00316A0A" w:rsidRDefault="00770B37" w:rsidP="00770B37">
      <w:pPr>
        <w:spacing w:line="480" w:lineRule="auto"/>
        <w:ind w:left="426" w:hanging="426"/>
        <w:rPr>
          <w:rFonts w:eastAsia="Times New Roman" w:cstheme="minorHAnsi"/>
          <w:color w:val="000000" w:themeColor="text1"/>
          <w:lang w:eastAsia="en-GB"/>
        </w:rPr>
      </w:pPr>
      <w:r w:rsidRPr="00316A0A">
        <w:rPr>
          <w:rFonts w:eastAsia="Times New Roman" w:cstheme="minorHAnsi"/>
          <w:color w:val="000000" w:themeColor="text1"/>
          <w:lang w:eastAsia="en-GB"/>
        </w:rPr>
        <w:t xml:space="preserve"> </w:t>
      </w:r>
      <w:r w:rsidRPr="00316A0A">
        <w:rPr>
          <w:rFonts w:cstheme="minorHAnsi"/>
          <w:color w:val="000000" w:themeColor="text1"/>
        </w:rPr>
        <w:t>G</w:t>
      </w:r>
      <w:r w:rsidRPr="00316A0A">
        <w:rPr>
          <w:rFonts w:cstheme="minorHAnsi"/>
          <w:color w:val="000000" w:themeColor="text1"/>
          <w:shd w:val="clear" w:color="auto" w:fill="FFFFFF"/>
        </w:rPr>
        <w:t xml:space="preserve"> </w:t>
      </w:r>
      <w:r w:rsidRPr="00316A0A">
        <w:rPr>
          <w:rFonts w:eastAsia="Times New Roman" w:cstheme="minorHAnsi"/>
          <w:color w:val="000000" w:themeColor="text1"/>
          <w:shd w:val="clear" w:color="auto" w:fill="FFFFFF"/>
          <w:lang w:eastAsia="en-GB"/>
        </w:rPr>
        <w:t>Welsh Government (2019). </w:t>
      </w:r>
      <w:r w:rsidRPr="00316A0A">
        <w:rPr>
          <w:rFonts w:eastAsia="Times New Roman" w:cstheme="minorHAnsi"/>
          <w:i/>
          <w:iCs/>
          <w:color w:val="000000" w:themeColor="text1"/>
          <w:lang w:eastAsia="en-GB"/>
        </w:rPr>
        <w:t>Get to know Mathematics and Numeracy</w:t>
      </w:r>
      <w:r w:rsidRPr="00316A0A">
        <w:rPr>
          <w:rFonts w:eastAsia="Times New Roman" w:cstheme="minorHAnsi"/>
          <w:color w:val="000000" w:themeColor="text1"/>
          <w:shd w:val="clear" w:color="auto" w:fill="FFFFFF"/>
          <w:lang w:eastAsia="en-GB"/>
        </w:rPr>
        <w:t>. Cardiff: HWB.</w:t>
      </w:r>
      <w:r w:rsidRPr="00316A0A">
        <w:rPr>
          <w:rFonts w:cstheme="minorHAnsi"/>
          <w:color w:val="000000" w:themeColor="text1"/>
        </w:rPr>
        <w:t xml:space="preserve"> to know Mathematics and Numeracy</w:t>
      </w:r>
    </w:p>
    <w:p w:rsidR="00770B37" w:rsidRPr="00316A0A" w:rsidRDefault="00770B37" w:rsidP="00770B37">
      <w:pPr>
        <w:spacing w:line="480" w:lineRule="auto"/>
        <w:rPr>
          <w:rFonts w:cstheme="minorHAnsi"/>
          <w:color w:val="000000" w:themeColor="text1"/>
        </w:rPr>
      </w:pPr>
      <w:r w:rsidRPr="00316A0A">
        <w:rPr>
          <w:rFonts w:cstheme="minorHAnsi"/>
          <w:color w:val="000000" w:themeColor="text1"/>
          <w:shd w:val="clear" w:color="auto" w:fill="FFFFFF"/>
        </w:rPr>
        <w:t>Welsh Government (2003).</w:t>
      </w:r>
      <w:r w:rsidRPr="00316A0A">
        <w:rPr>
          <w:rStyle w:val="apple-converted-space"/>
          <w:rFonts w:cstheme="minorHAnsi"/>
          <w:color w:val="000000" w:themeColor="text1"/>
          <w:shd w:val="clear" w:color="auto" w:fill="FFFFFF"/>
        </w:rPr>
        <w:t> </w:t>
      </w:r>
      <w:r w:rsidRPr="00316A0A">
        <w:rPr>
          <w:rFonts w:cstheme="minorHAnsi"/>
          <w:i/>
          <w:iCs/>
          <w:color w:val="000000" w:themeColor="text1"/>
        </w:rPr>
        <w:t>Developing the Curriculum Cymreig</w:t>
      </w:r>
      <w:r w:rsidRPr="00316A0A">
        <w:rPr>
          <w:rFonts w:cstheme="minorHAnsi"/>
          <w:color w:val="000000" w:themeColor="text1"/>
          <w:shd w:val="clear" w:color="auto" w:fill="FFFFFF"/>
        </w:rPr>
        <w:t>. Cardiff: HWB, pp.1-6.</w:t>
      </w:r>
    </w:p>
    <w:p w:rsidR="00770B37" w:rsidRPr="0017518F" w:rsidRDefault="00770B37" w:rsidP="00770B37">
      <w:pPr>
        <w:pStyle w:val="Heading2"/>
        <w:spacing w:before="0" w:beforeAutospacing="0" w:after="0" w:afterAutospacing="0" w:line="480" w:lineRule="auto"/>
        <w:ind w:left="567"/>
        <w:textAlignment w:val="baseline"/>
        <w:rPr>
          <w:rFonts w:asciiTheme="minorHAnsi" w:hAnsiTheme="minorHAnsi" w:cstheme="minorHAnsi"/>
          <w:b w:val="0"/>
          <w:bCs w:val="0"/>
          <w:color w:val="000000" w:themeColor="text1"/>
          <w:sz w:val="24"/>
          <w:szCs w:val="24"/>
        </w:rPr>
      </w:pPr>
      <w:r w:rsidRPr="00316A0A">
        <w:rPr>
          <w:rFonts w:asciiTheme="minorHAnsi" w:hAnsiTheme="minorHAnsi" w:cstheme="minorHAnsi"/>
          <w:b w:val="0"/>
          <w:bCs w:val="0"/>
          <w:color w:val="000000" w:themeColor="text1"/>
          <w:sz w:val="24"/>
          <w:szCs w:val="24"/>
        </w:rPr>
        <w:t xml:space="preserve"> </w:t>
      </w:r>
      <w:r w:rsidRPr="0017518F">
        <w:rPr>
          <w:rFonts w:asciiTheme="minorHAnsi" w:hAnsiTheme="minorHAnsi" w:cstheme="minorHAnsi"/>
          <w:b w:val="0"/>
          <w:bCs w:val="0"/>
          <w:color w:val="000000" w:themeColor="text1"/>
          <w:sz w:val="24"/>
          <w:szCs w:val="24"/>
        </w:rPr>
        <w:fldChar w:fldCharType="begin"/>
      </w:r>
      <w:r w:rsidRPr="0017518F">
        <w:rPr>
          <w:rFonts w:asciiTheme="minorHAnsi" w:hAnsiTheme="minorHAnsi" w:cstheme="minorHAnsi"/>
          <w:b w:val="0"/>
          <w:bCs w:val="0"/>
          <w:color w:val="000000" w:themeColor="text1"/>
          <w:sz w:val="24"/>
          <w:szCs w:val="24"/>
        </w:rPr>
        <w:instrText xml:space="preserve"> HYPERLINK "https://hwb.gov.wales/storage/f8f9760c-64a1-48ea-80fd-db130ad9050b/a-guide-to-curriculum-for-wales-2022.pdf" </w:instrText>
      </w:r>
      <w:r w:rsidRPr="0017518F">
        <w:rPr>
          <w:rFonts w:asciiTheme="minorHAnsi" w:hAnsiTheme="minorHAnsi" w:cstheme="minorHAnsi"/>
          <w:b w:val="0"/>
          <w:bCs w:val="0"/>
          <w:color w:val="000000" w:themeColor="text1"/>
          <w:sz w:val="24"/>
          <w:szCs w:val="24"/>
        </w:rPr>
        <w:fldChar w:fldCharType="separate"/>
      </w:r>
      <w:r w:rsidRPr="0017518F">
        <w:rPr>
          <w:rFonts w:asciiTheme="minorHAnsi" w:hAnsiTheme="minorHAnsi" w:cstheme="minorHAnsi"/>
          <w:b w:val="0"/>
          <w:bCs w:val="0"/>
          <w:color w:val="000000" w:themeColor="text1"/>
          <w:sz w:val="24"/>
          <w:szCs w:val="24"/>
        </w:rPr>
        <w:t>https://hwb.gov.wales/storage/f8f9760c-64a1-48ea-80fd-db130ad9050b/a-guide-to-</w:t>
      </w:r>
      <w:r w:rsidRPr="0017518F">
        <w:rPr>
          <w:rFonts w:asciiTheme="minorHAnsi" w:hAnsiTheme="minorHAnsi" w:cstheme="minorHAnsi"/>
          <w:b w:val="0"/>
          <w:bCs w:val="0"/>
          <w:color w:val="000000" w:themeColor="text1"/>
          <w:sz w:val="24"/>
          <w:szCs w:val="24"/>
        </w:rPr>
        <w:t>c</w:t>
      </w:r>
      <w:r w:rsidRPr="0017518F">
        <w:rPr>
          <w:rFonts w:asciiTheme="minorHAnsi" w:hAnsiTheme="minorHAnsi" w:cstheme="minorHAnsi"/>
          <w:b w:val="0"/>
          <w:bCs w:val="0"/>
          <w:color w:val="000000" w:themeColor="text1"/>
          <w:sz w:val="24"/>
          <w:szCs w:val="24"/>
        </w:rPr>
        <w:t>urriculum-for-wales-2022.pdf</w:t>
      </w:r>
      <w:r w:rsidRPr="0017518F">
        <w:rPr>
          <w:rFonts w:asciiTheme="minorHAnsi" w:hAnsiTheme="minorHAnsi" w:cstheme="minorHAnsi"/>
          <w:b w:val="0"/>
          <w:bCs w:val="0"/>
          <w:color w:val="000000" w:themeColor="text1"/>
          <w:sz w:val="24"/>
          <w:szCs w:val="24"/>
        </w:rPr>
        <w:fldChar w:fldCharType="end"/>
      </w:r>
    </w:p>
    <w:p w:rsidR="00770B37" w:rsidRPr="0017518F" w:rsidRDefault="00770B37" w:rsidP="00770B37">
      <w:pPr>
        <w:spacing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Kaddoura, M., 2013. Think pair share: A teaching learning strategy to enhance students' critical thinking. </w:t>
      </w:r>
      <w:r w:rsidRPr="0017518F">
        <w:rPr>
          <w:rFonts w:eastAsia="Times New Roman" w:cstheme="minorHAnsi"/>
          <w:i/>
          <w:iCs/>
          <w:color w:val="000000" w:themeColor="text1"/>
          <w:lang w:eastAsia="en-GB"/>
        </w:rPr>
        <w:t>Educational Research Quarterly</w:t>
      </w:r>
      <w:r w:rsidRPr="0017518F">
        <w:rPr>
          <w:rFonts w:eastAsia="Times New Roman" w:cstheme="minorHAnsi"/>
          <w:color w:val="000000" w:themeColor="text1"/>
          <w:lang w:eastAsia="en-GB"/>
        </w:rPr>
        <w:t>, </w:t>
      </w:r>
      <w:r w:rsidRPr="0017518F">
        <w:rPr>
          <w:rFonts w:eastAsia="Times New Roman" w:cstheme="minorHAnsi"/>
          <w:i/>
          <w:iCs/>
          <w:color w:val="000000" w:themeColor="text1"/>
          <w:lang w:eastAsia="en-GB"/>
        </w:rPr>
        <w:t>36</w:t>
      </w:r>
      <w:r w:rsidRPr="0017518F">
        <w:rPr>
          <w:rFonts w:eastAsia="Times New Roman" w:cstheme="minorHAnsi"/>
          <w:color w:val="000000" w:themeColor="text1"/>
          <w:lang w:eastAsia="en-GB"/>
        </w:rPr>
        <w:t>(4), pp.3-24.</w:t>
      </w:r>
    </w:p>
    <w:p w:rsidR="00770B37" w:rsidRPr="0017518F" w:rsidRDefault="00770B37" w:rsidP="00770B37">
      <w:pPr>
        <w:spacing w:after="160"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Kerry, T. ed., 2015. </w:t>
      </w:r>
      <w:r w:rsidRPr="0017518F">
        <w:rPr>
          <w:rFonts w:eastAsia="Times New Roman" w:cstheme="minorHAnsi"/>
          <w:i/>
          <w:iCs/>
          <w:color w:val="000000" w:themeColor="text1"/>
          <w:lang w:eastAsia="en-GB"/>
        </w:rPr>
        <w:t>Cross-curricular teaching in the primary school: Planning and facilitating imaginative lessons</w:t>
      </w:r>
      <w:r w:rsidRPr="0017518F">
        <w:rPr>
          <w:rFonts w:eastAsia="Times New Roman" w:cstheme="minorHAnsi"/>
          <w:color w:val="000000" w:themeColor="text1"/>
          <w:lang w:eastAsia="en-GB"/>
        </w:rPr>
        <w:t xml:space="preserve">. Routledge.v </w:t>
      </w:r>
    </w:p>
    <w:p w:rsidR="00770B37" w:rsidRPr="0017518F" w:rsidRDefault="00770B37" w:rsidP="00770B37">
      <w:pPr>
        <w:spacing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McLeod, S. A. (2019, July 17). </w:t>
      </w:r>
      <w:r w:rsidRPr="0017518F">
        <w:rPr>
          <w:rFonts w:eastAsia="Times New Roman" w:cstheme="minorHAnsi"/>
          <w:i/>
          <w:iCs/>
          <w:color w:val="000000" w:themeColor="text1"/>
          <w:lang w:eastAsia="en-GB"/>
        </w:rPr>
        <w:t>Constructivism as a theory for teaching and learning</w:t>
      </w:r>
      <w:r w:rsidRPr="0017518F">
        <w:rPr>
          <w:rFonts w:eastAsia="Times New Roman" w:cstheme="minorHAnsi"/>
          <w:color w:val="000000" w:themeColor="text1"/>
          <w:lang w:eastAsia="en-GB"/>
        </w:rPr>
        <w:t xml:space="preserve">. Simply Psychology. </w:t>
      </w:r>
      <w:hyperlink r:id="rId5" w:history="1">
        <w:r w:rsidRPr="0017518F">
          <w:rPr>
            <w:rFonts w:eastAsia="Times New Roman" w:cstheme="minorHAnsi"/>
            <w:color w:val="000000" w:themeColor="text1"/>
            <w:lang w:eastAsia="en-GB"/>
          </w:rPr>
          <w:t>https://www.simplypsychology.org/constructivism.html2</w:t>
        </w:r>
      </w:hyperlink>
    </w:p>
    <w:p w:rsidR="00770B37" w:rsidRPr="0017518F" w:rsidRDefault="00770B37" w:rsidP="00770B37">
      <w:pPr>
        <w:spacing w:line="480" w:lineRule="auto"/>
        <w:ind w:left="360"/>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McLeod, S., 2018. Jean Piaget’s theory of cognitive development. </w:t>
      </w:r>
      <w:r w:rsidRPr="0017518F">
        <w:rPr>
          <w:rFonts w:eastAsia="Times New Roman" w:cstheme="minorHAnsi"/>
          <w:i/>
          <w:iCs/>
          <w:color w:val="000000" w:themeColor="text1"/>
          <w:lang w:eastAsia="en-GB"/>
        </w:rPr>
        <w:t>Simply Psychology</w:t>
      </w:r>
      <w:r w:rsidRPr="0017518F">
        <w:rPr>
          <w:rFonts w:eastAsia="Times New Roman" w:cstheme="minorHAnsi"/>
          <w:color w:val="000000" w:themeColor="text1"/>
          <w:lang w:eastAsia="en-GB"/>
        </w:rPr>
        <w:t>.</w:t>
      </w:r>
    </w:p>
    <w:p w:rsidR="00770B37" w:rsidRPr="0017518F" w:rsidRDefault="00770B37" w:rsidP="00770B37">
      <w:pPr>
        <w:spacing w:line="480" w:lineRule="auto"/>
        <w:ind w:left="851" w:hanging="284"/>
        <w:textAlignment w:val="center"/>
        <w:rPr>
          <w:rFonts w:eastAsia="Times New Roman" w:cstheme="minorHAnsi"/>
          <w:color w:val="000000" w:themeColor="text1"/>
          <w:lang w:val="en-US" w:eastAsia="en-GB"/>
        </w:rPr>
      </w:pPr>
      <w:r w:rsidRPr="0017518F">
        <w:rPr>
          <w:rFonts w:eastAsia="Times New Roman" w:cstheme="minorHAnsi"/>
          <w:color w:val="000000" w:themeColor="text1"/>
          <w:lang w:val="en-US" w:eastAsia="en-GB"/>
        </w:rPr>
        <w:t>of</w:t>
      </w:r>
      <w:r w:rsidRPr="0017518F">
        <w:rPr>
          <w:rFonts w:eastAsia="Times New Roman" w:cstheme="minorHAnsi"/>
          <w:i/>
          <w:iCs/>
          <w:color w:val="000000" w:themeColor="text1"/>
          <w:lang w:val="en-US" w:eastAsia="en-GB"/>
        </w:rPr>
        <w:t xml:space="preserve"> Taxonomy of Educational Objectives </w:t>
      </w:r>
      <w:r w:rsidRPr="0017518F">
        <w:rPr>
          <w:rFonts w:eastAsia="Times New Roman" w:cstheme="minorHAnsi"/>
          <w:color w:val="000000" w:themeColor="text1"/>
          <w:lang w:val="en-US" w:eastAsia="en-GB"/>
        </w:rPr>
        <w:t>(</w:t>
      </w:r>
      <w:r w:rsidRPr="0017518F">
        <w:rPr>
          <w:rFonts w:eastAsia="Times New Roman" w:cstheme="minorHAnsi"/>
          <w:i/>
          <w:iCs/>
          <w:color w:val="000000" w:themeColor="text1"/>
          <w:lang w:val="en-US" w:eastAsia="en-GB"/>
        </w:rPr>
        <w:t>Handbook One</w:t>
      </w:r>
      <w:r w:rsidRPr="0017518F">
        <w:rPr>
          <w:rFonts w:eastAsia="Times New Roman" w:cstheme="minorHAnsi"/>
          <w:color w:val="000000" w:themeColor="text1"/>
          <w:lang w:val="en-US" w:eastAsia="en-GB"/>
        </w:rPr>
        <w:t>, pp. 201-207)</w:t>
      </w:r>
    </w:p>
    <w:p w:rsidR="00770B37" w:rsidRPr="0017518F" w:rsidRDefault="00770B37" w:rsidP="00770B37">
      <w:pPr>
        <w:spacing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 xml:space="preserve">  Phillips, D. C. “The Good, the Bad, and the Ugly: The Many Faces of Constructivism.” Educational Researcher, vol. 24, no. 7, Oct. 1995, pp. 5–12, doi:10.3102/0013189X024007005.</w:t>
      </w:r>
    </w:p>
    <w:p w:rsidR="00770B37" w:rsidRPr="0017518F" w:rsidRDefault="00770B37" w:rsidP="00770B37">
      <w:pPr>
        <w:spacing w:line="480" w:lineRule="auto"/>
        <w:ind w:left="360"/>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Piaget, J. (1936). Origins of intelligence in the child</w:t>
      </w:r>
      <w:r w:rsidRPr="0017518F">
        <w:rPr>
          <w:rFonts w:eastAsia="Times New Roman" w:cstheme="minorHAnsi"/>
          <w:i/>
          <w:iCs/>
          <w:color w:val="000000" w:themeColor="text1"/>
          <w:lang w:eastAsia="en-GB"/>
        </w:rPr>
        <w:t>.</w:t>
      </w:r>
      <w:r w:rsidRPr="0017518F">
        <w:rPr>
          <w:rFonts w:eastAsia="Times New Roman" w:cstheme="minorHAnsi"/>
          <w:color w:val="000000" w:themeColor="text1"/>
          <w:lang w:eastAsia="en-GB"/>
        </w:rPr>
        <w:t> London: Routledge &amp; Kegan Paul.</w:t>
      </w:r>
    </w:p>
    <w:p w:rsidR="00770B37" w:rsidRPr="0017518F" w:rsidRDefault="00770B37" w:rsidP="00770B37">
      <w:pPr>
        <w:spacing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lastRenderedPageBreak/>
        <w:t>Purves, A.C., 1993. Setting Standards in the Language Arts and Literature Classrooms and the Implications for Portfolio Assessment. </w:t>
      </w:r>
      <w:r w:rsidRPr="0017518F">
        <w:rPr>
          <w:rFonts w:eastAsia="Times New Roman" w:cstheme="minorHAnsi"/>
          <w:i/>
          <w:iCs/>
          <w:color w:val="000000" w:themeColor="text1"/>
          <w:lang w:eastAsia="en-GB"/>
        </w:rPr>
        <w:t>Educational Assessment</w:t>
      </w:r>
      <w:r w:rsidRPr="0017518F">
        <w:rPr>
          <w:rFonts w:eastAsia="Times New Roman" w:cstheme="minorHAnsi"/>
          <w:color w:val="000000" w:themeColor="text1"/>
          <w:lang w:eastAsia="en-GB"/>
        </w:rPr>
        <w:t>, </w:t>
      </w:r>
      <w:r w:rsidRPr="0017518F">
        <w:rPr>
          <w:rFonts w:eastAsia="Times New Roman" w:cstheme="minorHAnsi"/>
          <w:i/>
          <w:iCs/>
          <w:color w:val="000000" w:themeColor="text1"/>
          <w:lang w:eastAsia="en-GB"/>
        </w:rPr>
        <w:t>1</w:t>
      </w:r>
      <w:r w:rsidRPr="0017518F">
        <w:rPr>
          <w:rFonts w:eastAsia="Times New Roman" w:cstheme="minorHAnsi"/>
          <w:color w:val="000000" w:themeColor="text1"/>
          <w:lang w:eastAsia="en-GB"/>
        </w:rPr>
        <w:t>(3), pp.175-199.</w:t>
      </w:r>
    </w:p>
    <w:p w:rsidR="00770B37" w:rsidRPr="0017518F" w:rsidRDefault="00770B37" w:rsidP="00770B37">
      <w:pPr>
        <w:spacing w:after="160"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Rosenshine, B., 2012. Principles of Instruction: Research-Based Strategies That All Teachers Should Know. American Educator, 36(1), pp.12–19.</w:t>
      </w:r>
    </w:p>
    <w:p w:rsidR="00770B37" w:rsidRPr="0017518F" w:rsidRDefault="00770B37" w:rsidP="00770B37">
      <w:pPr>
        <w:spacing w:after="160"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Savage, J., 2010. </w:t>
      </w:r>
      <w:r w:rsidRPr="0017518F">
        <w:rPr>
          <w:rFonts w:eastAsia="Times New Roman" w:cstheme="minorHAnsi"/>
          <w:i/>
          <w:iCs/>
          <w:color w:val="000000" w:themeColor="text1"/>
          <w:lang w:eastAsia="en-GB"/>
        </w:rPr>
        <w:t>Cross-curricular teaching and learning in the secondary school</w:t>
      </w:r>
      <w:r w:rsidRPr="0017518F">
        <w:rPr>
          <w:rFonts w:eastAsia="Times New Roman" w:cstheme="minorHAnsi"/>
          <w:color w:val="000000" w:themeColor="text1"/>
          <w:lang w:eastAsia="en-GB"/>
        </w:rPr>
        <w:t>. Routledge.</w:t>
      </w:r>
    </w:p>
    <w:p w:rsidR="00770B37" w:rsidRPr="0017518F" w:rsidRDefault="00770B37" w:rsidP="00770B37">
      <w:pPr>
        <w:spacing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Vygotsky, L. S. (1978). </w:t>
      </w:r>
      <w:r w:rsidRPr="0017518F">
        <w:rPr>
          <w:rFonts w:eastAsia="Times New Roman" w:cstheme="minorHAnsi"/>
          <w:i/>
          <w:iCs/>
          <w:color w:val="000000" w:themeColor="text1"/>
          <w:lang w:eastAsia="en-GB"/>
        </w:rPr>
        <w:t>Mind in society: The development of higher psychological processes</w:t>
      </w:r>
      <w:r w:rsidRPr="0017518F">
        <w:rPr>
          <w:rFonts w:eastAsia="Times New Roman" w:cstheme="minorHAnsi"/>
          <w:color w:val="000000" w:themeColor="text1"/>
          <w:lang w:eastAsia="en-GB"/>
        </w:rPr>
        <w:t>. Cambridge, MA: Harvard University Press.</w:t>
      </w:r>
    </w:p>
    <w:p w:rsidR="00770B37" w:rsidRPr="0017518F" w:rsidRDefault="00770B37" w:rsidP="00770B37">
      <w:pPr>
        <w:spacing w:line="480" w:lineRule="auto"/>
        <w:ind w:left="360"/>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Watson, J.B., 1925. </w:t>
      </w:r>
      <w:r w:rsidRPr="0017518F">
        <w:rPr>
          <w:rFonts w:eastAsia="Times New Roman" w:cstheme="minorHAnsi"/>
          <w:i/>
          <w:iCs/>
          <w:color w:val="000000" w:themeColor="text1"/>
          <w:lang w:eastAsia="en-GB"/>
        </w:rPr>
        <w:t>Behaviorism.</w:t>
      </w:r>
      <w:r w:rsidRPr="0017518F">
        <w:rPr>
          <w:rFonts w:eastAsia="Times New Roman" w:cstheme="minorHAnsi"/>
          <w:color w:val="000000" w:themeColor="text1"/>
          <w:lang w:eastAsia="en-GB"/>
        </w:rPr>
        <w:t>,</w:t>
      </w:r>
      <w:r w:rsidRPr="00316A0A">
        <w:rPr>
          <w:rFonts w:eastAsia="Times New Roman" w:cstheme="minorHAnsi"/>
          <w:color w:val="000000" w:themeColor="text1"/>
          <w:lang w:eastAsia="en-GB"/>
        </w:rPr>
        <w:t>Routledge.</w:t>
      </w:r>
    </w:p>
    <w:p w:rsidR="00770B37" w:rsidRPr="0017518F" w:rsidRDefault="00770B37" w:rsidP="00770B37">
      <w:pPr>
        <w:spacing w:line="480" w:lineRule="auto"/>
        <w:ind w:left="360"/>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Watson, J.B., 2017. </w:t>
      </w:r>
      <w:r w:rsidRPr="0017518F">
        <w:rPr>
          <w:rFonts w:eastAsia="Times New Roman" w:cstheme="minorHAnsi"/>
          <w:i/>
          <w:iCs/>
          <w:color w:val="000000" w:themeColor="text1"/>
          <w:lang w:eastAsia="en-GB"/>
        </w:rPr>
        <w:t>Behaviorism</w:t>
      </w:r>
      <w:r w:rsidRPr="0017518F">
        <w:rPr>
          <w:rFonts w:eastAsia="Times New Roman" w:cstheme="minorHAnsi"/>
          <w:color w:val="000000" w:themeColor="text1"/>
          <w:lang w:eastAsia="en-GB"/>
        </w:rPr>
        <w:t>. Routledge.</w:t>
      </w:r>
    </w:p>
    <w:p w:rsidR="00770B37" w:rsidRPr="0017518F" w:rsidRDefault="00770B37" w:rsidP="00770B37">
      <w:pPr>
        <w:spacing w:after="160" w:line="480" w:lineRule="auto"/>
        <w:ind w:left="567" w:hanging="283"/>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 xml:space="preserve">Welsh Government (2010) - Why develop thinking and assessment for learning in the classroom? </w:t>
      </w:r>
      <w:r w:rsidRPr="00316A0A">
        <w:rPr>
          <w:rFonts w:eastAsia="Times New Roman" w:cstheme="minorHAnsi"/>
          <w:color w:val="000000" w:themeColor="text1"/>
          <w:lang w:eastAsia="en-GB"/>
        </w:rPr>
        <w:fldChar w:fldCharType="begin"/>
      </w:r>
      <w:r w:rsidRPr="00316A0A">
        <w:rPr>
          <w:rFonts w:eastAsia="Times New Roman" w:cstheme="minorHAnsi"/>
          <w:color w:val="000000" w:themeColor="text1"/>
          <w:lang w:eastAsia="en-GB"/>
        </w:rPr>
        <w:instrText xml:space="preserve"> HYPERLINK "https://s3-eu-west-1.amazonaws.com/hwb-live-" </w:instrText>
      </w:r>
      <w:r w:rsidRPr="00316A0A">
        <w:rPr>
          <w:rFonts w:eastAsia="Times New Roman" w:cstheme="minorHAnsi"/>
          <w:color w:val="000000" w:themeColor="text1"/>
          <w:lang w:eastAsia="en-GB"/>
        </w:rPr>
        <w:fldChar w:fldCharType="separate"/>
      </w:r>
      <w:r w:rsidRPr="00316A0A">
        <w:rPr>
          <w:rStyle w:val="Hyperlink"/>
          <w:rFonts w:eastAsia="Times New Roman" w:cstheme="minorHAnsi"/>
          <w:color w:val="000000" w:themeColor="text1"/>
          <w:u w:val="none"/>
          <w:lang w:eastAsia="en-GB"/>
        </w:rPr>
        <w:t>https://s3-eu-west-1.amazonaws.com/hwb-live-</w:t>
      </w:r>
      <w:r w:rsidRPr="00316A0A">
        <w:rPr>
          <w:rFonts w:eastAsia="Times New Roman" w:cstheme="minorHAnsi"/>
          <w:color w:val="000000" w:themeColor="text1"/>
          <w:lang w:eastAsia="en-GB"/>
        </w:rPr>
        <w:fldChar w:fldCharType="end"/>
      </w:r>
      <w:r w:rsidRPr="00316A0A">
        <w:rPr>
          <w:rFonts w:eastAsia="Times New Roman" w:cstheme="minorHAnsi"/>
          <w:color w:val="000000" w:themeColor="text1"/>
          <w:lang w:eastAsia="en-GB"/>
        </w:rPr>
        <w:t xml:space="preserve">   storage/05/ae/7b/09/4ca143999dea481cd5d23846/why-develop-thinking-and-assessment-for-learning-in-the-classroom.pdf</w:t>
      </w:r>
    </w:p>
    <w:p w:rsidR="00770B37" w:rsidRPr="00316A0A" w:rsidRDefault="00770B37" w:rsidP="00770B37">
      <w:pPr>
        <w:spacing w:after="160" w:line="480" w:lineRule="auto"/>
        <w:ind w:left="567" w:hanging="207"/>
        <w:textAlignment w:val="center"/>
        <w:rPr>
          <w:rFonts w:eastAsia="Times New Roman" w:cstheme="minorHAnsi"/>
          <w:color w:val="000000" w:themeColor="text1"/>
          <w:lang w:eastAsia="en-GB"/>
        </w:rPr>
      </w:pPr>
      <w:r w:rsidRPr="0017518F">
        <w:rPr>
          <w:rFonts w:eastAsia="Times New Roman" w:cstheme="minorHAnsi"/>
          <w:color w:val="000000" w:themeColor="text1"/>
          <w:lang w:eastAsia="en-GB"/>
        </w:rPr>
        <w:t xml:space="preserve">Wiliam, D (2018) Embedded Formative Assessment – </w:t>
      </w:r>
      <w:r w:rsidRPr="0017518F">
        <w:rPr>
          <w:rFonts w:eastAsia="Times New Roman" w:cstheme="minorHAnsi"/>
          <w:i/>
          <w:iCs/>
          <w:color w:val="000000" w:themeColor="text1"/>
          <w:lang w:eastAsia="en-GB"/>
        </w:rPr>
        <w:t>Unlimited online copied available via UWTSD library</w:t>
      </w:r>
    </w:p>
    <w:p w:rsidR="00770B37" w:rsidRPr="00770B37" w:rsidRDefault="00770B37" w:rsidP="00770B37">
      <w:pPr>
        <w:spacing w:line="360" w:lineRule="auto"/>
        <w:rPr>
          <w:rFonts w:cstheme="minorHAnsi"/>
        </w:rPr>
      </w:pPr>
      <w:bookmarkStart w:id="0" w:name="_GoBack"/>
      <w:bookmarkEnd w:id="0"/>
    </w:p>
    <w:sectPr w:rsidR="00770B37" w:rsidRPr="00770B37" w:rsidSect="0075426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4F1"/>
    <w:rsid w:val="00052C3C"/>
    <w:rsid w:val="00066C5C"/>
    <w:rsid w:val="00337031"/>
    <w:rsid w:val="004F2C53"/>
    <w:rsid w:val="00512EF5"/>
    <w:rsid w:val="00574AA3"/>
    <w:rsid w:val="006727E4"/>
    <w:rsid w:val="00754263"/>
    <w:rsid w:val="00770B37"/>
    <w:rsid w:val="00A6213F"/>
    <w:rsid w:val="00B2019F"/>
    <w:rsid w:val="00C15A24"/>
    <w:rsid w:val="00C25730"/>
    <w:rsid w:val="00D641B5"/>
    <w:rsid w:val="00DB5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BC460C"/>
  <w15:chartTrackingRefBased/>
  <w15:docId w15:val="{8D197E76-BCA4-BA45-87AF-225F2EE98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4F1"/>
  </w:style>
  <w:style w:type="paragraph" w:styleId="Heading2">
    <w:name w:val="heading 2"/>
    <w:basedOn w:val="Normal"/>
    <w:link w:val="Heading2Char"/>
    <w:uiPriority w:val="9"/>
    <w:qFormat/>
    <w:rsid w:val="00770B3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54F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74AA3"/>
  </w:style>
  <w:style w:type="character" w:customStyle="1" w:styleId="Heading2Char">
    <w:name w:val="Heading 2 Char"/>
    <w:basedOn w:val="DefaultParagraphFont"/>
    <w:link w:val="Heading2"/>
    <w:uiPriority w:val="9"/>
    <w:rsid w:val="00770B3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70B37"/>
    <w:rPr>
      <w:color w:val="0000FF"/>
      <w:u w:val="single"/>
    </w:rPr>
  </w:style>
  <w:style w:type="character" w:styleId="FollowedHyperlink">
    <w:name w:val="FollowedHyperlink"/>
    <w:basedOn w:val="DefaultParagraphFont"/>
    <w:uiPriority w:val="99"/>
    <w:semiHidden/>
    <w:unhideWhenUsed/>
    <w:rsid w:val="00770B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0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implypsychology.org/constructivism.html2" TargetMode="External"/><Relationship Id="rId4" Type="http://schemas.openxmlformats.org/officeDocument/2006/relationships/hyperlink" Target="https://www.estyn.gov.wales/effective-practice/cross-curricular-themes-develop-pupils&#8217;-ke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10</Pages>
  <Words>3883</Words>
  <Characters>19144</Characters>
  <Application>Microsoft Office Word</Application>
  <DocSecurity>0</DocSecurity>
  <Lines>269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Kelsie Dewar (1900128)</dc:creator>
  <cp:keywords/>
  <dc:description/>
  <cp:lastModifiedBy>Kelsie Dewar (1900128)</cp:lastModifiedBy>
  <cp:revision>4</cp:revision>
  <dcterms:created xsi:type="dcterms:W3CDTF">2020-01-05T14:16:00Z</dcterms:created>
  <dcterms:modified xsi:type="dcterms:W3CDTF">2020-01-05T18:35:00Z</dcterms:modified>
</cp:coreProperties>
</file>