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AD4365" w14:textId="32064DCC" w:rsidR="005261B6" w:rsidRPr="002E7929" w:rsidRDefault="00C33CAA" w:rsidP="00CB4C28">
      <w:pPr>
        <w:spacing w:after="0" w:line="240" w:lineRule="auto"/>
        <w:rPr>
          <w:rFonts w:ascii="Arial" w:eastAsia="SimSun" w:hAnsi="Arial" w:cs="Arial"/>
          <w:color w:val="000000" w:themeColor="text1"/>
          <w:kern w:val="24"/>
          <w:sz w:val="24"/>
          <w:szCs w:val="24"/>
          <w:lang w:val="en-GB" w:eastAsia="en-GB"/>
        </w:rPr>
      </w:pPr>
      <w:r w:rsidRPr="002E7929">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2E7929">
        <w:rPr>
          <w:rFonts w:ascii="Arial" w:eastAsia="SimSun" w:hAnsi="Arial" w:cs="Arial"/>
          <w:color w:val="000000" w:themeColor="text1"/>
          <w:kern w:val="24"/>
          <w:sz w:val="24"/>
          <w:szCs w:val="24"/>
          <w:lang w:val="en-GB" w:eastAsia="en-GB"/>
        </w:rPr>
        <w:t>be asked</w:t>
      </w:r>
      <w:bookmarkEnd w:id="0"/>
      <w:r w:rsidRPr="002E7929">
        <w:rPr>
          <w:rFonts w:ascii="Arial" w:eastAsia="SimSun" w:hAnsi="Arial" w:cs="Arial"/>
          <w:color w:val="000000" w:themeColor="text1"/>
          <w:kern w:val="24"/>
          <w:sz w:val="24"/>
          <w:szCs w:val="24"/>
          <w:lang w:val="en-GB" w:eastAsia="en-GB"/>
        </w:rPr>
        <w:t xml:space="preserve"> to provide in evidence.</w:t>
      </w:r>
    </w:p>
    <w:p w14:paraId="3EAEE1A5" w14:textId="77777777" w:rsidR="002C6411" w:rsidRPr="002E7929" w:rsidRDefault="002C6411" w:rsidP="00222E28">
      <w:pPr>
        <w:spacing w:after="0" w:line="240" w:lineRule="auto"/>
        <w:outlineLvl w:val="0"/>
        <w:rPr>
          <w:rFonts w:ascii="Arial" w:eastAsia="Times New Roman" w:hAnsi="Arial" w:cs="Arial"/>
          <w:b/>
          <w:bCs/>
          <w:color w:val="000000" w:themeColor="text1"/>
          <w:kern w:val="36"/>
          <w:sz w:val="24"/>
          <w:szCs w:val="24"/>
          <w:lang w:val="en-GB" w:eastAsia="en-GB"/>
        </w:rPr>
      </w:pPr>
    </w:p>
    <w:p w14:paraId="5D2DC713" w14:textId="6F6FAA43" w:rsidR="009C28B1" w:rsidRPr="002E7929" w:rsidRDefault="009C28B1" w:rsidP="009C28B1">
      <w:pPr>
        <w:spacing w:after="0" w:line="240" w:lineRule="auto"/>
        <w:outlineLvl w:val="0"/>
        <w:rPr>
          <w:rFonts w:ascii="Arial" w:eastAsia="Times New Roman" w:hAnsi="Arial" w:cs="Arial"/>
          <w:b/>
          <w:bCs/>
          <w:color w:val="000000" w:themeColor="text1"/>
          <w:kern w:val="36"/>
          <w:sz w:val="24"/>
          <w:szCs w:val="24"/>
          <w:lang w:val="en-GB" w:eastAsia="en-GB"/>
        </w:rPr>
      </w:pPr>
      <w:r w:rsidRPr="002E7929">
        <w:rPr>
          <w:rFonts w:ascii="Arial" w:eastAsia="Times New Roman" w:hAnsi="Arial" w:cs="Arial"/>
          <w:b/>
          <w:bCs/>
          <w:color w:val="000000" w:themeColor="text1"/>
          <w:kern w:val="36"/>
          <w:sz w:val="24"/>
          <w:szCs w:val="24"/>
          <w:lang w:val="en-GB" w:eastAsia="en-GB"/>
        </w:rPr>
        <w:t>Power and Inequality (HPHI4904)</w:t>
      </w:r>
      <w:r w:rsidR="002E7929">
        <w:rPr>
          <w:rFonts w:ascii="Arial" w:eastAsia="Times New Roman" w:hAnsi="Arial" w:cs="Arial"/>
          <w:b/>
          <w:bCs/>
          <w:color w:val="000000" w:themeColor="text1"/>
          <w:kern w:val="36"/>
          <w:sz w:val="24"/>
          <w:szCs w:val="24"/>
          <w:lang w:val="en-GB" w:eastAsia="en-GB"/>
        </w:rPr>
        <w:t xml:space="preserve">, </w:t>
      </w:r>
      <w:r w:rsidR="00D619A4">
        <w:rPr>
          <w:rFonts w:ascii="Arial" w:eastAsia="Times New Roman" w:hAnsi="Arial" w:cs="Arial"/>
          <w:b/>
          <w:bCs/>
          <w:color w:val="000000" w:themeColor="text1"/>
          <w:kern w:val="36"/>
          <w:sz w:val="24"/>
          <w:szCs w:val="24"/>
          <w:lang w:val="en-GB" w:eastAsia="en-GB"/>
        </w:rPr>
        <w:t>Thinkpiece 1</w:t>
      </w:r>
    </w:p>
    <w:p w14:paraId="432451EF" w14:textId="479FD238" w:rsidR="00042DE0" w:rsidRPr="002E7929" w:rsidRDefault="00042DE0" w:rsidP="00042DE0">
      <w:pPr>
        <w:spacing w:before="100" w:beforeAutospacing="1" w:after="100" w:afterAutospacing="1" w:line="240" w:lineRule="auto"/>
        <w:outlineLvl w:val="0"/>
        <w:rPr>
          <w:rFonts w:ascii="Arial" w:eastAsia="Times New Roman" w:hAnsi="Arial" w:cs="Arial"/>
          <w:b/>
          <w:bCs/>
          <w:color w:val="000000" w:themeColor="text1"/>
          <w:kern w:val="36"/>
          <w:sz w:val="24"/>
          <w:szCs w:val="24"/>
          <w:lang w:val="en-GB" w:eastAsia="en-GB"/>
        </w:rPr>
      </w:pPr>
      <w:r w:rsidRPr="002E7929">
        <w:rPr>
          <w:rFonts w:ascii="Arial" w:eastAsia="Times New Roman" w:hAnsi="Arial" w:cs="Arial"/>
          <w:b/>
          <w:bCs/>
          <w:color w:val="000000" w:themeColor="text1"/>
          <w:kern w:val="36"/>
          <w:sz w:val="24"/>
          <w:szCs w:val="24"/>
          <w:lang w:val="en-GB" w:eastAsia="en-GB"/>
        </w:rPr>
        <w:t xml:space="preserve">Global Inequality in the Age of </w:t>
      </w:r>
      <w:r w:rsidR="00600DF0" w:rsidRPr="002E7929">
        <w:rPr>
          <w:rFonts w:ascii="Arial" w:eastAsia="Times New Roman" w:hAnsi="Arial" w:cs="Arial"/>
          <w:b/>
          <w:bCs/>
          <w:color w:val="000000" w:themeColor="text1"/>
          <w:kern w:val="36"/>
          <w:sz w:val="24"/>
          <w:szCs w:val="24"/>
          <w:lang w:val="en-GB" w:eastAsia="en-GB"/>
        </w:rPr>
        <w:t>Globalisation</w:t>
      </w:r>
    </w:p>
    <w:p w14:paraId="6368285F" w14:textId="77777777"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t>Introduction</w:t>
      </w:r>
    </w:p>
    <w:p w14:paraId="2DE1A997" w14:textId="43CF34A1" w:rsidR="00042DE0" w:rsidRDefault="00371698" w:rsidP="00042DE0">
      <w:pPr>
        <w:spacing w:before="100" w:beforeAutospacing="1" w:after="100" w:afterAutospacing="1" w:line="240" w:lineRule="auto"/>
        <w:rPr>
          <w:rFonts w:ascii="Arial" w:hAnsi="Arial" w:cs="Arial"/>
          <w:color w:val="000000" w:themeColor="text1"/>
          <w:sz w:val="24"/>
          <w:szCs w:val="24"/>
          <w:lang w:val="en-GB" w:eastAsia="en-GB"/>
        </w:rPr>
      </w:pPr>
      <w:r>
        <w:rPr>
          <w:rFonts w:ascii="Arial" w:hAnsi="Arial" w:cs="Arial"/>
          <w:color w:val="000000" w:themeColor="text1"/>
          <w:sz w:val="24"/>
          <w:szCs w:val="24"/>
          <w:lang w:val="en-GB" w:eastAsia="en-GB"/>
        </w:rPr>
        <w:t>T</w:t>
      </w:r>
      <w:r w:rsidR="00042DE0" w:rsidRPr="002E7929">
        <w:rPr>
          <w:rFonts w:ascii="Arial" w:hAnsi="Arial" w:cs="Arial"/>
          <w:color w:val="000000" w:themeColor="text1"/>
          <w:sz w:val="24"/>
          <w:szCs w:val="24"/>
          <w:lang w:val="en-GB" w:eastAsia="en-GB"/>
        </w:rPr>
        <w:t xml:space="preserve">he issue of global inequality has had the greatest impact on my understanding of international politics and global governance. Prior to engaging with the course readings, I </w:t>
      </w:r>
      <w:r w:rsidR="00CA0C8E" w:rsidRPr="002E7929">
        <w:rPr>
          <w:rFonts w:ascii="Arial" w:hAnsi="Arial" w:cs="Arial"/>
          <w:color w:val="000000" w:themeColor="text1"/>
          <w:sz w:val="24"/>
          <w:szCs w:val="24"/>
          <w:lang w:val="en-GB" w:eastAsia="en-GB"/>
        </w:rPr>
        <w:t>viewed</w:t>
      </w:r>
      <w:r w:rsidR="00042DE0" w:rsidRPr="002E7929">
        <w:rPr>
          <w:rFonts w:ascii="Arial" w:hAnsi="Arial" w:cs="Arial"/>
          <w:color w:val="000000" w:themeColor="text1"/>
          <w:sz w:val="24"/>
          <w:szCs w:val="24"/>
          <w:lang w:val="en-GB" w:eastAsia="en-GB"/>
        </w:rPr>
        <w:t xml:space="preserve"> </w:t>
      </w:r>
      <w:r w:rsidR="006227CF" w:rsidRPr="002E7929">
        <w:rPr>
          <w:rFonts w:ascii="Arial" w:hAnsi="Arial" w:cs="Arial"/>
          <w:color w:val="000000" w:themeColor="text1"/>
          <w:sz w:val="24"/>
          <w:szCs w:val="24"/>
          <w:lang w:val="en-GB" w:eastAsia="en-GB"/>
        </w:rPr>
        <w:t>globalisation</w:t>
      </w:r>
      <w:r w:rsidR="00042DE0" w:rsidRPr="002E7929">
        <w:rPr>
          <w:rFonts w:ascii="Arial" w:hAnsi="Arial" w:cs="Arial"/>
          <w:color w:val="000000" w:themeColor="text1"/>
          <w:sz w:val="24"/>
          <w:szCs w:val="24"/>
          <w:lang w:val="en-GB" w:eastAsia="en-GB"/>
        </w:rPr>
        <w:t xml:space="preserve"> as a positive and inevitable process that promoted economic growth, technological advancement, and international cooperation. However, the works of Branko Milanovic and Francis Fukuyama challenged this perspective by </w:t>
      </w:r>
      <w:bookmarkStart w:id="1" w:name="_Int_yJb0xop1"/>
      <w:r w:rsidR="00042DE0" w:rsidRPr="002E7929">
        <w:rPr>
          <w:rFonts w:ascii="Arial" w:hAnsi="Arial" w:cs="Arial"/>
          <w:color w:val="000000" w:themeColor="text1"/>
          <w:sz w:val="24"/>
          <w:szCs w:val="24"/>
          <w:lang w:val="en-GB" w:eastAsia="en-GB"/>
        </w:rPr>
        <w:t>demonstrating</w:t>
      </w:r>
      <w:bookmarkEnd w:id="1"/>
      <w:r w:rsidR="00042DE0" w:rsidRPr="002E7929">
        <w:rPr>
          <w:rFonts w:ascii="Arial" w:hAnsi="Arial" w:cs="Arial"/>
          <w:color w:val="000000" w:themeColor="text1"/>
          <w:sz w:val="24"/>
          <w:szCs w:val="24"/>
          <w:lang w:val="en-GB" w:eastAsia="en-GB"/>
        </w:rPr>
        <w:t xml:space="preserve"> that the benefits of </w:t>
      </w:r>
      <w:r w:rsidR="0069072F" w:rsidRPr="002E7929">
        <w:rPr>
          <w:rFonts w:ascii="Arial" w:hAnsi="Arial" w:cs="Arial"/>
          <w:color w:val="000000" w:themeColor="text1"/>
          <w:sz w:val="24"/>
          <w:szCs w:val="24"/>
          <w:lang w:val="en-GB" w:eastAsia="en-GB"/>
        </w:rPr>
        <w:t>globalisation</w:t>
      </w:r>
      <w:r w:rsidR="00042DE0" w:rsidRPr="002E7929">
        <w:rPr>
          <w:rFonts w:ascii="Arial" w:hAnsi="Arial" w:cs="Arial"/>
          <w:color w:val="000000" w:themeColor="text1"/>
          <w:sz w:val="24"/>
          <w:szCs w:val="24"/>
          <w:lang w:val="en-GB" w:eastAsia="en-GB"/>
        </w:rPr>
        <w:t xml:space="preserve"> </w:t>
      </w:r>
      <w:bookmarkStart w:id="2" w:name="_Int_O2Kn5XiR"/>
      <w:r w:rsidR="00042DE0" w:rsidRPr="002E7929">
        <w:rPr>
          <w:rFonts w:ascii="Arial" w:hAnsi="Arial" w:cs="Arial"/>
          <w:color w:val="000000" w:themeColor="text1"/>
          <w:sz w:val="24"/>
          <w:szCs w:val="24"/>
          <w:lang w:val="en-GB" w:eastAsia="en-GB"/>
        </w:rPr>
        <w:t>are distributed</w:t>
      </w:r>
      <w:bookmarkEnd w:id="2"/>
      <w:r w:rsidR="00042DE0" w:rsidRPr="002E7929">
        <w:rPr>
          <w:rFonts w:ascii="Arial" w:hAnsi="Arial" w:cs="Arial"/>
          <w:color w:val="000000" w:themeColor="text1"/>
          <w:sz w:val="24"/>
          <w:szCs w:val="24"/>
          <w:lang w:val="en-GB" w:eastAsia="en-GB"/>
        </w:rPr>
        <w:t xml:space="preserve"> unevenly across societies and social groups.</w:t>
      </w:r>
      <w:r w:rsidR="00C345AA">
        <w:rPr>
          <w:rStyle w:val="FootnoteReference"/>
          <w:rFonts w:ascii="Arial" w:hAnsi="Arial" w:cs="Arial"/>
          <w:color w:val="000000" w:themeColor="text1"/>
          <w:sz w:val="24"/>
          <w:szCs w:val="24"/>
          <w:lang w:val="en-GB" w:eastAsia="en-GB"/>
        </w:rPr>
        <w:footnoteReference w:id="1"/>
      </w:r>
      <w:r w:rsidR="00042DE0" w:rsidRPr="002E7929">
        <w:rPr>
          <w:rFonts w:ascii="Arial" w:hAnsi="Arial" w:cs="Arial"/>
          <w:color w:val="000000" w:themeColor="text1"/>
          <w:sz w:val="24"/>
          <w:szCs w:val="24"/>
          <w:lang w:val="en-GB" w:eastAsia="en-GB"/>
        </w:rPr>
        <w:t xml:space="preserve"> </w:t>
      </w:r>
      <w:r w:rsidR="00B54278" w:rsidRPr="002E7929">
        <w:rPr>
          <w:rFonts w:ascii="Arial" w:hAnsi="Arial" w:cs="Arial"/>
          <w:color w:val="000000" w:themeColor="text1"/>
          <w:sz w:val="24"/>
          <w:szCs w:val="24"/>
          <w:lang w:val="en-GB" w:eastAsia="en-GB"/>
        </w:rPr>
        <w:t>Globalisation</w:t>
      </w:r>
      <w:r w:rsidR="00042DE0" w:rsidRPr="002E7929">
        <w:rPr>
          <w:rFonts w:ascii="Arial" w:hAnsi="Arial" w:cs="Arial"/>
          <w:color w:val="000000" w:themeColor="text1"/>
          <w:sz w:val="24"/>
          <w:szCs w:val="24"/>
          <w:lang w:val="en-GB" w:eastAsia="en-GB"/>
        </w:rPr>
        <w:t xml:space="preserve"> has undoubtedly contributed to rising living standards for millions of people, yet it has also intensified inequalities that influence political stability, democratic legitimacy, and social cohesion. Reflecting on these readings has encouraged me to reconsider the relationship between economic development and political order.</w:t>
      </w:r>
    </w:p>
    <w:p w14:paraId="4E9A7555" w14:textId="77777777" w:rsidR="00372628" w:rsidRPr="002E7929" w:rsidRDefault="00372628" w:rsidP="00042DE0">
      <w:pPr>
        <w:spacing w:before="100" w:beforeAutospacing="1" w:after="100" w:afterAutospacing="1" w:line="240" w:lineRule="auto"/>
        <w:rPr>
          <w:rFonts w:ascii="Arial" w:hAnsi="Arial" w:cs="Arial"/>
          <w:color w:val="000000" w:themeColor="text1"/>
          <w:sz w:val="24"/>
          <w:szCs w:val="24"/>
          <w:lang w:val="en-GB" w:eastAsia="en-GB"/>
        </w:rPr>
      </w:pPr>
    </w:p>
    <w:p w14:paraId="4533E0F8" w14:textId="6BCED13B"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t>Progress and Unequal Outcomes</w:t>
      </w:r>
    </w:p>
    <w:p w14:paraId="724A5F22" w14:textId="6BE0D46A"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One of the most significant insights I gained from Milanovic’s work is that </w:t>
      </w:r>
      <w:r w:rsidR="00780F23"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has produced both remarkable successes and serious inequalities. Before studying </w:t>
      </w:r>
      <w:r w:rsidRPr="002E7929">
        <w:rPr>
          <w:rFonts w:ascii="Arial" w:hAnsi="Arial" w:cs="Arial"/>
          <w:i/>
          <w:iCs/>
          <w:color w:val="000000" w:themeColor="text1"/>
          <w:sz w:val="24"/>
          <w:szCs w:val="24"/>
          <w:lang w:val="en-GB" w:eastAsia="en-GB"/>
        </w:rPr>
        <w:t>Global Inequality</w:t>
      </w:r>
      <w:r w:rsidRPr="002E7929">
        <w:rPr>
          <w:rFonts w:ascii="Arial" w:hAnsi="Arial" w:cs="Arial"/>
          <w:color w:val="000000" w:themeColor="text1"/>
          <w:sz w:val="24"/>
          <w:szCs w:val="24"/>
          <w:lang w:val="en-GB" w:eastAsia="en-GB"/>
        </w:rPr>
        <w:t xml:space="preserve">, I tended to assess </w:t>
      </w:r>
      <w:r w:rsidR="00780F23"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through national economic indicators such as GDP growth and reductions in extreme poverty. Milanovic demonstrates that this perspective is incomplete because it overlooks how the gains from </w:t>
      </w:r>
      <w:r w:rsidR="00780F23"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w:t>
      </w:r>
      <w:bookmarkStart w:id="3" w:name="_Int_IjHA2Mi0"/>
      <w:r w:rsidRPr="002E7929">
        <w:rPr>
          <w:rFonts w:ascii="Arial" w:hAnsi="Arial" w:cs="Arial"/>
          <w:color w:val="000000" w:themeColor="text1"/>
          <w:sz w:val="24"/>
          <w:szCs w:val="24"/>
          <w:lang w:val="en-GB" w:eastAsia="en-GB"/>
        </w:rPr>
        <w:t>are distributed</w:t>
      </w:r>
      <w:bookmarkEnd w:id="3"/>
      <w:r w:rsidRPr="002E7929">
        <w:rPr>
          <w:rFonts w:ascii="Arial" w:hAnsi="Arial" w:cs="Arial"/>
          <w:color w:val="000000" w:themeColor="text1"/>
          <w:sz w:val="24"/>
          <w:szCs w:val="24"/>
          <w:lang w:val="en-GB" w:eastAsia="en-GB"/>
        </w:rPr>
        <w:t xml:space="preserve"> among different populations.</w:t>
      </w:r>
      <w:r w:rsidR="00C345AA">
        <w:rPr>
          <w:rStyle w:val="FootnoteReference"/>
          <w:rFonts w:ascii="Arial" w:hAnsi="Arial" w:cs="Arial"/>
          <w:color w:val="000000" w:themeColor="text1"/>
          <w:sz w:val="24"/>
          <w:szCs w:val="24"/>
          <w:lang w:val="en-GB" w:eastAsia="en-GB"/>
        </w:rPr>
        <w:footnoteReference w:id="2"/>
      </w:r>
    </w:p>
    <w:p w14:paraId="2A30A1C6" w14:textId="276E96B5"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Particularly striking was Milanovic’s argument that large sections of the global middle class in emerging economies have experienced substantial income growth, while many lower- and middle-income workers in developed economies have seen limited improvements in their economic position.</w:t>
      </w:r>
      <w:r w:rsidR="00B606B5">
        <w:rPr>
          <w:rStyle w:val="FootnoteReference"/>
          <w:rFonts w:ascii="Arial" w:hAnsi="Arial" w:cs="Arial"/>
          <w:color w:val="000000" w:themeColor="text1"/>
          <w:sz w:val="24"/>
          <w:szCs w:val="24"/>
          <w:lang w:val="en-GB" w:eastAsia="en-GB"/>
        </w:rPr>
        <w:footnoteReference w:id="3"/>
      </w:r>
      <w:r w:rsidRPr="002E7929">
        <w:rPr>
          <w:rFonts w:ascii="Arial" w:hAnsi="Arial" w:cs="Arial"/>
          <w:color w:val="000000" w:themeColor="text1"/>
          <w:sz w:val="24"/>
          <w:szCs w:val="24"/>
          <w:lang w:val="en-GB" w:eastAsia="en-GB"/>
        </w:rPr>
        <w:t xml:space="preserve"> This observation challenged my assumption that economic growth naturally </w:t>
      </w:r>
      <w:r w:rsidR="00006A6D" w:rsidRPr="002E7929">
        <w:rPr>
          <w:rFonts w:ascii="Arial" w:hAnsi="Arial" w:cs="Arial"/>
          <w:color w:val="000000" w:themeColor="text1"/>
          <w:sz w:val="24"/>
          <w:szCs w:val="24"/>
          <w:lang w:val="en-GB" w:eastAsia="en-GB"/>
        </w:rPr>
        <w:t>helps</w:t>
      </w:r>
      <w:r w:rsidRPr="002E7929">
        <w:rPr>
          <w:rFonts w:ascii="Arial" w:hAnsi="Arial" w:cs="Arial"/>
          <w:color w:val="000000" w:themeColor="text1"/>
          <w:sz w:val="24"/>
          <w:szCs w:val="24"/>
          <w:lang w:val="en-GB" w:eastAsia="en-GB"/>
        </w:rPr>
        <w:t xml:space="preserve"> all members of </w:t>
      </w:r>
      <w:r w:rsidRPr="002E7929">
        <w:rPr>
          <w:rFonts w:ascii="Arial" w:hAnsi="Arial" w:cs="Arial"/>
          <w:color w:val="000000" w:themeColor="text1"/>
          <w:sz w:val="24"/>
          <w:szCs w:val="24"/>
          <w:lang w:val="en-GB" w:eastAsia="en-GB"/>
        </w:rPr>
        <w:lastRenderedPageBreak/>
        <w:t xml:space="preserve">society. Instead, </w:t>
      </w:r>
      <w:r w:rsidR="00643BF4"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w:t>
      </w:r>
      <w:r w:rsidR="00290A73" w:rsidRPr="002E7929">
        <w:rPr>
          <w:rFonts w:ascii="Arial" w:hAnsi="Arial" w:cs="Arial"/>
          <w:color w:val="000000" w:themeColor="text1"/>
          <w:sz w:val="24"/>
          <w:szCs w:val="24"/>
          <w:lang w:val="en-GB" w:eastAsia="en-GB"/>
        </w:rPr>
        <w:t>creates</w:t>
      </w:r>
      <w:r w:rsidRPr="002E7929">
        <w:rPr>
          <w:rFonts w:ascii="Arial" w:hAnsi="Arial" w:cs="Arial"/>
          <w:color w:val="000000" w:themeColor="text1"/>
          <w:sz w:val="24"/>
          <w:szCs w:val="24"/>
          <w:lang w:val="en-GB" w:eastAsia="en-GB"/>
        </w:rPr>
        <w:t xml:space="preserve"> winners and losers, depending on factors such as education, location, and access to economic opportunities.</w:t>
      </w:r>
    </w:p>
    <w:p w14:paraId="26BAFD87" w14:textId="656B1A52" w:rsidR="00042DE0"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Reflecting on contemporary political developments, I can see how these inequalities have contributed to growing dissatisfaction in many democratic societies. Economic insecurity often shapes public attitudes toward immigration, trade, and international institutions. As a result, </w:t>
      </w:r>
      <w:r w:rsidR="00643BF4"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cannot simply </w:t>
      </w:r>
      <w:bookmarkStart w:id="4" w:name="_Int_v0RLcaw0"/>
      <w:r w:rsidRPr="002E7929">
        <w:rPr>
          <w:rFonts w:ascii="Arial" w:hAnsi="Arial" w:cs="Arial"/>
          <w:color w:val="000000" w:themeColor="text1"/>
          <w:sz w:val="24"/>
          <w:szCs w:val="24"/>
          <w:lang w:val="en-GB" w:eastAsia="en-GB"/>
        </w:rPr>
        <w:t>be evaluated</w:t>
      </w:r>
      <w:bookmarkEnd w:id="4"/>
      <w:r w:rsidRPr="002E7929">
        <w:rPr>
          <w:rFonts w:ascii="Arial" w:hAnsi="Arial" w:cs="Arial"/>
          <w:color w:val="000000" w:themeColor="text1"/>
          <w:sz w:val="24"/>
          <w:szCs w:val="24"/>
          <w:lang w:val="en-GB" w:eastAsia="en-GB"/>
        </w:rPr>
        <w:t xml:space="preserve"> by measuring aggregate economic growth. Policymakers must also consider who </w:t>
      </w:r>
      <w:r w:rsidR="00013D7B" w:rsidRPr="002E7929">
        <w:rPr>
          <w:rFonts w:ascii="Arial" w:hAnsi="Arial" w:cs="Arial"/>
          <w:color w:val="000000" w:themeColor="text1"/>
          <w:sz w:val="24"/>
          <w:szCs w:val="24"/>
          <w:lang w:val="en-GB" w:eastAsia="en-GB"/>
        </w:rPr>
        <w:t>receives help</w:t>
      </w:r>
      <w:r w:rsidRPr="002E7929">
        <w:rPr>
          <w:rFonts w:ascii="Arial" w:hAnsi="Arial" w:cs="Arial"/>
          <w:color w:val="000000" w:themeColor="text1"/>
          <w:sz w:val="24"/>
          <w:szCs w:val="24"/>
          <w:lang w:val="en-GB" w:eastAsia="en-GB"/>
        </w:rPr>
        <w:t xml:space="preserve"> from growth and who bears its costs. This </w:t>
      </w:r>
      <w:r w:rsidR="00431996" w:rsidRPr="002E7929">
        <w:rPr>
          <w:rFonts w:ascii="Arial" w:hAnsi="Arial" w:cs="Arial"/>
          <w:color w:val="000000" w:themeColor="text1"/>
          <w:sz w:val="24"/>
          <w:szCs w:val="24"/>
          <w:lang w:val="en-GB" w:eastAsia="en-GB"/>
        </w:rPr>
        <w:t>realisation</w:t>
      </w:r>
      <w:r w:rsidRPr="002E7929">
        <w:rPr>
          <w:rFonts w:ascii="Arial" w:hAnsi="Arial" w:cs="Arial"/>
          <w:color w:val="000000" w:themeColor="text1"/>
          <w:sz w:val="24"/>
          <w:szCs w:val="24"/>
          <w:lang w:val="en-GB" w:eastAsia="en-GB"/>
        </w:rPr>
        <w:t xml:space="preserve"> has altered my perspective significantly. I now view </w:t>
      </w:r>
      <w:r w:rsidR="00431996"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as a complex and multifaceted process that requires careful political management rather than as an inherently positive force.</w:t>
      </w:r>
    </w:p>
    <w:p w14:paraId="6FE20A1B" w14:textId="77777777" w:rsidR="008F070C" w:rsidRPr="002E7929" w:rsidRDefault="008F070C" w:rsidP="00042DE0">
      <w:pPr>
        <w:spacing w:before="100" w:beforeAutospacing="1" w:after="100" w:afterAutospacing="1" w:line="240" w:lineRule="auto"/>
        <w:rPr>
          <w:rFonts w:ascii="Arial" w:hAnsi="Arial" w:cs="Arial"/>
          <w:color w:val="000000" w:themeColor="text1"/>
          <w:sz w:val="24"/>
          <w:szCs w:val="24"/>
          <w:lang w:val="en-GB" w:eastAsia="en-GB"/>
        </w:rPr>
      </w:pPr>
    </w:p>
    <w:p w14:paraId="6E9CDA4A" w14:textId="4A4D41BB"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t>Inequality and Democracy</w:t>
      </w:r>
    </w:p>
    <w:p w14:paraId="126F3635" w14:textId="5E560CB8"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Fukuyama’s discussion of inequality and democracy further deepened my understanding of the political consequences of economic disparities. He argues that excessive inequality can weaken democratic systems by concentrating wealth and influence within a </w:t>
      </w:r>
      <w:bookmarkStart w:id="5" w:name="_Int_zz698tz4"/>
      <w:r w:rsidRPr="002E7929">
        <w:rPr>
          <w:rFonts w:ascii="Arial" w:hAnsi="Arial" w:cs="Arial"/>
          <w:color w:val="000000" w:themeColor="text1"/>
          <w:sz w:val="24"/>
          <w:szCs w:val="24"/>
          <w:lang w:val="en-GB" w:eastAsia="en-GB"/>
        </w:rPr>
        <w:t>relatively small</w:t>
      </w:r>
      <w:bookmarkEnd w:id="5"/>
      <w:r w:rsidRPr="002E7929">
        <w:rPr>
          <w:rFonts w:ascii="Arial" w:hAnsi="Arial" w:cs="Arial"/>
          <w:color w:val="000000" w:themeColor="text1"/>
          <w:sz w:val="24"/>
          <w:szCs w:val="24"/>
          <w:lang w:val="en-GB" w:eastAsia="en-GB"/>
        </w:rPr>
        <w:t xml:space="preserve"> segment of society.</w:t>
      </w:r>
      <w:r w:rsidR="00B606B5">
        <w:rPr>
          <w:rStyle w:val="FootnoteReference"/>
          <w:rFonts w:ascii="Arial" w:hAnsi="Arial" w:cs="Arial"/>
          <w:color w:val="000000" w:themeColor="text1"/>
          <w:sz w:val="24"/>
          <w:szCs w:val="24"/>
          <w:lang w:val="en-GB" w:eastAsia="en-GB"/>
        </w:rPr>
        <w:footnoteReference w:id="4"/>
      </w:r>
      <w:r w:rsidRPr="002E7929">
        <w:rPr>
          <w:rFonts w:ascii="Arial" w:hAnsi="Arial" w:cs="Arial"/>
          <w:color w:val="000000" w:themeColor="text1"/>
          <w:sz w:val="24"/>
          <w:szCs w:val="24"/>
          <w:lang w:val="en-GB" w:eastAsia="en-GB"/>
        </w:rPr>
        <w:t xml:space="preserve"> Democratic governance depends upon the principle that citizens </w:t>
      </w:r>
      <w:r w:rsidR="009E29A9" w:rsidRPr="002E7929">
        <w:rPr>
          <w:rFonts w:ascii="Arial" w:hAnsi="Arial" w:cs="Arial"/>
          <w:color w:val="000000" w:themeColor="text1"/>
          <w:sz w:val="24"/>
          <w:szCs w:val="24"/>
          <w:lang w:val="en-GB" w:eastAsia="en-GB"/>
        </w:rPr>
        <w:t>have</w:t>
      </w:r>
      <w:r w:rsidRPr="002E7929">
        <w:rPr>
          <w:rFonts w:ascii="Arial" w:hAnsi="Arial" w:cs="Arial"/>
          <w:color w:val="000000" w:themeColor="text1"/>
          <w:sz w:val="24"/>
          <w:szCs w:val="24"/>
          <w:lang w:val="en-GB" w:eastAsia="en-GB"/>
        </w:rPr>
        <w:t xml:space="preserve"> a meaningful degree of political equality. When economic resources become highly concentrated, opportunities for political participation may become similarly unequal.</w:t>
      </w:r>
    </w:p>
    <w:p w14:paraId="47B140EF" w14:textId="0DE19A6E" w:rsidR="006731C5"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I found this argument particularly persuasive because it connects economic conditions directly to political legitimacy. Citizens who believe that political systems primarily serve the interests of wealthy elites may lose trust in democratic institutions. This loss of confidence can contribute to political </w:t>
      </w:r>
      <w:r w:rsidR="002F3F88" w:rsidRPr="002E7929">
        <w:rPr>
          <w:rFonts w:ascii="Arial" w:hAnsi="Arial" w:cs="Arial"/>
          <w:color w:val="000000" w:themeColor="text1"/>
          <w:sz w:val="24"/>
          <w:szCs w:val="24"/>
          <w:lang w:val="en-GB" w:eastAsia="en-GB"/>
        </w:rPr>
        <w:t>polarisation</w:t>
      </w:r>
      <w:r w:rsidRPr="002E7929">
        <w:rPr>
          <w:rFonts w:ascii="Arial" w:hAnsi="Arial" w:cs="Arial"/>
          <w:color w:val="000000" w:themeColor="text1"/>
          <w:sz w:val="24"/>
          <w:szCs w:val="24"/>
          <w:lang w:val="en-GB" w:eastAsia="en-GB"/>
        </w:rPr>
        <w:t>, declining civic engagement, and support for populist movements that challenge established political norms.</w:t>
      </w:r>
      <w:r w:rsidR="00B606B5">
        <w:rPr>
          <w:rStyle w:val="FootnoteReference"/>
          <w:rFonts w:ascii="Arial" w:hAnsi="Arial" w:cs="Arial"/>
          <w:color w:val="000000" w:themeColor="text1"/>
          <w:sz w:val="24"/>
          <w:szCs w:val="24"/>
          <w:lang w:val="en-GB" w:eastAsia="en-GB"/>
        </w:rPr>
        <w:footnoteReference w:id="5"/>
      </w:r>
    </w:p>
    <w:p w14:paraId="17BC4FD3" w14:textId="66AA9384" w:rsidR="00042DE0"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Fukuyama’s analysis reinforced the importance of effective institutions. Markets </w:t>
      </w:r>
      <w:r w:rsidR="00290A73" w:rsidRPr="002E7929">
        <w:rPr>
          <w:rFonts w:ascii="Arial" w:hAnsi="Arial" w:cs="Arial"/>
          <w:color w:val="000000" w:themeColor="text1"/>
          <w:sz w:val="24"/>
          <w:szCs w:val="24"/>
          <w:lang w:val="en-GB" w:eastAsia="en-GB"/>
        </w:rPr>
        <w:t>can generate</w:t>
      </w:r>
      <w:r w:rsidRPr="002E7929">
        <w:rPr>
          <w:rFonts w:ascii="Arial" w:hAnsi="Arial" w:cs="Arial"/>
          <w:color w:val="000000" w:themeColor="text1"/>
          <w:sz w:val="24"/>
          <w:szCs w:val="24"/>
          <w:lang w:val="en-GB" w:eastAsia="en-GB"/>
        </w:rPr>
        <w:t xml:space="preserve"> wealth, but they do not necessarily produce </w:t>
      </w:r>
      <w:r w:rsidR="001E60A6" w:rsidRPr="002E7929">
        <w:rPr>
          <w:rFonts w:ascii="Arial" w:hAnsi="Arial" w:cs="Arial"/>
          <w:color w:val="000000" w:themeColor="text1"/>
          <w:sz w:val="24"/>
          <w:szCs w:val="24"/>
          <w:lang w:val="en-GB" w:eastAsia="en-GB"/>
        </w:rPr>
        <w:t>fair</w:t>
      </w:r>
      <w:r w:rsidRPr="002E7929">
        <w:rPr>
          <w:rFonts w:ascii="Arial" w:hAnsi="Arial" w:cs="Arial"/>
          <w:color w:val="000000" w:themeColor="text1"/>
          <w:sz w:val="24"/>
          <w:szCs w:val="24"/>
          <w:lang w:val="en-GB" w:eastAsia="en-GB"/>
        </w:rPr>
        <w:t xml:space="preserve"> outcomes. Governments therefore play an essential role in creating educational opportunities, </w:t>
      </w:r>
      <w:r w:rsidR="00320F4B" w:rsidRPr="002E7929">
        <w:rPr>
          <w:rFonts w:ascii="Arial" w:hAnsi="Arial" w:cs="Arial"/>
          <w:color w:val="000000" w:themeColor="text1"/>
          <w:sz w:val="24"/>
          <w:szCs w:val="24"/>
          <w:lang w:val="en-GB" w:eastAsia="en-GB"/>
        </w:rPr>
        <w:t>supporting</w:t>
      </w:r>
      <w:r w:rsidRPr="002E7929">
        <w:rPr>
          <w:rFonts w:ascii="Arial" w:hAnsi="Arial" w:cs="Arial"/>
          <w:color w:val="000000" w:themeColor="text1"/>
          <w:sz w:val="24"/>
          <w:szCs w:val="24"/>
          <w:lang w:val="en-GB" w:eastAsia="en-GB"/>
        </w:rPr>
        <w:t xml:space="preserve"> social mobility, and ensuring that economic growth benefits society broadly rather than a narrow elite.</w:t>
      </w:r>
      <w:r w:rsidR="00B606B5">
        <w:rPr>
          <w:rStyle w:val="FootnoteReference"/>
          <w:rFonts w:ascii="Arial" w:hAnsi="Arial" w:cs="Arial"/>
          <w:color w:val="000000" w:themeColor="text1"/>
          <w:sz w:val="24"/>
          <w:szCs w:val="24"/>
          <w:lang w:val="en-GB" w:eastAsia="en-GB"/>
        </w:rPr>
        <w:footnoteReference w:id="6"/>
      </w:r>
      <w:r w:rsidRPr="002E7929">
        <w:rPr>
          <w:rFonts w:ascii="Arial" w:hAnsi="Arial" w:cs="Arial"/>
          <w:color w:val="000000" w:themeColor="text1"/>
          <w:sz w:val="24"/>
          <w:szCs w:val="24"/>
          <w:lang w:val="en-GB" w:eastAsia="en-GB"/>
        </w:rPr>
        <w:t xml:space="preserve"> This perspective has strengthened my belief that successful democracies require a balance between market efficiency and social protection.</w:t>
      </w:r>
    </w:p>
    <w:p w14:paraId="27138426" w14:textId="77777777" w:rsidR="008F070C" w:rsidRPr="002E7929" w:rsidRDefault="008F070C" w:rsidP="00042DE0">
      <w:pPr>
        <w:spacing w:before="100" w:beforeAutospacing="1" w:after="100" w:afterAutospacing="1" w:line="240" w:lineRule="auto"/>
        <w:rPr>
          <w:rFonts w:ascii="Arial" w:hAnsi="Arial" w:cs="Arial"/>
          <w:color w:val="000000" w:themeColor="text1"/>
          <w:sz w:val="24"/>
          <w:szCs w:val="24"/>
          <w:lang w:val="en-GB" w:eastAsia="en-GB"/>
        </w:rPr>
      </w:pPr>
    </w:p>
    <w:p w14:paraId="2E4F22E0" w14:textId="5E00E834"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t>Historical Perspectives</w:t>
      </w:r>
    </w:p>
    <w:p w14:paraId="2CF9C152" w14:textId="5ED6A14A"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The historical dimensions of inequality became clearer through Fukuyama’s discussions of political development and state formation. In both </w:t>
      </w:r>
      <w:r w:rsidRPr="002E7929">
        <w:rPr>
          <w:rFonts w:ascii="Arial" w:hAnsi="Arial" w:cs="Arial"/>
          <w:i/>
          <w:iCs/>
          <w:color w:val="000000" w:themeColor="text1"/>
          <w:sz w:val="24"/>
          <w:szCs w:val="24"/>
          <w:lang w:val="en-GB" w:eastAsia="en-GB"/>
        </w:rPr>
        <w:t>The Origins of Political Order</w:t>
      </w:r>
      <w:r w:rsidRPr="002E7929">
        <w:rPr>
          <w:rFonts w:ascii="Arial" w:hAnsi="Arial" w:cs="Arial"/>
          <w:color w:val="000000" w:themeColor="text1"/>
          <w:sz w:val="24"/>
          <w:szCs w:val="24"/>
          <w:lang w:val="en-GB" w:eastAsia="en-GB"/>
        </w:rPr>
        <w:t xml:space="preserve"> and </w:t>
      </w:r>
      <w:r w:rsidRPr="002E7929">
        <w:rPr>
          <w:rFonts w:ascii="Arial" w:hAnsi="Arial" w:cs="Arial"/>
          <w:i/>
          <w:iCs/>
          <w:color w:val="000000" w:themeColor="text1"/>
          <w:sz w:val="24"/>
          <w:szCs w:val="24"/>
          <w:lang w:val="en-GB" w:eastAsia="en-GB"/>
        </w:rPr>
        <w:t>Political Order and Political Decay</w:t>
      </w:r>
      <w:r w:rsidRPr="002E7929">
        <w:rPr>
          <w:rFonts w:ascii="Arial" w:hAnsi="Arial" w:cs="Arial"/>
          <w:color w:val="000000" w:themeColor="text1"/>
          <w:sz w:val="24"/>
          <w:szCs w:val="24"/>
          <w:lang w:val="en-GB" w:eastAsia="en-GB"/>
        </w:rPr>
        <w:t>, Fukuyama argues that stable societies depend upon the development of effective states, the rule of law, and mechanisms of political accountability.</w:t>
      </w:r>
      <w:r w:rsidR="00B606B5">
        <w:rPr>
          <w:rStyle w:val="FootnoteReference"/>
          <w:rFonts w:ascii="Arial" w:hAnsi="Arial" w:cs="Arial"/>
          <w:color w:val="000000" w:themeColor="text1"/>
          <w:sz w:val="24"/>
          <w:szCs w:val="24"/>
          <w:lang w:val="en-GB" w:eastAsia="en-GB"/>
        </w:rPr>
        <w:footnoteReference w:id="7"/>
      </w:r>
      <w:r w:rsidRPr="002E7929">
        <w:rPr>
          <w:rFonts w:ascii="Arial" w:hAnsi="Arial" w:cs="Arial"/>
          <w:color w:val="000000" w:themeColor="text1"/>
          <w:sz w:val="24"/>
          <w:szCs w:val="24"/>
          <w:lang w:val="en-GB" w:eastAsia="en-GB"/>
        </w:rPr>
        <w:t xml:space="preserve"> These institutions </w:t>
      </w:r>
      <w:r w:rsidR="008269DC" w:rsidRPr="002E7929">
        <w:rPr>
          <w:rFonts w:ascii="Arial" w:hAnsi="Arial" w:cs="Arial"/>
          <w:color w:val="000000" w:themeColor="text1"/>
          <w:sz w:val="24"/>
          <w:szCs w:val="24"/>
          <w:lang w:val="en-GB" w:eastAsia="en-GB"/>
        </w:rPr>
        <w:t>appeared</w:t>
      </w:r>
      <w:r w:rsidRPr="002E7929">
        <w:rPr>
          <w:rFonts w:ascii="Arial" w:hAnsi="Arial" w:cs="Arial"/>
          <w:color w:val="000000" w:themeColor="text1"/>
          <w:sz w:val="24"/>
          <w:szCs w:val="24"/>
          <w:lang w:val="en-GB" w:eastAsia="en-GB"/>
        </w:rPr>
        <w:t xml:space="preserve"> gradually through historical processes rather than appearing automatically alongside economic development.</w:t>
      </w:r>
    </w:p>
    <w:p w14:paraId="047A2762" w14:textId="2754CC84"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What I found most interesting was the argument that inequalities of power and wealth have existed throughout human history. From tribal societies to modern nation-states, political systems have always faced the challenge of managing competition among individuals and groups.</w:t>
      </w:r>
      <w:r w:rsidR="008A0655">
        <w:rPr>
          <w:rStyle w:val="FootnoteReference"/>
          <w:rFonts w:ascii="Arial" w:hAnsi="Arial" w:cs="Arial"/>
          <w:color w:val="000000" w:themeColor="text1"/>
          <w:sz w:val="24"/>
          <w:szCs w:val="24"/>
          <w:lang w:val="en-GB" w:eastAsia="en-GB"/>
        </w:rPr>
        <w:footnoteReference w:id="8"/>
      </w:r>
      <w:r w:rsidRPr="002E7929">
        <w:rPr>
          <w:rFonts w:ascii="Arial" w:hAnsi="Arial" w:cs="Arial"/>
          <w:color w:val="000000" w:themeColor="text1"/>
          <w:sz w:val="24"/>
          <w:szCs w:val="24"/>
          <w:lang w:val="en-GB" w:eastAsia="en-GB"/>
        </w:rPr>
        <w:t xml:space="preserve"> The crucial difference lies in whether institutions </w:t>
      </w:r>
      <w:r w:rsidR="009B3246" w:rsidRPr="002E7929">
        <w:rPr>
          <w:rFonts w:ascii="Arial" w:hAnsi="Arial" w:cs="Arial"/>
          <w:color w:val="000000" w:themeColor="text1"/>
          <w:sz w:val="24"/>
          <w:szCs w:val="24"/>
          <w:lang w:val="en-GB" w:eastAsia="en-GB"/>
        </w:rPr>
        <w:t>can moderate</w:t>
      </w:r>
      <w:r w:rsidRPr="002E7929">
        <w:rPr>
          <w:rFonts w:ascii="Arial" w:hAnsi="Arial" w:cs="Arial"/>
          <w:color w:val="000000" w:themeColor="text1"/>
          <w:sz w:val="24"/>
          <w:szCs w:val="24"/>
          <w:lang w:val="en-GB" w:eastAsia="en-GB"/>
        </w:rPr>
        <w:t xml:space="preserve"> these inequalities and </w:t>
      </w:r>
      <w:r w:rsidR="008269DC" w:rsidRPr="002E7929">
        <w:rPr>
          <w:rFonts w:ascii="Arial" w:hAnsi="Arial" w:cs="Arial"/>
          <w:color w:val="000000" w:themeColor="text1"/>
          <w:sz w:val="24"/>
          <w:szCs w:val="24"/>
          <w:lang w:val="en-GB" w:eastAsia="en-GB"/>
        </w:rPr>
        <w:t>supporting</w:t>
      </w:r>
      <w:r w:rsidRPr="002E7929">
        <w:rPr>
          <w:rFonts w:ascii="Arial" w:hAnsi="Arial" w:cs="Arial"/>
          <w:color w:val="000000" w:themeColor="text1"/>
          <w:sz w:val="24"/>
          <w:szCs w:val="24"/>
          <w:lang w:val="en-GB" w:eastAsia="en-GB"/>
        </w:rPr>
        <w:t xml:space="preserve"> legitimacy.</w:t>
      </w:r>
    </w:p>
    <w:p w14:paraId="5D457DBE" w14:textId="66F08415"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This historical perspective encouraged me to view contemporary </w:t>
      </w:r>
      <w:r w:rsidR="002F3F88"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within a broader context. Modern economic inequalities are not entirely new; however, </w:t>
      </w:r>
      <w:r w:rsidR="002F3F88"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has amplified them by integrating economies on an unprecedented scale. Decisions made by governments, multinational corporations, and international </w:t>
      </w:r>
      <w:r w:rsidR="002F3F88" w:rsidRPr="002E7929">
        <w:rPr>
          <w:rFonts w:ascii="Arial" w:hAnsi="Arial" w:cs="Arial"/>
          <w:color w:val="000000" w:themeColor="text1"/>
          <w:sz w:val="24"/>
          <w:szCs w:val="24"/>
          <w:lang w:val="en-GB" w:eastAsia="en-GB"/>
        </w:rPr>
        <w:t>organisations</w:t>
      </w:r>
      <w:r w:rsidRPr="002E7929">
        <w:rPr>
          <w:rFonts w:ascii="Arial" w:hAnsi="Arial" w:cs="Arial"/>
          <w:color w:val="000000" w:themeColor="text1"/>
          <w:sz w:val="24"/>
          <w:szCs w:val="24"/>
          <w:lang w:val="en-GB" w:eastAsia="en-GB"/>
        </w:rPr>
        <w:t xml:space="preserve"> can now affect millions of people across national boundaries. Consequently, the challenge of governing inequality has become more complex than ever before.</w:t>
      </w:r>
    </w:p>
    <w:p w14:paraId="4DF5C321" w14:textId="7B6CE553" w:rsidR="00042DE0"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The readings also highlighted the importance of institutional capacity. Countries with strong states, effective legal systems, and accountable governments </w:t>
      </w:r>
      <w:bookmarkStart w:id="11" w:name="_Int_7Mq2MLuT"/>
      <w:r w:rsidRPr="002E7929">
        <w:rPr>
          <w:rFonts w:ascii="Arial" w:hAnsi="Arial" w:cs="Arial"/>
          <w:color w:val="000000" w:themeColor="text1"/>
          <w:sz w:val="24"/>
          <w:szCs w:val="24"/>
          <w:lang w:val="en-GB" w:eastAsia="en-GB"/>
        </w:rPr>
        <w:t xml:space="preserve">are </w:t>
      </w:r>
      <w:r w:rsidR="009B3246" w:rsidRPr="002E7929">
        <w:rPr>
          <w:rFonts w:ascii="Arial" w:hAnsi="Arial" w:cs="Arial"/>
          <w:color w:val="000000" w:themeColor="text1"/>
          <w:sz w:val="24"/>
          <w:szCs w:val="24"/>
          <w:lang w:val="en-GB" w:eastAsia="en-GB"/>
        </w:rPr>
        <w:t>better</w:t>
      </w:r>
      <w:r w:rsidRPr="002E7929">
        <w:rPr>
          <w:rFonts w:ascii="Arial" w:hAnsi="Arial" w:cs="Arial"/>
          <w:color w:val="000000" w:themeColor="text1"/>
          <w:sz w:val="24"/>
          <w:szCs w:val="24"/>
          <w:lang w:val="en-GB" w:eastAsia="en-GB"/>
        </w:rPr>
        <w:t xml:space="preserve"> positioned</w:t>
      </w:r>
      <w:bookmarkEnd w:id="11"/>
      <w:r w:rsidRPr="002E7929">
        <w:rPr>
          <w:rFonts w:ascii="Arial" w:hAnsi="Arial" w:cs="Arial"/>
          <w:color w:val="000000" w:themeColor="text1"/>
          <w:sz w:val="24"/>
          <w:szCs w:val="24"/>
          <w:lang w:val="en-GB" w:eastAsia="en-GB"/>
        </w:rPr>
        <w:t xml:space="preserve"> to manage social and economic change. By contrast, weak institutions often struggle to address inequality, corruption, and political instability.</w:t>
      </w:r>
      <w:r w:rsidR="008A0655">
        <w:rPr>
          <w:rStyle w:val="FootnoteReference"/>
          <w:rFonts w:ascii="Arial" w:hAnsi="Arial" w:cs="Arial"/>
          <w:color w:val="000000" w:themeColor="text1"/>
          <w:sz w:val="24"/>
          <w:szCs w:val="24"/>
          <w:lang w:val="en-GB" w:eastAsia="en-GB"/>
        </w:rPr>
        <w:footnoteReference w:id="9"/>
      </w:r>
      <w:r w:rsidRPr="002E7929">
        <w:rPr>
          <w:rFonts w:ascii="Arial" w:hAnsi="Arial" w:cs="Arial"/>
          <w:color w:val="000000" w:themeColor="text1"/>
          <w:sz w:val="24"/>
          <w:szCs w:val="24"/>
          <w:lang w:val="en-GB" w:eastAsia="en-GB"/>
        </w:rPr>
        <w:t xml:space="preserve"> This observation led me to conclude that sustainable development depends not only upon economic growth but also upon the quality of political institutions.</w:t>
      </w:r>
    </w:p>
    <w:p w14:paraId="5198F29C" w14:textId="77777777" w:rsidR="0040490D" w:rsidRPr="002E7929" w:rsidRDefault="0040490D" w:rsidP="00042DE0">
      <w:pPr>
        <w:spacing w:before="100" w:beforeAutospacing="1" w:after="100" w:afterAutospacing="1" w:line="240" w:lineRule="auto"/>
        <w:rPr>
          <w:rFonts w:ascii="Arial" w:hAnsi="Arial" w:cs="Arial"/>
          <w:color w:val="000000" w:themeColor="text1"/>
          <w:sz w:val="24"/>
          <w:szCs w:val="24"/>
          <w:lang w:val="en-GB" w:eastAsia="en-GB"/>
        </w:rPr>
      </w:pPr>
    </w:p>
    <w:p w14:paraId="684BB269" w14:textId="052391E3"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lastRenderedPageBreak/>
        <w:t>Reflections on the Future</w:t>
      </w:r>
    </w:p>
    <w:p w14:paraId="3B0855CA" w14:textId="242A9C9A"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The readings prompted me to consider how global inequality may evolve in the coming decades. Milanovic suggests that future patterns of inequality will </w:t>
      </w:r>
      <w:bookmarkStart w:id="12" w:name="_Int_UecqRRLt"/>
      <w:r w:rsidRPr="002E7929">
        <w:rPr>
          <w:rFonts w:ascii="Arial" w:hAnsi="Arial" w:cs="Arial"/>
          <w:color w:val="000000" w:themeColor="text1"/>
          <w:sz w:val="24"/>
          <w:szCs w:val="24"/>
          <w:lang w:val="en-GB" w:eastAsia="en-GB"/>
        </w:rPr>
        <w:t>be shaped</w:t>
      </w:r>
      <w:bookmarkEnd w:id="12"/>
      <w:r w:rsidRPr="002E7929">
        <w:rPr>
          <w:rFonts w:ascii="Arial" w:hAnsi="Arial" w:cs="Arial"/>
          <w:color w:val="000000" w:themeColor="text1"/>
          <w:sz w:val="24"/>
          <w:szCs w:val="24"/>
          <w:lang w:val="en-GB" w:eastAsia="en-GB"/>
        </w:rPr>
        <w:t xml:space="preserve"> by factors including technological change, migration, and the continued integration of global markets.</w:t>
      </w:r>
      <w:r w:rsidR="00621502">
        <w:rPr>
          <w:rStyle w:val="FootnoteReference"/>
          <w:rFonts w:ascii="Arial" w:hAnsi="Arial" w:cs="Arial"/>
          <w:color w:val="000000" w:themeColor="text1"/>
          <w:sz w:val="24"/>
          <w:szCs w:val="24"/>
          <w:lang w:val="en-GB" w:eastAsia="en-GB"/>
        </w:rPr>
        <w:footnoteReference w:id="10"/>
      </w:r>
      <w:r w:rsidRPr="002E7929">
        <w:rPr>
          <w:rFonts w:ascii="Arial" w:hAnsi="Arial" w:cs="Arial"/>
          <w:color w:val="000000" w:themeColor="text1"/>
          <w:sz w:val="24"/>
          <w:szCs w:val="24"/>
          <w:lang w:val="en-GB" w:eastAsia="en-GB"/>
        </w:rPr>
        <w:t xml:space="preserve"> These developments have the potential both to reduce and to increase disparities depending on how governments respond.</w:t>
      </w:r>
    </w:p>
    <w:p w14:paraId="49CFF296" w14:textId="31F41EAB" w:rsidR="00042DE0" w:rsidRPr="002E7929"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I believe one of the greatest challenges facing policymakers will be balancing economic competitiveness with social inclusion. Technological innovation and </w:t>
      </w:r>
      <w:r w:rsidR="002F3F88"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remain powerful drivers of growth, yet they can also displace workers and widen income gaps. Governments will need to invest in education, training, and social welfare systems that help citizens adapt to changing economic conditions.</w:t>
      </w:r>
    </w:p>
    <w:p w14:paraId="3BC68687" w14:textId="7F4D29E7" w:rsidR="00042DE0" w:rsidRDefault="00042DE0" w:rsidP="00042DE0">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Most importantly, I have come to view inequality as a </w:t>
      </w:r>
      <w:r w:rsidR="00EB57EC">
        <w:rPr>
          <w:rFonts w:ascii="Arial" w:hAnsi="Arial" w:cs="Arial"/>
          <w:color w:val="000000" w:themeColor="text1"/>
          <w:sz w:val="24"/>
          <w:szCs w:val="24"/>
          <w:lang w:val="en-GB" w:eastAsia="en-GB"/>
        </w:rPr>
        <w:t>layer</w:t>
      </w:r>
      <w:r w:rsidR="002A5A15">
        <w:rPr>
          <w:rFonts w:ascii="Arial" w:hAnsi="Arial" w:cs="Arial"/>
          <w:color w:val="000000" w:themeColor="text1"/>
          <w:sz w:val="24"/>
          <w:szCs w:val="24"/>
          <w:lang w:val="en-GB" w:eastAsia="en-GB"/>
        </w:rPr>
        <w:t>ed</w:t>
      </w:r>
      <w:r w:rsidRPr="002E7929">
        <w:rPr>
          <w:rFonts w:ascii="Arial" w:hAnsi="Arial" w:cs="Arial"/>
          <w:color w:val="000000" w:themeColor="text1"/>
          <w:sz w:val="24"/>
          <w:szCs w:val="24"/>
          <w:lang w:val="en-GB" w:eastAsia="en-GB"/>
        </w:rPr>
        <w:t xml:space="preserve"> issue that </w:t>
      </w:r>
      <w:r w:rsidR="006455BB">
        <w:rPr>
          <w:rFonts w:ascii="Arial" w:hAnsi="Arial" w:cs="Arial"/>
          <w:color w:val="000000" w:themeColor="text1"/>
          <w:sz w:val="24"/>
          <w:szCs w:val="24"/>
          <w:lang w:val="en-GB" w:eastAsia="en-GB"/>
        </w:rPr>
        <w:t>involve</w:t>
      </w:r>
      <w:r w:rsidRPr="002E7929">
        <w:rPr>
          <w:rFonts w:ascii="Arial" w:hAnsi="Arial" w:cs="Arial"/>
          <w:color w:val="000000" w:themeColor="text1"/>
          <w:sz w:val="24"/>
          <w:szCs w:val="24"/>
          <w:lang w:val="en-GB" w:eastAsia="en-GB"/>
        </w:rPr>
        <w:t xml:space="preserve"> economic, political, and moral considerations. Addressing inequality requires more than increasing national wealth. It requires creating societies </w:t>
      </w:r>
      <w:r w:rsidR="006F6B07">
        <w:rPr>
          <w:rFonts w:ascii="Arial" w:hAnsi="Arial" w:cs="Arial"/>
          <w:color w:val="000000" w:themeColor="text1"/>
          <w:sz w:val="24"/>
          <w:szCs w:val="24"/>
          <w:lang w:val="en-GB" w:eastAsia="en-GB"/>
        </w:rPr>
        <w:t>where</w:t>
      </w:r>
      <w:r w:rsidRPr="002E7929">
        <w:rPr>
          <w:rFonts w:ascii="Arial" w:hAnsi="Arial" w:cs="Arial"/>
          <w:color w:val="000000" w:themeColor="text1"/>
          <w:sz w:val="24"/>
          <w:szCs w:val="24"/>
          <w:lang w:val="en-GB" w:eastAsia="en-GB"/>
        </w:rPr>
        <w:t xml:space="preserve"> opportunities are </w:t>
      </w:r>
      <w:r w:rsidR="00E87CD1" w:rsidRPr="002E7929">
        <w:rPr>
          <w:rFonts w:ascii="Arial" w:hAnsi="Arial" w:cs="Arial"/>
          <w:color w:val="000000" w:themeColor="text1"/>
          <w:sz w:val="24"/>
          <w:szCs w:val="24"/>
          <w:lang w:val="en-GB" w:eastAsia="en-GB"/>
        </w:rPr>
        <w:t>universally accessible</w:t>
      </w:r>
      <w:r w:rsidRPr="002E7929">
        <w:rPr>
          <w:rFonts w:ascii="Arial" w:hAnsi="Arial" w:cs="Arial"/>
          <w:color w:val="000000" w:themeColor="text1"/>
          <w:sz w:val="24"/>
          <w:szCs w:val="24"/>
          <w:lang w:val="en-GB" w:eastAsia="en-GB"/>
        </w:rPr>
        <w:t xml:space="preserve"> and institutions </w:t>
      </w:r>
      <w:bookmarkStart w:id="13" w:name="_Int_i6S6Fu6B"/>
      <w:r w:rsidRPr="002E7929">
        <w:rPr>
          <w:rFonts w:ascii="Arial" w:hAnsi="Arial" w:cs="Arial"/>
          <w:color w:val="000000" w:themeColor="text1"/>
          <w:sz w:val="24"/>
          <w:szCs w:val="24"/>
          <w:lang w:val="en-GB" w:eastAsia="en-GB"/>
        </w:rPr>
        <w:t>are trusted</w:t>
      </w:r>
      <w:bookmarkEnd w:id="13"/>
      <w:r w:rsidRPr="002E7929">
        <w:rPr>
          <w:rFonts w:ascii="Arial" w:hAnsi="Arial" w:cs="Arial"/>
          <w:color w:val="000000" w:themeColor="text1"/>
          <w:sz w:val="24"/>
          <w:szCs w:val="24"/>
          <w:lang w:val="en-GB" w:eastAsia="en-GB"/>
        </w:rPr>
        <w:t xml:space="preserve"> by citizens.</w:t>
      </w:r>
    </w:p>
    <w:p w14:paraId="658974FF" w14:textId="77777777" w:rsidR="0040490D" w:rsidRPr="002E7929" w:rsidRDefault="0040490D" w:rsidP="00042DE0">
      <w:pPr>
        <w:spacing w:before="100" w:beforeAutospacing="1" w:after="100" w:afterAutospacing="1" w:line="240" w:lineRule="auto"/>
        <w:rPr>
          <w:rFonts w:ascii="Arial" w:hAnsi="Arial" w:cs="Arial"/>
          <w:color w:val="000000" w:themeColor="text1"/>
          <w:sz w:val="24"/>
          <w:szCs w:val="24"/>
          <w:lang w:val="en-GB" w:eastAsia="en-GB"/>
        </w:rPr>
      </w:pPr>
    </w:p>
    <w:p w14:paraId="4A23BFCF" w14:textId="77777777" w:rsidR="00042DE0" w:rsidRPr="002E7929" w:rsidRDefault="00042DE0" w:rsidP="00042DE0">
      <w:pPr>
        <w:spacing w:before="100" w:beforeAutospacing="1" w:after="100" w:afterAutospacing="1" w:line="240" w:lineRule="auto"/>
        <w:outlineLvl w:val="1"/>
        <w:rPr>
          <w:rFonts w:ascii="Arial" w:eastAsia="Times New Roman" w:hAnsi="Arial" w:cs="Arial"/>
          <w:b/>
          <w:bCs/>
          <w:color w:val="000000" w:themeColor="text1"/>
          <w:sz w:val="24"/>
          <w:szCs w:val="24"/>
          <w:lang w:val="en-GB" w:eastAsia="en-GB"/>
        </w:rPr>
      </w:pPr>
      <w:r w:rsidRPr="002E7929">
        <w:rPr>
          <w:rFonts w:ascii="Arial" w:eastAsia="Times New Roman" w:hAnsi="Arial" w:cs="Arial"/>
          <w:b/>
          <w:bCs/>
          <w:color w:val="000000" w:themeColor="text1"/>
          <w:sz w:val="24"/>
          <w:szCs w:val="24"/>
          <w:lang w:val="en-GB" w:eastAsia="en-GB"/>
        </w:rPr>
        <w:t>Conclusion</w:t>
      </w:r>
    </w:p>
    <w:p w14:paraId="48ED243F" w14:textId="2CA87E44" w:rsidR="00042DE0" w:rsidRPr="00324838" w:rsidRDefault="00042DE0" w:rsidP="00324838">
      <w:pPr>
        <w:spacing w:before="100" w:beforeAutospacing="1" w:after="100" w:afterAutospacing="1" w:line="240" w:lineRule="auto"/>
        <w:rPr>
          <w:rFonts w:ascii="Arial" w:hAnsi="Arial" w:cs="Arial"/>
          <w:color w:val="000000" w:themeColor="text1"/>
          <w:sz w:val="24"/>
          <w:szCs w:val="24"/>
          <w:lang w:val="en-GB" w:eastAsia="en-GB"/>
        </w:rPr>
      </w:pPr>
      <w:r w:rsidRPr="002E7929">
        <w:rPr>
          <w:rFonts w:ascii="Arial" w:hAnsi="Arial" w:cs="Arial"/>
          <w:color w:val="000000" w:themeColor="text1"/>
          <w:sz w:val="24"/>
          <w:szCs w:val="24"/>
          <w:lang w:val="en-GB" w:eastAsia="en-GB"/>
        </w:rPr>
        <w:t xml:space="preserve">My overall reflection is that </w:t>
      </w:r>
      <w:r w:rsidR="002F3F88" w:rsidRPr="002E7929">
        <w:rPr>
          <w:rFonts w:ascii="Arial" w:hAnsi="Arial" w:cs="Arial"/>
          <w:color w:val="000000" w:themeColor="text1"/>
          <w:sz w:val="24"/>
          <w:szCs w:val="24"/>
          <w:lang w:val="en-GB" w:eastAsia="en-GB"/>
        </w:rPr>
        <w:t>globalisation</w:t>
      </w:r>
      <w:r w:rsidRPr="002E7929">
        <w:rPr>
          <w:rFonts w:ascii="Arial" w:hAnsi="Arial" w:cs="Arial"/>
          <w:color w:val="000000" w:themeColor="text1"/>
          <w:sz w:val="24"/>
          <w:szCs w:val="24"/>
          <w:lang w:val="en-GB" w:eastAsia="en-GB"/>
        </w:rPr>
        <w:t xml:space="preserve"> </w:t>
      </w:r>
      <w:r w:rsidR="00EE626D" w:rsidRPr="002E7929">
        <w:rPr>
          <w:rFonts w:ascii="Arial" w:hAnsi="Arial" w:cs="Arial"/>
          <w:color w:val="000000" w:themeColor="text1"/>
          <w:sz w:val="24"/>
          <w:szCs w:val="24"/>
          <w:lang w:val="en-GB" w:eastAsia="en-GB"/>
        </w:rPr>
        <w:t>is still</w:t>
      </w:r>
      <w:r w:rsidRPr="002E7929">
        <w:rPr>
          <w:rFonts w:ascii="Arial" w:hAnsi="Arial" w:cs="Arial"/>
          <w:color w:val="000000" w:themeColor="text1"/>
          <w:sz w:val="24"/>
          <w:szCs w:val="24"/>
          <w:lang w:val="en-GB" w:eastAsia="en-GB"/>
        </w:rPr>
        <w:t xml:space="preserve"> one of the defining forces of the modern era, but its long-term success depends upon the ability of governments and international institutions to manage its unequal consequences. Sustainable development requires strong political institutions, democratic accountability, and policies that promote inclusion alongside economic growth. </w:t>
      </w:r>
      <w:r w:rsidR="002251B1" w:rsidRPr="002E7929">
        <w:rPr>
          <w:rFonts w:ascii="Arial" w:hAnsi="Arial" w:cs="Arial"/>
          <w:color w:val="000000" w:themeColor="text1"/>
          <w:sz w:val="24"/>
          <w:szCs w:val="24"/>
          <w:lang w:val="en-GB" w:eastAsia="en-GB"/>
        </w:rPr>
        <w:t>The</w:t>
      </w:r>
      <w:r w:rsidRPr="002E7929">
        <w:rPr>
          <w:rFonts w:ascii="Arial" w:hAnsi="Arial" w:cs="Arial"/>
          <w:color w:val="000000" w:themeColor="text1"/>
          <w:sz w:val="24"/>
          <w:szCs w:val="24"/>
          <w:lang w:val="en-GB" w:eastAsia="en-GB"/>
        </w:rPr>
        <w:t xml:space="preserve"> readings have convinced me that addressing inequality is not </w:t>
      </w:r>
      <w:r w:rsidR="00B25088">
        <w:rPr>
          <w:rFonts w:ascii="Arial" w:hAnsi="Arial" w:cs="Arial"/>
          <w:color w:val="000000" w:themeColor="text1"/>
          <w:sz w:val="24"/>
          <w:szCs w:val="24"/>
          <w:lang w:val="en-GB" w:eastAsia="en-GB"/>
        </w:rPr>
        <w:t>just</w:t>
      </w:r>
      <w:r w:rsidRPr="002E7929">
        <w:rPr>
          <w:rFonts w:ascii="Arial" w:hAnsi="Arial" w:cs="Arial"/>
          <w:color w:val="000000" w:themeColor="text1"/>
          <w:sz w:val="24"/>
          <w:szCs w:val="24"/>
          <w:lang w:val="en-GB" w:eastAsia="en-GB"/>
        </w:rPr>
        <w:t xml:space="preserve"> an economic necessity but a political and moral </w:t>
      </w:r>
      <w:r w:rsidR="00133727">
        <w:rPr>
          <w:rFonts w:ascii="Arial" w:hAnsi="Arial" w:cs="Arial"/>
          <w:color w:val="000000" w:themeColor="text1"/>
          <w:sz w:val="24"/>
          <w:szCs w:val="24"/>
          <w:lang w:val="en-GB" w:eastAsia="en-GB"/>
        </w:rPr>
        <w:t>obligation</w:t>
      </w:r>
      <w:r w:rsidR="009C4CC3">
        <w:rPr>
          <w:rFonts w:ascii="Arial" w:hAnsi="Arial" w:cs="Arial"/>
          <w:color w:val="000000" w:themeColor="text1"/>
          <w:sz w:val="24"/>
          <w:szCs w:val="24"/>
          <w:lang w:val="en-GB" w:eastAsia="en-GB"/>
        </w:rPr>
        <w:t>.</w:t>
      </w:r>
    </w:p>
    <w:p w14:paraId="50278583" w14:textId="29465A0A" w:rsidR="00376416" w:rsidRPr="005C1D04" w:rsidRDefault="00042DE0" w:rsidP="004F5BB8">
      <w:pPr>
        <w:spacing w:before="100" w:beforeAutospacing="1" w:after="100" w:afterAutospacing="1" w:line="240" w:lineRule="auto"/>
        <w:jc w:val="center"/>
        <w:outlineLvl w:val="1"/>
        <w:rPr>
          <w:rFonts w:ascii="Arial" w:eastAsia="Times New Roman" w:hAnsi="Arial" w:cs="Arial"/>
          <w:b/>
          <w:bCs/>
          <w:color w:val="000000" w:themeColor="text1"/>
          <w:sz w:val="24"/>
          <w:szCs w:val="24"/>
          <w:lang w:val="en-GB" w:eastAsia="en-GB"/>
        </w:rPr>
      </w:pPr>
      <w:r w:rsidRPr="005C1D04">
        <w:rPr>
          <w:rFonts w:ascii="Arial" w:eastAsia="Times New Roman" w:hAnsi="Arial" w:cs="Arial"/>
          <w:b/>
          <w:bCs/>
          <w:color w:val="000000" w:themeColor="text1"/>
          <w:sz w:val="24"/>
          <w:szCs w:val="24"/>
          <w:lang w:val="en-GB" w:eastAsia="en-GB"/>
        </w:rPr>
        <w:t>Bibliography</w:t>
      </w:r>
    </w:p>
    <w:p w14:paraId="1739C504" w14:textId="77777777" w:rsidR="00376416" w:rsidRPr="005C1D04" w:rsidRDefault="00376416" w:rsidP="00324838">
      <w:pPr>
        <w:pStyle w:val="p2"/>
        <w:ind w:left="720" w:hanging="720"/>
        <w:rPr>
          <w:rStyle w:val="s2"/>
          <w:rFonts w:ascii="Arial" w:hAnsi="Arial" w:cs="Arial"/>
        </w:rPr>
      </w:pPr>
      <w:r w:rsidRPr="005C1D04">
        <w:rPr>
          <w:rFonts w:ascii="Arial" w:hAnsi="Arial" w:cs="Arial"/>
        </w:rPr>
        <w:t xml:space="preserve">Fukuyama, Francis, </w:t>
      </w:r>
      <w:r w:rsidRPr="005C1D04">
        <w:rPr>
          <w:rStyle w:val="s1"/>
          <w:rFonts w:ascii="Arial" w:hAnsi="Arial" w:cs="Arial"/>
          <w:i/>
          <w:iCs/>
        </w:rPr>
        <w:t>The Origins of Political Order: From Prehuman Times to the French Revolution</w:t>
      </w:r>
      <w:r w:rsidRPr="005C1D04">
        <w:rPr>
          <w:rStyle w:val="s2"/>
          <w:rFonts w:ascii="Arial" w:hAnsi="Arial" w:cs="Arial"/>
        </w:rPr>
        <w:t xml:space="preserve"> (New York: Farrar, </w:t>
      </w:r>
      <w:bookmarkStart w:id="14" w:name="_Int_EiaXPVk5"/>
      <w:r w:rsidRPr="005C1D04">
        <w:rPr>
          <w:rStyle w:val="s2"/>
          <w:rFonts w:ascii="Arial" w:hAnsi="Arial" w:cs="Arial"/>
        </w:rPr>
        <w:t>Straus</w:t>
      </w:r>
      <w:bookmarkEnd w:id="14"/>
      <w:r w:rsidRPr="005C1D04">
        <w:rPr>
          <w:rStyle w:val="s2"/>
          <w:rFonts w:ascii="Arial" w:hAnsi="Arial" w:cs="Arial"/>
        </w:rPr>
        <w:t xml:space="preserve"> and Giroux, 2011)</w:t>
      </w:r>
    </w:p>
    <w:p w14:paraId="1E47D670" w14:textId="77777777" w:rsidR="00376416" w:rsidRPr="005C1D04" w:rsidRDefault="00376416" w:rsidP="00324838">
      <w:pPr>
        <w:pStyle w:val="p2"/>
        <w:ind w:left="720" w:hanging="720"/>
        <w:rPr>
          <w:rStyle w:val="s2"/>
          <w:rFonts w:ascii="Arial" w:hAnsi="Arial" w:cs="Arial"/>
        </w:rPr>
      </w:pPr>
      <w:r w:rsidRPr="005C1D04">
        <w:rPr>
          <w:rFonts w:ascii="Arial" w:hAnsi="Arial" w:cs="Arial"/>
        </w:rPr>
        <w:t xml:space="preserve">Fukuyama, Francis, </w:t>
      </w:r>
      <w:r w:rsidRPr="005C1D04">
        <w:rPr>
          <w:rStyle w:val="s1"/>
          <w:rFonts w:ascii="Arial" w:hAnsi="Arial" w:cs="Arial"/>
          <w:i/>
          <w:iCs/>
        </w:rPr>
        <w:t>Political Order and Political Decay: From the Industrial Revolution to the Globalization of Democracy</w:t>
      </w:r>
      <w:r w:rsidRPr="005C1D04">
        <w:rPr>
          <w:rStyle w:val="s2"/>
          <w:rFonts w:ascii="Arial" w:hAnsi="Arial" w:cs="Arial"/>
        </w:rPr>
        <w:t xml:space="preserve"> (New York: Farrar, </w:t>
      </w:r>
      <w:bookmarkStart w:id="15" w:name="_Int_Rs9zY6fh"/>
      <w:r w:rsidRPr="005C1D04">
        <w:rPr>
          <w:rStyle w:val="s2"/>
          <w:rFonts w:ascii="Arial" w:hAnsi="Arial" w:cs="Arial"/>
        </w:rPr>
        <w:t>Straus</w:t>
      </w:r>
      <w:bookmarkEnd w:id="15"/>
      <w:r w:rsidRPr="005C1D04">
        <w:rPr>
          <w:rStyle w:val="s2"/>
          <w:rFonts w:ascii="Arial" w:hAnsi="Arial" w:cs="Arial"/>
        </w:rPr>
        <w:t xml:space="preserve"> and Giroux, 2014)</w:t>
      </w:r>
    </w:p>
    <w:p w14:paraId="44FA5211" w14:textId="77777777" w:rsidR="00376416" w:rsidRPr="005C1D04" w:rsidRDefault="00376416" w:rsidP="00324838">
      <w:pPr>
        <w:pStyle w:val="p2"/>
        <w:ind w:left="720" w:hanging="720"/>
        <w:rPr>
          <w:rStyle w:val="s2"/>
          <w:rFonts w:ascii="Arial" w:hAnsi="Arial" w:cs="Arial"/>
        </w:rPr>
      </w:pPr>
      <w:r w:rsidRPr="005C1D04">
        <w:rPr>
          <w:rFonts w:ascii="Arial" w:hAnsi="Arial" w:cs="Arial"/>
        </w:rPr>
        <w:t>Fukuyama, Francis, ‘Poverty, Inequality, and Democracy: Dealing with Inequality</w:t>
      </w:r>
      <w:bookmarkStart w:id="16" w:name="_Int_tnGoeeK6"/>
      <w:r w:rsidRPr="005C1D04">
        <w:rPr>
          <w:rFonts w:ascii="Arial" w:hAnsi="Arial" w:cs="Arial"/>
        </w:rPr>
        <w:t>’,</w:t>
      </w:r>
      <w:bookmarkEnd w:id="16"/>
      <w:r w:rsidRPr="005C1D04">
        <w:rPr>
          <w:rFonts w:ascii="Arial" w:hAnsi="Arial" w:cs="Arial"/>
        </w:rPr>
        <w:t xml:space="preserve"> </w:t>
      </w:r>
      <w:r w:rsidRPr="005C1D04">
        <w:rPr>
          <w:rStyle w:val="s1"/>
          <w:rFonts w:ascii="Arial" w:hAnsi="Arial" w:cs="Arial"/>
          <w:i/>
          <w:iCs/>
        </w:rPr>
        <w:t>Journal of Democracy</w:t>
      </w:r>
      <w:r w:rsidRPr="005C1D04">
        <w:rPr>
          <w:rStyle w:val="s2"/>
          <w:rFonts w:ascii="Arial" w:hAnsi="Arial" w:cs="Arial"/>
        </w:rPr>
        <w:t>, 22.3 (2011), 79–89</w:t>
      </w:r>
    </w:p>
    <w:p w14:paraId="522B25AD" w14:textId="77777777" w:rsidR="00376416" w:rsidRPr="005C1D04" w:rsidRDefault="00376416" w:rsidP="00324838">
      <w:pPr>
        <w:pStyle w:val="p2"/>
        <w:ind w:left="720" w:hanging="720"/>
        <w:rPr>
          <w:rStyle w:val="s2"/>
          <w:rFonts w:ascii="Arial" w:hAnsi="Arial" w:cs="Arial"/>
        </w:rPr>
      </w:pPr>
      <w:r w:rsidRPr="005C1D04">
        <w:rPr>
          <w:rFonts w:ascii="Arial" w:hAnsi="Arial" w:cs="Arial"/>
        </w:rPr>
        <w:lastRenderedPageBreak/>
        <w:t xml:space="preserve">Milanovic, Branko, </w:t>
      </w:r>
      <w:r w:rsidRPr="005C1D04">
        <w:rPr>
          <w:rStyle w:val="s1"/>
          <w:rFonts w:ascii="Arial" w:hAnsi="Arial" w:cs="Arial"/>
          <w:i/>
          <w:iCs/>
        </w:rPr>
        <w:t>Global Inequality: A New Approach for the Age of Globalization</w:t>
      </w:r>
      <w:r w:rsidRPr="005C1D04">
        <w:rPr>
          <w:rStyle w:val="s2"/>
          <w:rFonts w:ascii="Arial" w:hAnsi="Arial" w:cs="Arial"/>
        </w:rPr>
        <w:t xml:space="preserve"> (Cambridge, MA: Belknap Press of Harvard University Press, 2016)</w:t>
      </w:r>
    </w:p>
    <w:p w14:paraId="6980AA9C" w14:textId="77777777" w:rsidR="007D17AB" w:rsidRPr="002E7929" w:rsidRDefault="007D17AB" w:rsidP="007D17AB">
      <w:pPr>
        <w:spacing w:before="100" w:beforeAutospacing="1" w:after="100" w:afterAutospacing="1" w:line="240" w:lineRule="auto"/>
        <w:rPr>
          <w:rFonts w:ascii="Arial" w:hAnsi="Arial" w:cs="Arial"/>
          <w:color w:val="000000" w:themeColor="text1"/>
          <w:sz w:val="24"/>
          <w:szCs w:val="24"/>
          <w:lang w:val="en-GB" w:eastAsia="en-GB"/>
        </w:rPr>
      </w:pPr>
    </w:p>
    <w:p w14:paraId="5065663F" w14:textId="77777777" w:rsidR="00E81AB8" w:rsidRPr="002E7929" w:rsidRDefault="00E81AB8" w:rsidP="00772A2C">
      <w:pPr>
        <w:rPr>
          <w:rFonts w:ascii="Arial" w:hAnsi="Arial" w:cs="Arial"/>
          <w:color w:val="000000" w:themeColor="text1"/>
          <w:sz w:val="24"/>
          <w:szCs w:val="24"/>
        </w:rPr>
      </w:pPr>
    </w:p>
    <w:sectPr w:rsidR="00E81AB8" w:rsidRPr="002E7929"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0150A8" w14:textId="77777777" w:rsidR="007E1D10" w:rsidRDefault="007E1D10" w:rsidP="004E39F5">
      <w:pPr>
        <w:spacing w:after="0" w:line="240" w:lineRule="auto"/>
      </w:pPr>
      <w:r>
        <w:separator/>
      </w:r>
    </w:p>
  </w:endnote>
  <w:endnote w:type="continuationSeparator" w:id="0">
    <w:p w14:paraId="3B293DAD" w14:textId="77777777" w:rsidR="007E1D10" w:rsidRDefault="007E1D10"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BD7686" w14:textId="77777777" w:rsidR="00D92850" w:rsidRPr="00D92850" w:rsidRDefault="00D92850" w:rsidP="00D92850">
    <w:pPr>
      <w:spacing w:after="0" w:line="240" w:lineRule="auto"/>
      <w:rPr>
        <w:rFonts w:ascii="Arial" w:eastAsia="Times New Roman" w:hAnsi="Arial" w:cs="Arial"/>
        <w:color w:val="000000" w:themeColor="text1"/>
        <w:sz w:val="24"/>
        <w:szCs w:val="24"/>
        <w:lang w:val="en-GB" w:eastAsia="en-GB"/>
      </w:rPr>
    </w:pPr>
  </w:p>
  <w:p w14:paraId="72BA42A1" w14:textId="556402BD" w:rsidR="00D92850" w:rsidRPr="00090DD8" w:rsidRDefault="00371698" w:rsidP="005261B6">
    <w:pPr>
      <w:spacing w:after="0" w:line="240" w:lineRule="auto"/>
      <w:outlineLvl w:val="0"/>
      <w:rPr>
        <w:rFonts w:ascii="Arial" w:eastAsia="Times New Roman" w:hAnsi="Arial" w:cs="Arial"/>
        <w:b/>
        <w:bCs/>
        <w:color w:val="000000" w:themeColor="text1"/>
        <w:kern w:val="36"/>
        <w:sz w:val="24"/>
        <w:szCs w:val="24"/>
        <w:lang w:val="en-GB" w:eastAsia="en-GB"/>
      </w:rPr>
    </w:pPr>
    <w:r w:rsidRPr="002E7929">
      <w:rPr>
        <w:rFonts w:ascii="Arial" w:eastAsia="Times New Roman" w:hAnsi="Arial" w:cs="Arial"/>
        <w:b/>
        <w:bCs/>
        <w:color w:val="000000" w:themeColor="text1"/>
        <w:kern w:val="36"/>
        <w:sz w:val="24"/>
        <w:szCs w:val="24"/>
        <w:lang w:val="en-GB" w:eastAsia="en-GB"/>
      </w:rPr>
      <w:t>Power and Inequality (HPHI4904)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8723C97" w14:textId="77777777" w:rsidR="007E1D10" w:rsidRDefault="007E1D10" w:rsidP="004E39F5">
      <w:pPr>
        <w:spacing w:after="0" w:line="240" w:lineRule="auto"/>
      </w:pPr>
      <w:r>
        <w:separator/>
      </w:r>
    </w:p>
  </w:footnote>
  <w:footnote w:type="continuationSeparator" w:id="0">
    <w:p w14:paraId="03CB52E1" w14:textId="77777777" w:rsidR="007E1D10" w:rsidRDefault="007E1D10" w:rsidP="004E39F5">
      <w:pPr>
        <w:spacing w:after="0" w:line="240" w:lineRule="auto"/>
      </w:pPr>
      <w:r>
        <w:continuationSeparator/>
      </w:r>
    </w:p>
  </w:footnote>
  <w:footnote w:id="1">
    <w:p w14:paraId="1EE68E32" w14:textId="17CC3D1A" w:rsidR="00C345AA" w:rsidRPr="002A5012" w:rsidRDefault="00C345AA"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2A5012">
        <w:rPr>
          <w:rStyle w:val="FootnoteReference"/>
          <w:rFonts w:ascii="Arial" w:hAnsi="Arial" w:cs="Arial"/>
          <w:sz w:val="20"/>
          <w:szCs w:val="20"/>
        </w:rPr>
        <w:footnoteRef/>
      </w:r>
      <w:r w:rsidRPr="002A5012">
        <w:rPr>
          <w:rFonts w:ascii="Arial" w:hAnsi="Arial" w:cs="Arial"/>
          <w:sz w:val="20"/>
          <w:szCs w:val="20"/>
        </w:rPr>
        <w:t xml:space="preserve"> </w:t>
      </w:r>
      <w:r w:rsidRPr="002A5012">
        <w:rPr>
          <w:rFonts w:ascii="Arial" w:eastAsia="Times New Roman" w:hAnsi="Arial" w:cs="Arial"/>
          <w:color w:val="000000" w:themeColor="text1"/>
          <w:sz w:val="20"/>
          <w:szCs w:val="20"/>
          <w:lang w:val="en-GB" w:eastAsia="en-GB"/>
        </w:rPr>
        <w:t xml:space="preserve">Branko Milanovic, </w:t>
      </w:r>
      <w:r w:rsidRPr="002A5012">
        <w:rPr>
          <w:rFonts w:ascii="Arial" w:eastAsia="Times New Roman" w:hAnsi="Arial" w:cs="Arial"/>
          <w:i/>
          <w:iCs/>
          <w:color w:val="000000" w:themeColor="text1"/>
          <w:sz w:val="20"/>
          <w:szCs w:val="20"/>
          <w:lang w:val="en-GB" w:eastAsia="en-GB"/>
        </w:rPr>
        <w:t>Global Inequality: A New Approach for the Age of Globalization</w:t>
      </w:r>
      <w:r w:rsidRPr="002A5012">
        <w:rPr>
          <w:rFonts w:ascii="Arial" w:eastAsia="Times New Roman" w:hAnsi="Arial" w:cs="Arial"/>
          <w:color w:val="000000" w:themeColor="text1"/>
          <w:sz w:val="20"/>
          <w:szCs w:val="20"/>
          <w:lang w:val="en-GB" w:eastAsia="en-GB"/>
        </w:rPr>
        <w:t xml:space="preserve"> (Cambridge, MA: Belknap Press of Harvard University Press, 2016), pp. 1–7.</w:t>
      </w:r>
    </w:p>
  </w:footnote>
  <w:footnote w:id="2">
    <w:p w14:paraId="4F3DBD4B" w14:textId="06AFCEA9" w:rsidR="00C345AA" w:rsidRPr="00CB53DB" w:rsidRDefault="00C345AA" w:rsidP="00CB53DB">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Milanovic, </w:t>
      </w:r>
      <w:r w:rsidRPr="003232E2">
        <w:rPr>
          <w:rFonts w:ascii="Arial" w:eastAsia="Times New Roman" w:hAnsi="Arial" w:cs="Arial"/>
          <w:i/>
          <w:iCs/>
          <w:color w:val="000000" w:themeColor="text1"/>
          <w:sz w:val="20"/>
          <w:szCs w:val="20"/>
          <w:lang w:val="en-GB" w:eastAsia="en-GB"/>
        </w:rPr>
        <w:t>Global Inequality</w:t>
      </w:r>
      <w:r w:rsidRPr="003232E2">
        <w:rPr>
          <w:rFonts w:ascii="Arial" w:eastAsia="Times New Roman" w:hAnsi="Arial" w:cs="Arial"/>
          <w:color w:val="000000" w:themeColor="text1"/>
          <w:sz w:val="20"/>
          <w:szCs w:val="20"/>
          <w:lang w:val="en-GB" w:eastAsia="en-GB"/>
        </w:rPr>
        <w:t>, pp. 1–7.</w:t>
      </w:r>
    </w:p>
  </w:footnote>
  <w:footnote w:id="3">
    <w:p w14:paraId="509533A9" w14:textId="7CA9899F" w:rsidR="00B606B5" w:rsidRPr="003232E2" w:rsidRDefault="00B606B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Milanovic, </w:t>
      </w:r>
      <w:r w:rsidRPr="003232E2">
        <w:rPr>
          <w:rFonts w:ascii="Arial" w:eastAsia="Times New Roman" w:hAnsi="Arial" w:cs="Arial"/>
          <w:i/>
          <w:iCs/>
          <w:color w:val="000000" w:themeColor="text1"/>
          <w:sz w:val="20"/>
          <w:szCs w:val="20"/>
          <w:lang w:val="en-GB" w:eastAsia="en-GB"/>
        </w:rPr>
        <w:t>Global Inequality</w:t>
      </w:r>
      <w:r w:rsidRPr="003232E2">
        <w:rPr>
          <w:rFonts w:ascii="Arial" w:eastAsia="Times New Roman" w:hAnsi="Arial" w:cs="Arial"/>
          <w:color w:val="000000" w:themeColor="text1"/>
          <w:sz w:val="20"/>
          <w:szCs w:val="20"/>
          <w:lang w:val="en-GB" w:eastAsia="en-GB"/>
        </w:rPr>
        <w:t>, pp. 1–7.</w:t>
      </w:r>
    </w:p>
  </w:footnote>
  <w:footnote w:id="4">
    <w:p w14:paraId="6475E453" w14:textId="1C983F97" w:rsidR="00B606B5" w:rsidRPr="003232E2" w:rsidRDefault="00B606B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Francis Fukuyama, ‘Poverty, Inequality, and Democracy: Dealing with Inequality</w:t>
      </w:r>
      <w:bookmarkStart w:id="6" w:name="_Int_gO5lEpCv"/>
      <w:r w:rsidRPr="003232E2">
        <w:rPr>
          <w:rFonts w:ascii="Arial" w:eastAsia="Times New Roman" w:hAnsi="Arial" w:cs="Arial"/>
          <w:color w:val="000000" w:themeColor="text1"/>
          <w:sz w:val="20"/>
          <w:szCs w:val="20"/>
          <w:lang w:val="en-GB" w:eastAsia="en-GB"/>
        </w:rPr>
        <w:t>’,</w:t>
      </w:r>
      <w:bookmarkEnd w:id="6"/>
      <w:r w:rsidRPr="003232E2">
        <w:rPr>
          <w:rFonts w:ascii="Arial" w:eastAsia="Times New Roman" w:hAnsi="Arial" w:cs="Arial"/>
          <w:color w:val="000000" w:themeColor="text1"/>
          <w:sz w:val="20"/>
          <w:szCs w:val="20"/>
          <w:lang w:val="en-GB" w:eastAsia="en-GB"/>
        </w:rPr>
        <w:t xml:space="preserve"> </w:t>
      </w:r>
      <w:r w:rsidRPr="003232E2">
        <w:rPr>
          <w:rFonts w:ascii="Arial" w:eastAsia="Times New Roman" w:hAnsi="Arial" w:cs="Arial"/>
          <w:i/>
          <w:iCs/>
          <w:color w:val="000000" w:themeColor="text1"/>
          <w:sz w:val="20"/>
          <w:szCs w:val="20"/>
          <w:lang w:val="en-GB" w:eastAsia="en-GB"/>
        </w:rPr>
        <w:t>Journal of Democracy</w:t>
      </w:r>
      <w:r w:rsidRPr="003232E2">
        <w:rPr>
          <w:rFonts w:ascii="Arial" w:eastAsia="Times New Roman" w:hAnsi="Arial" w:cs="Arial"/>
          <w:color w:val="000000" w:themeColor="text1"/>
          <w:sz w:val="20"/>
          <w:szCs w:val="20"/>
          <w:lang w:val="en-GB" w:eastAsia="en-GB"/>
        </w:rPr>
        <w:t>, 22.3 (2011), 79–89 (pp. 79–82).</w:t>
      </w:r>
    </w:p>
  </w:footnote>
  <w:footnote w:id="5">
    <w:p w14:paraId="64705C73" w14:textId="482E59DC" w:rsidR="00B606B5" w:rsidRPr="003232E2" w:rsidRDefault="00B606B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Fukuyama, ‘Poverty, Inequality, and Democracy</w:t>
      </w:r>
      <w:bookmarkStart w:id="7" w:name="_Int_kXLBFVW4"/>
      <w:r w:rsidRPr="003232E2">
        <w:rPr>
          <w:rFonts w:ascii="Arial" w:eastAsia="Times New Roman" w:hAnsi="Arial" w:cs="Arial"/>
          <w:color w:val="000000" w:themeColor="text1"/>
          <w:sz w:val="20"/>
          <w:szCs w:val="20"/>
          <w:lang w:val="en-GB" w:eastAsia="en-GB"/>
        </w:rPr>
        <w:t>’,</w:t>
      </w:r>
      <w:bookmarkEnd w:id="7"/>
      <w:r w:rsidRPr="003232E2">
        <w:rPr>
          <w:rFonts w:ascii="Arial" w:eastAsia="Times New Roman" w:hAnsi="Arial" w:cs="Arial"/>
          <w:color w:val="000000" w:themeColor="text1"/>
          <w:sz w:val="20"/>
          <w:szCs w:val="20"/>
          <w:lang w:val="en-GB" w:eastAsia="en-GB"/>
        </w:rPr>
        <w:t xml:space="preserve"> pp. 83–86.</w:t>
      </w:r>
    </w:p>
  </w:footnote>
  <w:footnote w:id="6">
    <w:p w14:paraId="6DCAC743" w14:textId="2E6A6E8F" w:rsidR="00B606B5" w:rsidRPr="003232E2" w:rsidRDefault="00B606B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Fukuyama, ‘Poverty, Inequality, and Democracy</w:t>
      </w:r>
      <w:bookmarkStart w:id="8" w:name="_Int_K0ggx8o4"/>
      <w:r w:rsidRPr="003232E2">
        <w:rPr>
          <w:rFonts w:ascii="Arial" w:eastAsia="Times New Roman" w:hAnsi="Arial" w:cs="Arial"/>
          <w:color w:val="000000" w:themeColor="text1"/>
          <w:sz w:val="20"/>
          <w:szCs w:val="20"/>
          <w:lang w:val="en-GB" w:eastAsia="en-GB"/>
        </w:rPr>
        <w:t>’,</w:t>
      </w:r>
      <w:bookmarkEnd w:id="8"/>
      <w:r w:rsidRPr="003232E2">
        <w:rPr>
          <w:rFonts w:ascii="Arial" w:eastAsia="Times New Roman" w:hAnsi="Arial" w:cs="Arial"/>
          <w:color w:val="000000" w:themeColor="text1"/>
          <w:sz w:val="20"/>
          <w:szCs w:val="20"/>
          <w:lang w:val="en-GB" w:eastAsia="en-GB"/>
        </w:rPr>
        <w:t xml:space="preserve"> pp. 86–89.</w:t>
      </w:r>
    </w:p>
  </w:footnote>
  <w:footnote w:id="7">
    <w:p w14:paraId="05AF7B01" w14:textId="5B8C6C5C" w:rsidR="00B606B5" w:rsidRPr="003232E2" w:rsidRDefault="00B606B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Francis Fukuyama, </w:t>
      </w:r>
      <w:r w:rsidRPr="003232E2">
        <w:rPr>
          <w:rFonts w:ascii="Arial" w:eastAsia="Times New Roman" w:hAnsi="Arial" w:cs="Arial"/>
          <w:i/>
          <w:iCs/>
          <w:color w:val="000000" w:themeColor="text1"/>
          <w:sz w:val="20"/>
          <w:szCs w:val="20"/>
          <w:lang w:val="en-GB" w:eastAsia="en-GB"/>
        </w:rPr>
        <w:t>Political Order and Political Decay: From the Industrial Revolution to the Globalization of Democracy</w:t>
      </w:r>
      <w:r w:rsidRPr="003232E2">
        <w:rPr>
          <w:rFonts w:ascii="Arial" w:eastAsia="Times New Roman" w:hAnsi="Arial" w:cs="Arial"/>
          <w:color w:val="000000" w:themeColor="text1"/>
          <w:sz w:val="20"/>
          <w:szCs w:val="20"/>
          <w:lang w:val="en-GB" w:eastAsia="en-GB"/>
        </w:rPr>
        <w:t xml:space="preserve"> (New York: Farrar, </w:t>
      </w:r>
      <w:bookmarkStart w:id="9" w:name="_Int_gKw2nwAS"/>
      <w:r w:rsidRPr="003232E2">
        <w:rPr>
          <w:rFonts w:ascii="Arial" w:eastAsia="Times New Roman" w:hAnsi="Arial" w:cs="Arial"/>
          <w:color w:val="000000" w:themeColor="text1"/>
          <w:sz w:val="20"/>
          <w:szCs w:val="20"/>
          <w:lang w:val="en-GB" w:eastAsia="en-GB"/>
        </w:rPr>
        <w:t>Straus</w:t>
      </w:r>
      <w:bookmarkEnd w:id="9"/>
      <w:r w:rsidRPr="003232E2">
        <w:rPr>
          <w:rFonts w:ascii="Arial" w:eastAsia="Times New Roman" w:hAnsi="Arial" w:cs="Arial"/>
          <w:color w:val="000000" w:themeColor="text1"/>
          <w:sz w:val="20"/>
          <w:szCs w:val="20"/>
          <w:lang w:val="en-GB" w:eastAsia="en-GB"/>
        </w:rPr>
        <w:t xml:space="preserve"> and Giroux, 2014), pp. 1–19.</w:t>
      </w:r>
    </w:p>
  </w:footnote>
  <w:footnote w:id="8">
    <w:p w14:paraId="0831001F" w14:textId="77777777" w:rsidR="008A0655" w:rsidRPr="003232E2" w:rsidRDefault="008A065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Francis Fukuyama, </w:t>
      </w:r>
      <w:r w:rsidRPr="003232E2">
        <w:rPr>
          <w:rFonts w:ascii="Arial" w:eastAsia="Times New Roman" w:hAnsi="Arial" w:cs="Arial"/>
          <w:i/>
          <w:iCs/>
          <w:color w:val="000000" w:themeColor="text1"/>
          <w:sz w:val="20"/>
          <w:szCs w:val="20"/>
          <w:lang w:val="en-GB" w:eastAsia="en-GB"/>
        </w:rPr>
        <w:t>The Origins of Political Order</w:t>
      </w:r>
      <w:r w:rsidRPr="003232E2">
        <w:rPr>
          <w:rFonts w:ascii="Arial" w:eastAsia="Times New Roman" w:hAnsi="Arial" w:cs="Arial"/>
          <w:color w:val="000000" w:themeColor="text1"/>
          <w:sz w:val="20"/>
          <w:szCs w:val="20"/>
          <w:lang w:val="en-GB" w:eastAsia="en-GB"/>
        </w:rPr>
        <w:t xml:space="preserve"> (New York: Farrar, </w:t>
      </w:r>
      <w:bookmarkStart w:id="10" w:name="_Int_Xn7ETHBu"/>
      <w:r w:rsidRPr="003232E2">
        <w:rPr>
          <w:rFonts w:ascii="Arial" w:eastAsia="Times New Roman" w:hAnsi="Arial" w:cs="Arial"/>
          <w:color w:val="000000" w:themeColor="text1"/>
          <w:sz w:val="20"/>
          <w:szCs w:val="20"/>
          <w:lang w:val="en-GB" w:eastAsia="en-GB"/>
        </w:rPr>
        <w:t>Straus</w:t>
      </w:r>
      <w:bookmarkEnd w:id="10"/>
      <w:r w:rsidRPr="003232E2">
        <w:rPr>
          <w:rFonts w:ascii="Arial" w:eastAsia="Times New Roman" w:hAnsi="Arial" w:cs="Arial"/>
          <w:color w:val="000000" w:themeColor="text1"/>
          <w:sz w:val="20"/>
          <w:szCs w:val="20"/>
          <w:lang w:val="en-GB" w:eastAsia="en-GB"/>
        </w:rPr>
        <w:t xml:space="preserve"> and Giroux, 2011), pp. 26–29.</w:t>
      </w:r>
    </w:p>
    <w:p w14:paraId="00E95634" w14:textId="5ADE4E49" w:rsidR="008A0655" w:rsidRPr="008A0655" w:rsidRDefault="008A0655">
      <w:pPr>
        <w:pStyle w:val="FootnoteText"/>
        <w:rPr>
          <w:lang w:val="en-GB"/>
        </w:rPr>
      </w:pPr>
    </w:p>
  </w:footnote>
  <w:footnote w:id="9">
    <w:p w14:paraId="01E9894C" w14:textId="5BAADFD4" w:rsidR="008A0655" w:rsidRPr="003232E2" w:rsidRDefault="008A0655"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Fukuyama, </w:t>
      </w:r>
      <w:r w:rsidRPr="003232E2">
        <w:rPr>
          <w:rFonts w:ascii="Arial" w:eastAsia="Times New Roman" w:hAnsi="Arial" w:cs="Arial"/>
          <w:i/>
          <w:iCs/>
          <w:color w:val="000000" w:themeColor="text1"/>
          <w:sz w:val="20"/>
          <w:szCs w:val="20"/>
          <w:lang w:val="en-GB" w:eastAsia="en-GB"/>
        </w:rPr>
        <w:t>Political Order and Political Decay</w:t>
      </w:r>
      <w:r w:rsidRPr="003232E2">
        <w:rPr>
          <w:rFonts w:ascii="Arial" w:eastAsia="Times New Roman" w:hAnsi="Arial" w:cs="Arial"/>
          <w:color w:val="000000" w:themeColor="text1"/>
          <w:sz w:val="20"/>
          <w:szCs w:val="20"/>
          <w:lang w:val="en-GB" w:eastAsia="en-GB"/>
        </w:rPr>
        <w:t>, pp. 15–19.</w:t>
      </w:r>
    </w:p>
  </w:footnote>
  <w:footnote w:id="10">
    <w:p w14:paraId="3CE64135" w14:textId="77777777" w:rsidR="00621502" w:rsidRPr="003232E2" w:rsidRDefault="00621502" w:rsidP="003232E2">
      <w:pPr>
        <w:spacing w:before="100" w:beforeAutospacing="1" w:after="100" w:afterAutospacing="1" w:line="240" w:lineRule="auto"/>
        <w:rPr>
          <w:rFonts w:ascii="Arial" w:eastAsia="Times New Roman" w:hAnsi="Arial" w:cs="Arial"/>
          <w:color w:val="000000" w:themeColor="text1"/>
          <w:sz w:val="20"/>
          <w:szCs w:val="20"/>
          <w:lang w:val="en-GB" w:eastAsia="en-GB"/>
        </w:rPr>
      </w:pPr>
      <w:r w:rsidRPr="003232E2">
        <w:rPr>
          <w:rStyle w:val="FootnoteReference"/>
          <w:sz w:val="20"/>
          <w:szCs w:val="20"/>
        </w:rPr>
        <w:footnoteRef/>
      </w:r>
      <w:r w:rsidRPr="003232E2">
        <w:rPr>
          <w:sz w:val="20"/>
          <w:szCs w:val="20"/>
        </w:rPr>
        <w:t xml:space="preserve"> </w:t>
      </w:r>
      <w:r w:rsidRPr="003232E2">
        <w:rPr>
          <w:rFonts w:ascii="Arial" w:eastAsia="Times New Roman" w:hAnsi="Arial" w:cs="Arial"/>
          <w:color w:val="000000" w:themeColor="text1"/>
          <w:sz w:val="20"/>
          <w:szCs w:val="20"/>
          <w:lang w:val="en-GB" w:eastAsia="en-GB"/>
        </w:rPr>
        <w:t xml:space="preserve">Milanovic, </w:t>
      </w:r>
      <w:r w:rsidRPr="003232E2">
        <w:rPr>
          <w:rFonts w:ascii="Arial" w:eastAsia="Times New Roman" w:hAnsi="Arial" w:cs="Arial"/>
          <w:i/>
          <w:iCs/>
          <w:color w:val="000000" w:themeColor="text1"/>
          <w:sz w:val="20"/>
          <w:szCs w:val="20"/>
          <w:lang w:val="en-GB" w:eastAsia="en-GB"/>
        </w:rPr>
        <w:t>Global Inequality</w:t>
      </w:r>
      <w:r w:rsidRPr="003232E2">
        <w:rPr>
          <w:rFonts w:ascii="Arial" w:eastAsia="Times New Roman" w:hAnsi="Arial" w:cs="Arial"/>
          <w:color w:val="000000" w:themeColor="text1"/>
          <w:sz w:val="20"/>
          <w:szCs w:val="20"/>
          <w:lang w:val="en-GB" w:eastAsia="en-GB"/>
        </w:rPr>
        <w:t>, ch. 5.</w:t>
      </w:r>
    </w:p>
    <w:p w14:paraId="11C680E9" w14:textId="68606C49" w:rsidR="00621502" w:rsidRPr="00621502" w:rsidRDefault="00621502">
      <w:pPr>
        <w:pStyle w:val="FootnoteText"/>
        <w:rPr>
          <w:lang w:val="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8225853"/>
      <w:docPartObj>
        <w:docPartGallery w:val="Page Numbers (Top of Page)"/>
        <w:docPartUnique/>
      </w:docPartObj>
    </w:sdtPr>
    <w:sdtEndPr>
      <w:rPr>
        <w:rStyle w:val="PageNumber"/>
      </w:rPr>
    </w:sdtEnd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EndPr>
      <w:rPr>
        <w:rStyle w:val="PageNumber"/>
      </w:rPr>
    </w:sdtEnd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s9CP4NSq" int2:invalidationBookmarkName="" int2:hashCode="keCkNeiNkdp5U3" int2:id="GlcEkKSo">
      <int2:state int2:value="Rejected" int2:type="style"/>
    </int2:bookmark>
    <int2:bookmark int2:bookmarkName="_Int_yJb0xop1" int2:invalidationBookmarkName="" int2:hashCode="5NmnYnEbPG7rVG" int2:id="f4hixsjO">
      <int2:state int2:value="Rejected" int2:type="style"/>
    </int2:bookmark>
    <int2:bookmark int2:bookmarkName="_Int_O2Kn5XiR" int2:invalidationBookmarkName="" int2:hashCode="r/KaiVLCmZeWWT" int2:id="jBCWhWXY">
      <int2:state int2:value="Rejected" int2:type="style"/>
    </int2:bookmark>
    <int2:bookmark int2:bookmarkName="_Int_IjHA2Mi0" int2:invalidationBookmarkName="" int2:hashCode="r/KaiVLCmZeWWT" int2:id="KwE40H3G">
      <int2:state int2:value="Rejected" int2:type="style"/>
    </int2:bookmark>
    <int2:bookmark int2:bookmarkName="_Int_v0RLcaw0" int2:invalidationBookmarkName="" int2:hashCode="sJaIqQ2km3Wj51" int2:id="aCPBHDLH">
      <int2:state int2:value="Rejected" int2:type="style"/>
    </int2:bookmark>
    <int2:bookmark int2:bookmarkName="_Int_UecqRRLt" int2:invalidationBookmarkName="" int2:hashCode="YgA1V5+R9wu/zx" int2:id="Nz2XL5Kg">
      <int2:state int2:value="Rejected" int2:type="style"/>
    </int2:bookmark>
    <int2:bookmark int2:bookmarkName="_Int_i6S6Fu6B" int2:invalidationBookmarkName="" int2:hashCode="canJ3IrebEQw7X" int2:id="slIf5p4O">
      <int2:state int2:value="Rejected" int2:type="style"/>
    </int2:bookmark>
    <int2:bookmark int2:bookmarkName="_Int_zz698tz4" int2:invalidationBookmarkName="" int2:hashCode="ZR46a6nTGIm117" int2:id="yRkNBdeB">
      <int2:state int2:value="Rejected" int2:type="style"/>
    </int2:bookmark>
    <int2:bookmark int2:bookmarkName="_Int_EiaXPVk5" int2:invalidationBookmarkName="" int2:hashCode="NSHwK4AurrzOTj" int2:id="N1ADxyed">
      <int2:state int2:value="Rejected" int2:type="style"/>
    </int2:bookmark>
    <int2:bookmark int2:bookmarkName="_Int_Rs9zY6fh" int2:invalidationBookmarkName="" int2:hashCode="NSHwK4AurrzOTj" int2:id="KnlqJcS6">
      <int2:state int2:value="Rejected" int2:type="style"/>
    </int2:bookmark>
    <int2:bookmark int2:bookmarkName="_Int_tnGoeeK6" int2:invalidationBookmarkName="" int2:hashCode="NkPdJ9i9g1wpGP" int2:id="mdWsDNbC">
      <int2:state int2:value="Rejected" int2:type="style"/>
    </int2:bookmark>
    <int2:bookmark int2:bookmarkName="_Int_gO5lEpCv" int2:invalidationBookmarkName="" int2:hashCode="NkPdJ9i9g1wpGP" int2:id="Kj1Azsyu">
      <int2:state int2:value="Rejected" int2:type="style"/>
    </int2:bookmark>
    <int2:bookmark int2:bookmarkName="_Int_kXLBFVW4" int2:invalidationBookmarkName="" int2:hashCode="NkPdJ9i9g1wpGP" int2:id="Df9MFHyq">
      <int2:state int2:value="Rejected" int2:type="style"/>
    </int2:bookmark>
    <int2:bookmark int2:bookmarkName="_Int_K0ggx8o4" int2:invalidationBookmarkName="" int2:hashCode="NkPdJ9i9g1wpGP" int2:id="01sO9kJR">
      <int2:state int2:value="Rejected" int2:type="style"/>
    </int2:bookmark>
    <int2:bookmark int2:bookmarkName="_Int_gKw2nwAS" int2:invalidationBookmarkName="" int2:hashCode="NSHwK4AurrzOTj" int2:id="KXcDoeSa">
      <int2:state int2:value="Rejected" int2:type="style"/>
    </int2:bookmark>
    <int2:bookmark int2:bookmarkName="_Int_Xn7ETHBu" int2:invalidationBookmarkName="" int2:hashCode="NSHwK4AurrzOTj" int2:id="sxUl4jd1">
      <int2:state int2:value="Rejected" int2:type="style"/>
    </int2:bookmark>
    <int2:bookmark int2:bookmarkName="_Int_7Mq2MLuT" int2:invalidationBookmarkName="" int2:hashCode="ol2C1vqipoDGX/" int2:id="Mn0zpVs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316E3"/>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5231AD"/>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AF46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843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857545"/>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9D6269"/>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782E8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50091A"/>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37F1D6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8A41D3"/>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F07C99"/>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401F8C"/>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0F5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2C7C5C"/>
    <w:multiLevelType w:val="multilevel"/>
    <w:tmpl w:val="FFFFFFFF"/>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A73A10"/>
    <w:multiLevelType w:val="multilevel"/>
    <w:tmpl w:val="FFFFFFFF"/>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29"/>
  </w:num>
  <w:num w:numId="11" w16cid:durableId="1269506367">
    <w:abstractNumId w:val="11"/>
  </w:num>
  <w:num w:numId="12" w16cid:durableId="97870650">
    <w:abstractNumId w:val="14"/>
  </w:num>
  <w:num w:numId="13" w16cid:durableId="182861149">
    <w:abstractNumId w:val="9"/>
  </w:num>
  <w:num w:numId="14" w16cid:durableId="790899465">
    <w:abstractNumId w:val="24"/>
  </w:num>
  <w:num w:numId="15" w16cid:durableId="1486702666">
    <w:abstractNumId w:val="15"/>
  </w:num>
  <w:num w:numId="16" w16cid:durableId="1499074177">
    <w:abstractNumId w:val="26"/>
  </w:num>
  <w:num w:numId="17" w16cid:durableId="1149055495">
    <w:abstractNumId w:val="16"/>
  </w:num>
  <w:num w:numId="18" w16cid:durableId="1902402296">
    <w:abstractNumId w:val="21"/>
  </w:num>
  <w:num w:numId="19" w16cid:durableId="1575238796">
    <w:abstractNumId w:val="20"/>
  </w:num>
  <w:num w:numId="20" w16cid:durableId="98457792">
    <w:abstractNumId w:val="25"/>
  </w:num>
  <w:num w:numId="21" w16cid:durableId="456068726">
    <w:abstractNumId w:val="18"/>
  </w:num>
  <w:num w:numId="22" w16cid:durableId="147787616">
    <w:abstractNumId w:val="12"/>
  </w:num>
  <w:num w:numId="23" w16cid:durableId="1204321253">
    <w:abstractNumId w:val="28"/>
  </w:num>
  <w:num w:numId="24" w16cid:durableId="450396129">
    <w:abstractNumId w:val="27"/>
  </w:num>
  <w:num w:numId="25" w16cid:durableId="980573899">
    <w:abstractNumId w:val="23"/>
  </w:num>
  <w:num w:numId="26" w16cid:durableId="1087728949">
    <w:abstractNumId w:val="10"/>
  </w:num>
  <w:num w:numId="27" w16cid:durableId="44109013">
    <w:abstractNumId w:val="22"/>
  </w:num>
  <w:num w:numId="28" w16cid:durableId="267858070">
    <w:abstractNumId w:val="13"/>
  </w:num>
  <w:num w:numId="29" w16cid:durableId="678315263">
    <w:abstractNumId w:val="17"/>
  </w:num>
  <w:num w:numId="30" w16cid:durableId="1327898523">
    <w:abstractNumId w:val="1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3F2"/>
    <w:rsid w:val="00006A6D"/>
    <w:rsid w:val="00013D7B"/>
    <w:rsid w:val="0002706C"/>
    <w:rsid w:val="00030963"/>
    <w:rsid w:val="00031A47"/>
    <w:rsid w:val="00031B67"/>
    <w:rsid w:val="00033DBE"/>
    <w:rsid w:val="00034616"/>
    <w:rsid w:val="00042DE0"/>
    <w:rsid w:val="00054DCF"/>
    <w:rsid w:val="00057195"/>
    <w:rsid w:val="0006063C"/>
    <w:rsid w:val="00063C63"/>
    <w:rsid w:val="0006572C"/>
    <w:rsid w:val="00071D37"/>
    <w:rsid w:val="00072C53"/>
    <w:rsid w:val="00090DD8"/>
    <w:rsid w:val="00096999"/>
    <w:rsid w:val="000B11CE"/>
    <w:rsid w:val="000B34F3"/>
    <w:rsid w:val="000B7BE6"/>
    <w:rsid w:val="000C3440"/>
    <w:rsid w:val="000D103B"/>
    <w:rsid w:val="000F7F83"/>
    <w:rsid w:val="00105FC7"/>
    <w:rsid w:val="00113D83"/>
    <w:rsid w:val="001209F2"/>
    <w:rsid w:val="00127750"/>
    <w:rsid w:val="00133727"/>
    <w:rsid w:val="00133E45"/>
    <w:rsid w:val="00135287"/>
    <w:rsid w:val="001411CE"/>
    <w:rsid w:val="00141B6E"/>
    <w:rsid w:val="00146443"/>
    <w:rsid w:val="0015074B"/>
    <w:rsid w:val="00157708"/>
    <w:rsid w:val="00194038"/>
    <w:rsid w:val="00195CFC"/>
    <w:rsid w:val="001A3E99"/>
    <w:rsid w:val="001D2DA5"/>
    <w:rsid w:val="001E3B28"/>
    <w:rsid w:val="001E60A6"/>
    <w:rsid w:val="00204E97"/>
    <w:rsid w:val="00211133"/>
    <w:rsid w:val="0021462F"/>
    <w:rsid w:val="00217A91"/>
    <w:rsid w:val="00222E28"/>
    <w:rsid w:val="002251B1"/>
    <w:rsid w:val="00227154"/>
    <w:rsid w:val="00234D95"/>
    <w:rsid w:val="002438BE"/>
    <w:rsid w:val="00256F14"/>
    <w:rsid w:val="002612A5"/>
    <w:rsid w:val="002659A6"/>
    <w:rsid w:val="0026634F"/>
    <w:rsid w:val="00266789"/>
    <w:rsid w:val="00275FD9"/>
    <w:rsid w:val="00290A73"/>
    <w:rsid w:val="0029379E"/>
    <w:rsid w:val="0029639D"/>
    <w:rsid w:val="002A4F2A"/>
    <w:rsid w:val="002A5012"/>
    <w:rsid w:val="002A5A15"/>
    <w:rsid w:val="002A68E1"/>
    <w:rsid w:val="002C23EF"/>
    <w:rsid w:val="002C47D6"/>
    <w:rsid w:val="002C6411"/>
    <w:rsid w:val="002C7B2A"/>
    <w:rsid w:val="002D03D4"/>
    <w:rsid w:val="002D33CA"/>
    <w:rsid w:val="002D4CE2"/>
    <w:rsid w:val="002E7929"/>
    <w:rsid w:val="002F3F88"/>
    <w:rsid w:val="00302050"/>
    <w:rsid w:val="00302265"/>
    <w:rsid w:val="00320961"/>
    <w:rsid w:val="00320F4B"/>
    <w:rsid w:val="003232E2"/>
    <w:rsid w:val="00324838"/>
    <w:rsid w:val="00325A1F"/>
    <w:rsid w:val="00326F90"/>
    <w:rsid w:val="0033712E"/>
    <w:rsid w:val="00337C09"/>
    <w:rsid w:val="00352A00"/>
    <w:rsid w:val="00371698"/>
    <w:rsid w:val="00372628"/>
    <w:rsid w:val="00376416"/>
    <w:rsid w:val="0038438A"/>
    <w:rsid w:val="003A029C"/>
    <w:rsid w:val="003A1994"/>
    <w:rsid w:val="003A219F"/>
    <w:rsid w:val="003A56A9"/>
    <w:rsid w:val="003B7BAC"/>
    <w:rsid w:val="003C7C7A"/>
    <w:rsid w:val="003D0FB5"/>
    <w:rsid w:val="003E4FAD"/>
    <w:rsid w:val="0040490D"/>
    <w:rsid w:val="00404A42"/>
    <w:rsid w:val="00405A7C"/>
    <w:rsid w:val="00431996"/>
    <w:rsid w:val="00461A3E"/>
    <w:rsid w:val="004629F0"/>
    <w:rsid w:val="00476FF3"/>
    <w:rsid w:val="00493C9F"/>
    <w:rsid w:val="004B5E8A"/>
    <w:rsid w:val="004C5DF5"/>
    <w:rsid w:val="004D360A"/>
    <w:rsid w:val="004D6FDA"/>
    <w:rsid w:val="004E39F5"/>
    <w:rsid w:val="004E5187"/>
    <w:rsid w:val="004F437D"/>
    <w:rsid w:val="004F5BB8"/>
    <w:rsid w:val="004F7C32"/>
    <w:rsid w:val="005036B0"/>
    <w:rsid w:val="005261B6"/>
    <w:rsid w:val="005278DA"/>
    <w:rsid w:val="0053429F"/>
    <w:rsid w:val="00542C53"/>
    <w:rsid w:val="00552DDC"/>
    <w:rsid w:val="00554134"/>
    <w:rsid w:val="00556BA2"/>
    <w:rsid w:val="00557969"/>
    <w:rsid w:val="00571E77"/>
    <w:rsid w:val="005C0D78"/>
    <w:rsid w:val="005C1D04"/>
    <w:rsid w:val="005D161B"/>
    <w:rsid w:val="005D2A52"/>
    <w:rsid w:val="005E63B7"/>
    <w:rsid w:val="005F4D5D"/>
    <w:rsid w:val="00600DF0"/>
    <w:rsid w:val="0060520C"/>
    <w:rsid w:val="00621502"/>
    <w:rsid w:val="006227CF"/>
    <w:rsid w:val="00637A79"/>
    <w:rsid w:val="00640AA0"/>
    <w:rsid w:val="0064213D"/>
    <w:rsid w:val="00643BF4"/>
    <w:rsid w:val="006455BB"/>
    <w:rsid w:val="006538A1"/>
    <w:rsid w:val="006601ED"/>
    <w:rsid w:val="006601F6"/>
    <w:rsid w:val="00665D19"/>
    <w:rsid w:val="006731C5"/>
    <w:rsid w:val="0068337B"/>
    <w:rsid w:val="0068436D"/>
    <w:rsid w:val="0068627A"/>
    <w:rsid w:val="0069072F"/>
    <w:rsid w:val="006C055F"/>
    <w:rsid w:val="006C4F97"/>
    <w:rsid w:val="006D1358"/>
    <w:rsid w:val="006D47EC"/>
    <w:rsid w:val="006E0141"/>
    <w:rsid w:val="006E559B"/>
    <w:rsid w:val="006F2EB5"/>
    <w:rsid w:val="006F6B07"/>
    <w:rsid w:val="007176D5"/>
    <w:rsid w:val="00717AFD"/>
    <w:rsid w:val="00722751"/>
    <w:rsid w:val="0072676C"/>
    <w:rsid w:val="007367CE"/>
    <w:rsid w:val="007443A2"/>
    <w:rsid w:val="00753677"/>
    <w:rsid w:val="0075759C"/>
    <w:rsid w:val="007575C6"/>
    <w:rsid w:val="007608D1"/>
    <w:rsid w:val="0077185E"/>
    <w:rsid w:val="00772A2C"/>
    <w:rsid w:val="00780F23"/>
    <w:rsid w:val="00782A09"/>
    <w:rsid w:val="00795465"/>
    <w:rsid w:val="007C2906"/>
    <w:rsid w:val="007D17AB"/>
    <w:rsid w:val="007E1D10"/>
    <w:rsid w:val="007E2D61"/>
    <w:rsid w:val="007E764A"/>
    <w:rsid w:val="007F59FF"/>
    <w:rsid w:val="008269DC"/>
    <w:rsid w:val="00850CB2"/>
    <w:rsid w:val="008510C8"/>
    <w:rsid w:val="00852D10"/>
    <w:rsid w:val="008536F4"/>
    <w:rsid w:val="008607A6"/>
    <w:rsid w:val="00884D3E"/>
    <w:rsid w:val="008A0419"/>
    <w:rsid w:val="008A0655"/>
    <w:rsid w:val="008B3C78"/>
    <w:rsid w:val="008B54F2"/>
    <w:rsid w:val="008E22EB"/>
    <w:rsid w:val="008F070C"/>
    <w:rsid w:val="008F2684"/>
    <w:rsid w:val="0090400E"/>
    <w:rsid w:val="00904FBF"/>
    <w:rsid w:val="00921C1A"/>
    <w:rsid w:val="0092377D"/>
    <w:rsid w:val="0093564D"/>
    <w:rsid w:val="00935BEE"/>
    <w:rsid w:val="0095334E"/>
    <w:rsid w:val="00955ED1"/>
    <w:rsid w:val="009703C4"/>
    <w:rsid w:val="00974D01"/>
    <w:rsid w:val="00985036"/>
    <w:rsid w:val="00985473"/>
    <w:rsid w:val="0099434A"/>
    <w:rsid w:val="009973A8"/>
    <w:rsid w:val="009B1481"/>
    <w:rsid w:val="009B3246"/>
    <w:rsid w:val="009C0D35"/>
    <w:rsid w:val="009C28B1"/>
    <w:rsid w:val="009C4CC3"/>
    <w:rsid w:val="009D2B71"/>
    <w:rsid w:val="009E2614"/>
    <w:rsid w:val="009E29A9"/>
    <w:rsid w:val="009F0DBE"/>
    <w:rsid w:val="00A05C24"/>
    <w:rsid w:val="00A109EF"/>
    <w:rsid w:val="00A141ED"/>
    <w:rsid w:val="00A27CFD"/>
    <w:rsid w:val="00A50E3B"/>
    <w:rsid w:val="00A527AB"/>
    <w:rsid w:val="00A62001"/>
    <w:rsid w:val="00A73C82"/>
    <w:rsid w:val="00A76411"/>
    <w:rsid w:val="00A85F34"/>
    <w:rsid w:val="00AA1D8D"/>
    <w:rsid w:val="00AC2B65"/>
    <w:rsid w:val="00AF1EDF"/>
    <w:rsid w:val="00AF6B28"/>
    <w:rsid w:val="00AF738B"/>
    <w:rsid w:val="00B025D9"/>
    <w:rsid w:val="00B0385C"/>
    <w:rsid w:val="00B10A9C"/>
    <w:rsid w:val="00B21B6C"/>
    <w:rsid w:val="00B23D7D"/>
    <w:rsid w:val="00B25088"/>
    <w:rsid w:val="00B433D8"/>
    <w:rsid w:val="00B47730"/>
    <w:rsid w:val="00B54278"/>
    <w:rsid w:val="00B606B5"/>
    <w:rsid w:val="00B642B2"/>
    <w:rsid w:val="00B772D2"/>
    <w:rsid w:val="00B94173"/>
    <w:rsid w:val="00B96E7E"/>
    <w:rsid w:val="00BA03C5"/>
    <w:rsid w:val="00BA3762"/>
    <w:rsid w:val="00BA3AD4"/>
    <w:rsid w:val="00BD32AE"/>
    <w:rsid w:val="00BF3C46"/>
    <w:rsid w:val="00C2240F"/>
    <w:rsid w:val="00C22D1C"/>
    <w:rsid w:val="00C253C3"/>
    <w:rsid w:val="00C2680D"/>
    <w:rsid w:val="00C33CAA"/>
    <w:rsid w:val="00C345AA"/>
    <w:rsid w:val="00C34A4B"/>
    <w:rsid w:val="00C41966"/>
    <w:rsid w:val="00C535DB"/>
    <w:rsid w:val="00C57C39"/>
    <w:rsid w:val="00C605BF"/>
    <w:rsid w:val="00C752C2"/>
    <w:rsid w:val="00C94F54"/>
    <w:rsid w:val="00CA0C8E"/>
    <w:rsid w:val="00CA51EA"/>
    <w:rsid w:val="00CB0664"/>
    <w:rsid w:val="00CB53DB"/>
    <w:rsid w:val="00CB6AF6"/>
    <w:rsid w:val="00CC3283"/>
    <w:rsid w:val="00CD1EDC"/>
    <w:rsid w:val="00CD564E"/>
    <w:rsid w:val="00D00873"/>
    <w:rsid w:val="00D1185E"/>
    <w:rsid w:val="00D12177"/>
    <w:rsid w:val="00D25BA0"/>
    <w:rsid w:val="00D5276B"/>
    <w:rsid w:val="00D619A4"/>
    <w:rsid w:val="00D774E1"/>
    <w:rsid w:val="00D92850"/>
    <w:rsid w:val="00DA53B5"/>
    <w:rsid w:val="00DB0424"/>
    <w:rsid w:val="00DD14D0"/>
    <w:rsid w:val="00DE5E26"/>
    <w:rsid w:val="00E045F6"/>
    <w:rsid w:val="00E04F2D"/>
    <w:rsid w:val="00E10E01"/>
    <w:rsid w:val="00E21DEE"/>
    <w:rsid w:val="00E236C7"/>
    <w:rsid w:val="00E368D9"/>
    <w:rsid w:val="00E526DB"/>
    <w:rsid w:val="00E55D51"/>
    <w:rsid w:val="00E81AB8"/>
    <w:rsid w:val="00E8423E"/>
    <w:rsid w:val="00E87CD1"/>
    <w:rsid w:val="00EA4E73"/>
    <w:rsid w:val="00EB0F21"/>
    <w:rsid w:val="00EB57EC"/>
    <w:rsid w:val="00EB6161"/>
    <w:rsid w:val="00EC03AB"/>
    <w:rsid w:val="00EE1ED4"/>
    <w:rsid w:val="00EE626D"/>
    <w:rsid w:val="00F069C4"/>
    <w:rsid w:val="00F125DC"/>
    <w:rsid w:val="00F377C8"/>
    <w:rsid w:val="00F534C7"/>
    <w:rsid w:val="00F6207A"/>
    <w:rsid w:val="00F858A7"/>
    <w:rsid w:val="00FA2085"/>
    <w:rsid w:val="00FC49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 w:type="paragraph" w:styleId="FootnoteText">
    <w:name w:val="footnote text"/>
    <w:basedOn w:val="Normal"/>
    <w:link w:val="FootnoteTextChar"/>
    <w:uiPriority w:val="99"/>
    <w:semiHidden/>
    <w:unhideWhenUsed/>
    <w:rsid w:val="00904F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BF"/>
    <w:rPr>
      <w:sz w:val="20"/>
      <w:szCs w:val="20"/>
    </w:rPr>
  </w:style>
  <w:style w:type="character" w:styleId="FootnoteReference">
    <w:name w:val="footnote reference"/>
    <w:basedOn w:val="DefaultParagraphFont"/>
    <w:uiPriority w:val="99"/>
    <w:semiHidden/>
    <w:unhideWhenUsed/>
    <w:rsid w:val="00904FBF"/>
    <w:rPr>
      <w:vertAlign w:val="superscript"/>
    </w:rPr>
  </w:style>
  <w:style w:type="paragraph" w:styleId="EndnoteText">
    <w:name w:val="endnote text"/>
    <w:basedOn w:val="Normal"/>
    <w:link w:val="EndnoteTextChar"/>
    <w:uiPriority w:val="99"/>
    <w:semiHidden/>
    <w:unhideWhenUsed/>
    <w:rsid w:val="00542C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2C53"/>
    <w:rPr>
      <w:sz w:val="20"/>
      <w:szCs w:val="20"/>
    </w:rPr>
  </w:style>
  <w:style w:type="character" w:styleId="EndnoteReference">
    <w:name w:val="endnote reference"/>
    <w:basedOn w:val="DefaultParagraphFont"/>
    <w:uiPriority w:val="99"/>
    <w:semiHidden/>
    <w:unhideWhenUsed/>
    <w:rsid w:val="00542C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1268</Words>
  <Characters>7229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2</cp:revision>
  <dcterms:created xsi:type="dcterms:W3CDTF">2026-06-23T22:25:00Z</dcterms:created>
  <dcterms:modified xsi:type="dcterms:W3CDTF">2026-06-23T22:25:00Z</dcterms:modified>
  <cp:category/>
</cp:coreProperties>
</file>