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59" w:lineRule="auto"/>
        <w:jc w:val="left"/>
        <w:rPr>
          <w:rFonts w:cs="Times New Roman"/>
          <w:szCs w:val="24"/>
          <w:lang w:val="en-IN" w:eastAsia="en-IN"/>
        </w:rPr>
      </w:pPr>
    </w:p>
    <w:p>
      <w:pPr>
        <w:spacing w:line="259" w:lineRule="auto"/>
        <w:jc w:val="left"/>
        <w:rPr>
          <w:rFonts w:cs="Times New Roman"/>
          <w:szCs w:val="24"/>
          <w:lang w:val="en-IN" w:eastAsia="en-IN"/>
        </w:rPr>
      </w:pPr>
    </w:p>
    <w:p>
      <w:pPr>
        <w:spacing w:line="259" w:lineRule="auto"/>
        <w:jc w:val="left"/>
        <w:rPr>
          <w:rFonts w:cs="Times New Roman"/>
          <w:szCs w:val="24"/>
          <w:lang w:val="en-IN" w:eastAsia="en-IN"/>
        </w:rPr>
      </w:pPr>
    </w:p>
    <w:p>
      <w:pPr>
        <w:spacing w:line="259" w:lineRule="auto"/>
        <w:jc w:val="left"/>
        <w:rPr>
          <w:rFonts w:cs="Times New Roman"/>
          <w:szCs w:val="24"/>
          <w:lang w:val="en-IN" w:eastAsia="en-IN"/>
        </w:rPr>
      </w:pPr>
    </w:p>
    <w:p>
      <w:pPr>
        <w:spacing w:line="259" w:lineRule="auto"/>
        <w:jc w:val="left"/>
        <w:rPr>
          <w:rFonts w:cs="Times New Roman"/>
          <w:szCs w:val="24"/>
          <w:lang w:val="en-IN" w:eastAsia="en-IN"/>
        </w:rPr>
      </w:pPr>
    </w:p>
    <w:p>
      <w:pPr>
        <w:spacing w:line="259" w:lineRule="auto"/>
        <w:jc w:val="left"/>
        <w:rPr>
          <w:rFonts w:cs="Times New Roman"/>
          <w:szCs w:val="24"/>
          <w:lang w:val="en-IN" w:eastAsia="en-IN"/>
        </w:rPr>
      </w:pPr>
    </w:p>
    <w:p>
      <w:pPr>
        <w:spacing w:line="259" w:lineRule="auto"/>
        <w:jc w:val="left"/>
        <w:rPr>
          <w:rFonts w:cs="Times New Roman"/>
          <w:szCs w:val="24"/>
          <w:lang w:val="en-IN" w:eastAsia="en-IN"/>
        </w:rPr>
      </w:pPr>
    </w:p>
    <w:p>
      <w:pPr>
        <w:spacing w:line="259" w:lineRule="auto"/>
        <w:jc w:val="left"/>
        <w:rPr>
          <w:rFonts w:cs="Times New Roman"/>
          <w:szCs w:val="24"/>
          <w:lang w:val="en-IN" w:eastAsia="en-IN"/>
        </w:rPr>
      </w:pPr>
    </w:p>
    <w:p>
      <w:pPr>
        <w:spacing w:line="259" w:lineRule="auto"/>
        <w:jc w:val="center"/>
        <w:rPr>
          <w:b/>
          <w:bCs/>
          <w:sz w:val="36"/>
          <w:szCs w:val="32"/>
          <w:lang w:val="en-IN" w:eastAsia="en-IN"/>
        </w:rPr>
      </w:pPr>
    </w:p>
    <w:p>
      <w:pPr>
        <w:spacing w:line="259" w:lineRule="auto"/>
        <w:jc w:val="center"/>
        <w:rPr>
          <w:b/>
          <w:bCs/>
          <w:sz w:val="36"/>
          <w:szCs w:val="32"/>
          <w:lang w:val="en-IN" w:eastAsia="en-IN"/>
        </w:rPr>
      </w:pPr>
    </w:p>
    <w:p>
      <w:pPr>
        <w:spacing w:line="259" w:lineRule="auto"/>
        <w:jc w:val="center"/>
        <w:rPr>
          <w:b/>
          <w:bCs/>
          <w:sz w:val="36"/>
          <w:szCs w:val="32"/>
          <w:lang w:val="en-IN" w:eastAsia="en-IN"/>
        </w:rPr>
      </w:pPr>
    </w:p>
    <w:p>
      <w:pPr>
        <w:spacing w:line="259" w:lineRule="auto"/>
        <w:jc w:val="center"/>
        <w:rPr>
          <w:b/>
          <w:bCs/>
          <w:sz w:val="36"/>
          <w:szCs w:val="32"/>
          <w:lang w:val="en-IN" w:eastAsia="en-IN"/>
        </w:rPr>
      </w:pPr>
      <w:r>
        <w:rPr>
          <w:b/>
          <w:bCs/>
          <w:sz w:val="36"/>
          <w:szCs w:val="32"/>
          <w:lang w:val="en-IN" w:eastAsia="en-IN"/>
        </w:rPr>
        <w:t>Personnel Resourcing and Development</w:t>
      </w:r>
    </w:p>
    <w:p>
      <w:pPr>
        <w:spacing w:line="259" w:lineRule="auto"/>
        <w:jc w:val="center"/>
        <w:rPr>
          <w:rFonts w:hint="default" w:cs="Times New Roman"/>
          <w:b/>
          <w:bCs/>
          <w:szCs w:val="24"/>
          <w:lang w:val="ro-RO" w:eastAsia="en-IN"/>
        </w:rPr>
      </w:pPr>
    </w:p>
    <w:p>
      <w:pPr>
        <w:spacing w:line="259" w:lineRule="auto"/>
        <w:jc w:val="center"/>
        <w:rPr>
          <w:rFonts w:hint="default" w:cs="Times New Roman"/>
          <w:b/>
          <w:bCs/>
          <w:szCs w:val="24"/>
          <w:lang w:val="ro-RO" w:eastAsia="en-IN"/>
        </w:rPr>
      </w:pPr>
    </w:p>
    <w:p>
      <w:pPr>
        <w:spacing w:line="259" w:lineRule="auto"/>
        <w:jc w:val="center"/>
        <w:rPr>
          <w:rFonts w:hint="default" w:cs="Times New Roman"/>
          <w:b/>
          <w:bCs/>
          <w:szCs w:val="24"/>
          <w:lang w:val="ro-RO" w:eastAsia="en-IN"/>
        </w:rPr>
      </w:pPr>
    </w:p>
    <w:p>
      <w:pPr>
        <w:spacing w:line="259" w:lineRule="auto"/>
        <w:jc w:val="center"/>
        <w:rPr>
          <w:rFonts w:hint="default" w:cs="Times New Roman"/>
          <w:b/>
          <w:bCs/>
          <w:szCs w:val="24"/>
          <w:lang w:val="ro-RO" w:eastAsia="en-IN"/>
        </w:rPr>
      </w:pPr>
    </w:p>
    <w:p>
      <w:pPr>
        <w:spacing w:line="259" w:lineRule="auto"/>
        <w:jc w:val="center"/>
        <w:rPr>
          <w:rFonts w:hint="default" w:cs="Times New Roman"/>
          <w:b/>
          <w:bCs/>
          <w:szCs w:val="24"/>
          <w:lang w:val="ro-RO" w:eastAsia="en-IN"/>
        </w:rPr>
      </w:pPr>
    </w:p>
    <w:p>
      <w:pPr>
        <w:spacing w:line="259" w:lineRule="auto"/>
        <w:jc w:val="center"/>
        <w:rPr>
          <w:rFonts w:hint="default" w:cs="Times New Roman"/>
          <w:b/>
          <w:bCs/>
          <w:szCs w:val="24"/>
          <w:lang w:val="ro-RO" w:eastAsia="en-IN"/>
        </w:rPr>
      </w:pPr>
    </w:p>
    <w:p>
      <w:pPr>
        <w:spacing w:line="259" w:lineRule="auto"/>
        <w:jc w:val="center"/>
        <w:rPr>
          <w:rFonts w:hint="default" w:cs="Times New Roman"/>
          <w:b/>
          <w:bCs/>
          <w:szCs w:val="24"/>
          <w:lang w:val="ro-RO" w:eastAsia="en-IN"/>
        </w:rPr>
      </w:pPr>
    </w:p>
    <w:p>
      <w:pPr>
        <w:spacing w:line="259" w:lineRule="auto"/>
        <w:jc w:val="center"/>
        <w:rPr>
          <w:rFonts w:hint="default" w:cs="Times New Roman"/>
          <w:b/>
          <w:bCs/>
          <w:szCs w:val="24"/>
          <w:lang w:val="ro-RO" w:eastAsia="en-IN"/>
        </w:rPr>
      </w:pPr>
      <w:r>
        <w:rPr>
          <w:rFonts w:hint="default" w:cs="Times New Roman"/>
          <w:b/>
          <w:bCs/>
          <w:szCs w:val="24"/>
          <w:lang w:val="ro-RO" w:eastAsia="en-IN"/>
        </w:rPr>
        <w:t>Module Title: Personal Resource And Development</w:t>
      </w:r>
    </w:p>
    <w:p>
      <w:pPr>
        <w:spacing w:line="259" w:lineRule="auto"/>
        <w:jc w:val="center"/>
        <w:rPr>
          <w:rFonts w:hint="default" w:cs="Times New Roman"/>
          <w:b/>
          <w:bCs/>
          <w:szCs w:val="24"/>
          <w:lang w:val="ro-RO" w:eastAsia="en-IN"/>
        </w:rPr>
      </w:pPr>
      <w:r>
        <w:rPr>
          <w:rFonts w:hint="default" w:cs="Times New Roman"/>
          <w:b/>
          <w:bCs/>
          <w:szCs w:val="24"/>
          <w:lang w:val="ro-RO" w:eastAsia="en-IN"/>
        </w:rPr>
        <w:t>Module Code :BMID5005</w:t>
      </w:r>
    </w:p>
    <w:p>
      <w:pPr>
        <w:spacing w:line="259" w:lineRule="auto"/>
        <w:jc w:val="center"/>
        <w:rPr>
          <w:rFonts w:hint="default" w:cs="Times New Roman"/>
          <w:b/>
          <w:bCs/>
          <w:szCs w:val="24"/>
          <w:lang w:val="ro-RO" w:eastAsia="en-IN"/>
        </w:rPr>
      </w:pPr>
      <w:r>
        <w:rPr>
          <w:rFonts w:hint="default" w:cs="Times New Roman"/>
          <w:b/>
          <w:bCs/>
          <w:szCs w:val="24"/>
          <w:lang w:val="ro-RO" w:eastAsia="en-IN"/>
        </w:rPr>
        <w:t>Student Name: Luminita Malanciuc</w:t>
      </w:r>
    </w:p>
    <w:p>
      <w:pPr>
        <w:spacing w:line="259" w:lineRule="auto"/>
        <w:jc w:val="center"/>
        <w:rPr>
          <w:rFonts w:hint="default" w:cs="Times New Roman"/>
          <w:b/>
          <w:bCs/>
          <w:szCs w:val="24"/>
          <w:lang w:val="ro-RO" w:eastAsia="en-IN"/>
        </w:rPr>
      </w:pPr>
      <w:r>
        <w:rPr>
          <w:rFonts w:hint="default" w:cs="Times New Roman"/>
          <w:b/>
          <w:bCs/>
          <w:szCs w:val="24"/>
          <w:lang w:val="ro-RO" w:eastAsia="en-IN"/>
        </w:rPr>
        <w:t>Student ID: 2211340</w:t>
      </w:r>
    </w:p>
    <w:p>
      <w:pPr>
        <w:spacing w:line="259" w:lineRule="auto"/>
        <w:jc w:val="center"/>
        <w:rPr>
          <w:rFonts w:hint="default" w:cs="Times New Roman"/>
          <w:b/>
          <w:bCs/>
          <w:szCs w:val="24"/>
          <w:lang w:val="ro-RO" w:eastAsia="en-IN"/>
        </w:rPr>
      </w:pPr>
      <w:r>
        <w:rPr>
          <w:rFonts w:hint="default" w:cs="Times New Roman"/>
          <w:b/>
          <w:bCs/>
          <w:szCs w:val="24"/>
          <w:lang w:val="ro-RO" w:eastAsia="en-IN"/>
        </w:rPr>
        <w:t>Module Lead :Helen Lee</w:t>
      </w:r>
    </w:p>
    <w:p>
      <w:pPr>
        <w:spacing w:line="259" w:lineRule="auto"/>
        <w:jc w:val="center"/>
        <w:rPr>
          <w:rFonts w:hint="default" w:cs="Times New Roman"/>
          <w:b/>
          <w:bCs/>
          <w:szCs w:val="24"/>
          <w:lang w:val="ro-RO" w:eastAsia="en-IN"/>
        </w:rPr>
      </w:pPr>
      <w:r>
        <w:rPr>
          <w:rFonts w:hint="default" w:cs="Times New Roman"/>
          <w:b/>
          <w:bCs/>
          <w:szCs w:val="24"/>
          <w:lang w:val="ro-RO" w:eastAsia="en-IN"/>
        </w:rPr>
        <w:t>Wors:2000</w:t>
      </w:r>
    </w:p>
    <w:p>
      <w:pPr>
        <w:spacing w:line="259" w:lineRule="auto"/>
        <w:jc w:val="center"/>
        <w:rPr>
          <w:lang w:val="en-IN" w:eastAsia="en-IN"/>
        </w:rPr>
      </w:pPr>
      <w:r>
        <w:rPr>
          <w:lang w:val="en-IN" w:eastAsia="en-IN"/>
        </w:rPr>
        <w:br w:type="page"/>
      </w:r>
    </w:p>
    <w:p>
      <w:pPr>
        <w:pStyle w:val="2"/>
        <w:rPr>
          <w:rFonts w:eastAsia="Times New Roman" w:cs="Times New Roman"/>
          <w:szCs w:val="24"/>
          <w:lang w:val="en-IN" w:eastAsia="en-IN"/>
        </w:rPr>
      </w:pPr>
      <w:r>
        <w:rPr>
          <w:rFonts w:eastAsia="Times New Roman"/>
          <w:lang w:val="en-IN" w:eastAsia="en-IN"/>
        </w:rPr>
        <w:t>Introduction</w:t>
      </w:r>
    </w:p>
    <w:p>
      <w:pPr>
        <w:rPr>
          <w:rFonts w:cs="Times New Roman"/>
          <w:szCs w:val="24"/>
          <w:lang w:val="en-IN" w:eastAsia="en-IN"/>
        </w:rPr>
      </w:pPr>
      <w:r>
        <w:rPr>
          <w:lang w:val="en-IN" w:eastAsia="en-IN"/>
        </w:rPr>
        <w:t xml:space="preserve">Employee </w:t>
      </w:r>
      <w:r>
        <w:rPr>
          <w:lang w:val="ro-RO" w:eastAsia="en-IN"/>
        </w:rPr>
        <w:t>life cycle</w:t>
      </w:r>
      <w:r>
        <w:rPr>
          <w:lang w:val="en-IN" w:eastAsia="en-IN"/>
        </w:rPr>
        <w:t xml:space="preserve"> is a model which is used to identify all those various phases and stages that an employee or staff goes through with their company.  Employee engagement means how much the employees are committed and connected towards their company. Human resource departments are responsible for employee engagement and this respective department takes different measures to increase employee engagement. This essay will provide a description of the role of the human resource department in employee engagement. Along with that, the characteristics of Generation Y and Z will be elaborated in this essay. There are various types of employee engagement procedures and all those different techniques are going to be discussed in this essay. Every industry benefits from employee engagement and the advantages of that respective thing will be discussed in this essay. Various employee engagement models and theories help the human resource department for managing the workforce. One of the employee engagement models will be explained in this essay to justify the above-mentioned line. The Imperial Hotel in the UK has a large number of human assets, in this case, the HR department of this company is effectively accomplishing their goal for employee engagement. The necessity of employee engagement and the role of the HR department for this respective purpose will be based on the hospitality industry in this essay. </w:t>
      </w:r>
    </w:p>
    <w:p>
      <w:pPr>
        <w:spacing w:line="259" w:lineRule="auto"/>
        <w:jc w:val="left"/>
        <w:rPr>
          <w:lang w:val="en-IN" w:eastAsia="en-IN"/>
        </w:rPr>
      </w:pPr>
      <w:r>
        <w:rPr>
          <w:lang w:val="en-IN" w:eastAsia="en-IN"/>
        </w:rPr>
        <w:br w:type="page"/>
      </w:r>
    </w:p>
    <w:p>
      <w:pPr>
        <w:pStyle w:val="2"/>
        <w:rPr>
          <w:rFonts w:eastAsia="Times New Roman" w:cs="Times New Roman"/>
          <w:szCs w:val="24"/>
          <w:lang w:val="en-IN" w:eastAsia="en-IN"/>
        </w:rPr>
      </w:pPr>
      <w:r>
        <w:rPr>
          <w:rFonts w:eastAsia="Times New Roman"/>
          <w:lang w:val="en-IN" w:eastAsia="en-IN"/>
        </w:rPr>
        <w:t>Discussion </w:t>
      </w:r>
    </w:p>
    <w:p>
      <w:pPr>
        <w:rPr>
          <w:rFonts w:cs="Times New Roman"/>
          <w:szCs w:val="24"/>
          <w:lang w:val="en-IN" w:eastAsia="en-IN"/>
        </w:rPr>
      </w:pPr>
      <w:r>
        <w:rPr>
          <w:lang w:val="en-IN" w:eastAsia="en-IN"/>
        </w:rPr>
        <w:t>Employee engagement provides indirect and direct growth to a business firm and side by side, lack of employee engagement can raise different challenges within an organisation (</w:t>
      </w:r>
      <w:r>
        <w:rPr>
          <w:shd w:val="clear" w:color="auto" w:fill="FFFFFF"/>
        </w:rPr>
        <w:t xml:space="preserve">Adisa </w:t>
      </w:r>
      <w:r>
        <w:rPr>
          <w:i/>
          <w:iCs/>
          <w:shd w:val="clear" w:color="auto" w:fill="FFFFFF"/>
        </w:rPr>
        <w:t>et al.</w:t>
      </w:r>
      <w:r>
        <w:rPr>
          <w:shd w:val="clear" w:color="auto" w:fill="FFFFFF"/>
        </w:rPr>
        <w:t>, 2023)</w:t>
      </w:r>
      <w:r>
        <w:rPr>
          <w:lang w:val="en-IN" w:eastAsia="en-IN"/>
        </w:rPr>
        <w:t>. The human resource managers have to manage this employee engagement issue on behalf of the business entity. Human asset managers take different initiatives for maintaining employee engagement. The HR department can firstly motivate its employee base and motivation can automatically tend towards dedication towards the respective business firm. Apart from motivation, the managers can prepare a very good work environment for the office employees. The issues which employees are facing at the time of working can be managed and sorted out by the HR department (</w:t>
      </w:r>
      <w:r>
        <w:rPr>
          <w:shd w:val="clear" w:color="auto" w:fill="FFFFFF"/>
        </w:rPr>
        <w:t>Ababneh, 2021)</w:t>
      </w:r>
      <w:r>
        <w:rPr>
          <w:lang w:val="en-IN" w:eastAsia="en-IN"/>
        </w:rPr>
        <w:t>. The higher authority can organise workshops and training for the newcomers, which will increase the confidence of those new employees. Even experienced employees sometimes need to become accustomed to the new atmosphere and some specific workshops also can be organised for those new experienced employees. Leave and vacation also increases the motivation of the employees and it helps to increase employee engagement.  HR managers prepare plans, impose those prepared plans and observe all these above-mentioned techniques and with that, the respective department fulfils its responsibility and role (</w:t>
      </w:r>
      <w:r>
        <w:rPr>
          <w:shd w:val="clear" w:color="auto" w:fill="FFFFFF"/>
        </w:rPr>
        <w:t xml:space="preserve">Aboramadan </w:t>
      </w:r>
      <w:r>
        <w:rPr>
          <w:i/>
          <w:iCs/>
          <w:shd w:val="clear" w:color="auto" w:fill="FFFFFF"/>
        </w:rPr>
        <w:t>et al.</w:t>
      </w:r>
      <w:r>
        <w:rPr>
          <w:shd w:val="clear" w:color="auto" w:fill="FFFFFF"/>
        </w:rPr>
        <w:t>, 2020)</w:t>
      </w:r>
      <w:r>
        <w:rPr>
          <w:lang w:val="en-IN" w:eastAsia="en-IN"/>
        </w:rPr>
        <w:t>.  </w:t>
      </w:r>
    </w:p>
    <w:p>
      <w:pPr>
        <w:rPr>
          <w:rFonts w:cs="Times New Roman"/>
          <w:szCs w:val="24"/>
          <w:lang w:val="en-IN" w:eastAsia="en-IN"/>
        </w:rPr>
      </w:pPr>
      <w:r>
        <w:rPr>
          <w:lang w:val="en-IN" w:eastAsia="en-IN"/>
        </w:rPr>
        <w:t>The people born between 1965 and 1981 are known as Generation X, it is very easy to understand that these age groups are quite aged and the characteristics of these age groups are quite different from young age people. Basically, after suffering a bad time in life these generations become very hardworking. Individualism, addiction to work and ambition is the feature of this generation. The people born between 1982 and 1994 are called Generation Y, Side by side this generation is also known as the millennials (</w:t>
      </w:r>
      <w:r>
        <w:rPr>
          <w:shd w:val="clear" w:color="auto" w:fill="FFFFFF"/>
        </w:rPr>
        <w:t>Chacko and Conway, 2019)</w:t>
      </w:r>
      <w:r>
        <w:rPr>
          <w:lang w:val="en-IN" w:eastAsia="en-IN"/>
        </w:rPr>
        <w:t>. The revolution took shape with the help of millennials and due to this reason, this age group is called the digital native. These respective generations have not witnessed an economic crisis and due to this reason, they did find their job quite easily. However, generation Y is not satisfied with their surrounding world due to this reason they are known as a little lazy, spoiled and narcissistic (</w:t>
      </w:r>
      <w:r>
        <w:rPr>
          <w:shd w:val="clear" w:color="auto" w:fill="FFFFFF"/>
        </w:rPr>
        <w:t>Turner, 2019)</w:t>
      </w:r>
      <w:r>
        <w:rPr>
          <w:lang w:val="en-IN" w:eastAsia="en-IN"/>
        </w:rPr>
        <w:t>. The age group of eight and twenty-three are called Generation Z, the oldest people of Generation Z were born in 1995 and the youngest people were born in 2010. Finding a job for this generation was worse and due to this reason, this generation is tending towards blogging, you tubing. </w:t>
      </w:r>
    </w:p>
    <w:p>
      <w:pPr>
        <w:rPr>
          <w:rFonts w:cs="Times New Roman"/>
          <w:szCs w:val="24"/>
          <w:lang w:val="en-IN" w:eastAsia="en-IN"/>
        </w:rPr>
      </w:pPr>
      <w:r>
        <w:rPr>
          <w:lang w:val="en-IN" w:eastAsia="en-IN"/>
        </w:rPr>
        <w:t>An organisation gets various advantages through employee engagement and it can be done with some specific stages (</w:t>
      </w:r>
      <w:r>
        <w:rPr>
          <w:shd w:val="clear" w:color="auto" w:fill="FFFFFF"/>
        </w:rPr>
        <w:t xml:space="preserve">Monje-Amor </w:t>
      </w:r>
      <w:r>
        <w:rPr>
          <w:i/>
          <w:iCs/>
          <w:shd w:val="clear" w:color="auto" w:fill="FFFFFF"/>
        </w:rPr>
        <w:t>et al</w:t>
      </w:r>
      <w:r>
        <w:rPr>
          <w:shd w:val="clear" w:color="auto" w:fill="FFFFFF"/>
        </w:rPr>
        <w:t>., 2021)</w:t>
      </w:r>
      <w:r>
        <w:rPr>
          <w:lang w:val="en-IN" w:eastAsia="en-IN"/>
        </w:rPr>
        <w:t>. It is very certain and specific that human resource managers build the bridge between employee and organisational goals and due to that, this department plays an important role over there. The engagement can be created by making the workers feel that the organisation is valuable to them. Team engagement increases when the managerial department talks openly with the employees. The HR department can make its workforce familiar with the organisational culture and with the goal of the business organisation (</w:t>
      </w:r>
      <w:r>
        <w:rPr>
          <w:shd w:val="clear" w:color="auto" w:fill="FFFFFF"/>
        </w:rPr>
        <w:t>Hamadamin and Atan, 2019)</w:t>
      </w:r>
      <w:r>
        <w:rPr>
          <w:lang w:val="en-IN" w:eastAsia="en-IN"/>
        </w:rPr>
        <w:t>. Apart from all these things employee engagement can be increased by praising the effort and work performance of the employees. The employees can be provided good remuneration and incentives for their hard work. With this above-mentioned procedure, the team engagement can be increased. The team will be more united, and productive for the company if the employee engagement is there. The business entity will earn extra profit and the revenue margin will be increased with employee engagement (</w:t>
      </w:r>
      <w:r>
        <w:rPr>
          <w:shd w:val="clear" w:color="auto" w:fill="FFFFFF"/>
        </w:rPr>
        <w:t xml:space="preserve">Aruldoss </w:t>
      </w:r>
      <w:r>
        <w:rPr>
          <w:i/>
          <w:iCs/>
          <w:shd w:val="clear" w:color="auto" w:fill="FFFFFF"/>
        </w:rPr>
        <w:t>et al.</w:t>
      </w:r>
      <w:r>
        <w:rPr>
          <w:shd w:val="clear" w:color="auto" w:fill="FFFFFF"/>
        </w:rPr>
        <w:t>, 2021)</w:t>
      </w:r>
      <w:r>
        <w:rPr>
          <w:lang w:val="en-IN" w:eastAsia="en-IN"/>
        </w:rPr>
        <w:t xml:space="preserve">. The employee turnover rate will be decreased with these measures along with that the company will save the recruitment and training costs with employee engagement. </w:t>
      </w:r>
    </w:p>
    <w:p>
      <w:pPr>
        <w:rPr>
          <w:rFonts w:cs="Times New Roman"/>
          <w:szCs w:val="24"/>
          <w:lang w:val="en-IN" w:eastAsia="en-IN"/>
        </w:rPr>
      </w:pPr>
      <w:r>
        <w:rPr>
          <w:lang w:val="en-IN" w:eastAsia="en-IN"/>
        </w:rPr>
        <w:t>The employees go through certain phases such as attraction, recruitment, onboarding, development, retention and separation, which is called the employee lifecycle. Very normally the HR managers have to deal with this employee life cycle (</w:t>
      </w:r>
      <w:r>
        <w:rPr>
          <w:shd w:val="clear" w:color="auto" w:fill="FFFFFF"/>
        </w:rPr>
        <w:t xml:space="preserve">Riyanto </w:t>
      </w:r>
      <w:r>
        <w:rPr>
          <w:i/>
          <w:iCs/>
          <w:shd w:val="clear" w:color="auto" w:fill="FFFFFF"/>
        </w:rPr>
        <w:t>et al</w:t>
      </w:r>
      <w:r>
        <w:rPr>
          <w:shd w:val="clear" w:color="auto" w:fill="FFFFFF"/>
        </w:rPr>
        <w:t>., 2021)</w:t>
      </w:r>
      <w:r>
        <w:rPr>
          <w:lang w:val="en-IN" w:eastAsia="en-IN"/>
        </w:rPr>
        <w:t>. The employee life cycle even differs from generation to generation as The X generation has witnessed the reconstruction of the UK and after the phase of war finding a job was not easy for them. Due to this reason, it will be difficult to attract them very easily, again retention will be difficult for Generation Y. Technology has become a part of the life of this Y generation and every activity of this generation is mediated by a screen. Attraction can be done through different employee-friendly policies (</w:t>
      </w:r>
      <w:r>
        <w:rPr>
          <w:shd w:val="clear" w:color="auto" w:fill="FFFFFF"/>
        </w:rPr>
        <w:t>Almeida and Coelho, 2019)</w:t>
      </w:r>
      <w:r>
        <w:rPr>
          <w:lang w:val="en-IN" w:eastAsia="en-IN"/>
        </w:rPr>
        <w:t>. After that, the HR department has to take a big responsibility for recruitment procedures. Within the onboarding process, the training and workshop procedures are included. Within the development procedure, the development of the employee's career and the development of the organisation both are observed and Generation Z is very helpful for this step. This generation has both the quality of socializing and being an introvert, however, this generation is innovative and ambitious and due to that the development process will increase (</w:t>
      </w:r>
      <w:r>
        <w:rPr>
          <w:shd w:val="clear" w:color="auto" w:fill="FFFFFF"/>
        </w:rPr>
        <w:t xml:space="preserve">Geisler </w:t>
      </w:r>
      <w:r>
        <w:rPr>
          <w:i/>
          <w:iCs/>
          <w:shd w:val="clear" w:color="auto" w:fill="FFFFFF"/>
        </w:rPr>
        <w:t>et al.</w:t>
      </w:r>
      <w:r>
        <w:rPr>
          <w:shd w:val="clear" w:color="auto" w:fill="FFFFFF"/>
        </w:rPr>
        <w:t>, 2019)</w:t>
      </w:r>
      <w:r>
        <w:rPr>
          <w:lang w:val="en-IN" w:eastAsia="en-IN"/>
        </w:rPr>
        <w:t>. The retention and separation come in the last stage of the employee life cycle. </w:t>
      </w:r>
    </w:p>
    <w:p>
      <w:pPr>
        <w:rPr>
          <w:rFonts w:cs="Times New Roman"/>
          <w:szCs w:val="24"/>
          <w:lang w:val="en-IN" w:eastAsia="en-IN"/>
        </w:rPr>
      </w:pPr>
      <w:r>
        <w:rPr>
          <w:lang w:val="en-IN" w:eastAsia="en-IN"/>
        </w:rPr>
        <w:t>Team engagement can be done in different ways such as, by providing good remuneration, leave and so on. However, different industries need to impose some specific techniques for employee engagement. The employees of the hospitality industry require some sensible treatment from the HR managers along a high amount of remuneration is required to the employee (</w:t>
      </w:r>
      <w:r>
        <w:rPr>
          <w:shd w:val="clear" w:color="auto" w:fill="FFFFFF"/>
        </w:rPr>
        <w:t xml:space="preserve">Geisler </w:t>
      </w:r>
      <w:r>
        <w:rPr>
          <w:i/>
          <w:iCs/>
          <w:shd w:val="clear" w:color="auto" w:fill="FFFFFF"/>
        </w:rPr>
        <w:t>et al.</w:t>
      </w:r>
      <w:r>
        <w:rPr>
          <w:shd w:val="clear" w:color="auto" w:fill="FFFFFF"/>
        </w:rPr>
        <w:t>, 2019)</w:t>
      </w:r>
      <w:r>
        <w:rPr>
          <w:lang w:val="en-IN" w:eastAsia="en-IN"/>
        </w:rPr>
        <w:t>. Different generations need distinct motivation and due to that employee engagement can be done as per the age group. The new Z generation is very much ambitious and they are willing to have career growth. The Z generation can be engaged if the company provides developing careers to the employees. The Y generation can be engaged in an organisation if they are getting a good salary, which means these groups of age tend to have excessive money. The X generation is hardworking and they can be engaged in a team with good mental and emotional connections (</w:t>
      </w:r>
      <w:r>
        <w:rPr>
          <w:shd w:val="clear" w:color="auto" w:fill="FFFFFF"/>
        </w:rPr>
        <w:t xml:space="preserve">Geisler </w:t>
      </w:r>
      <w:r>
        <w:rPr>
          <w:i/>
          <w:iCs/>
          <w:shd w:val="clear" w:color="auto" w:fill="FFFFFF"/>
        </w:rPr>
        <w:t>et al.</w:t>
      </w:r>
      <w:r>
        <w:rPr>
          <w:shd w:val="clear" w:color="auto" w:fill="FFFFFF"/>
        </w:rPr>
        <w:t>, 2019)</w:t>
      </w:r>
      <w:r>
        <w:rPr>
          <w:lang w:val="en-IN" w:eastAsia="en-IN"/>
        </w:rPr>
        <w:t>. It means if the HR is providing good motivation to this generation the team engagement process will be easy. </w:t>
      </w:r>
    </w:p>
    <w:p>
      <w:pPr>
        <w:rPr>
          <w:rFonts w:cs="Times New Roman"/>
          <w:szCs w:val="24"/>
          <w:lang w:val="en-IN" w:eastAsia="en-IN"/>
        </w:rPr>
      </w:pPr>
      <w:r>
        <w:rPr>
          <w:lang w:val="en-IN" w:eastAsia="en-IN"/>
        </w:rPr>
        <w:t>Various Employee engagement models help HR managers fulfil their duties. Some employee engagement models are The Zinger model, The Deloitte model and The AON Hewitt model. The Zinger model can be discussed for a better understanding of employee engagement and the benefits of employee engagement. The model is shaped like a pyramid and in the bottom row of the model, necessary things of an employee have been engaged (</w:t>
      </w:r>
      <w:r>
        <w:rPr>
          <w:shd w:val="clear" w:color="auto" w:fill="FFFFFF"/>
        </w:rPr>
        <w:t>Almeida and Coelho, 2019)</w:t>
      </w:r>
      <w:r>
        <w:rPr>
          <w:lang w:val="en-IN" w:eastAsia="en-IN"/>
        </w:rPr>
        <w:t>. The bottom row states that not sacrificing the physical stamina of an employee can make that employee engage. Apart from that a place can be prepared where the employees will do exercise and increase their stamina. Whenever an employee is getting interest from its working environment it is engaging the employee similarly, the employee should feel that he is doing meaningful work. The second row of the model says that the employee must relate with their colleagues and managers, this relation will increase the engagement (</w:t>
      </w:r>
      <w:r>
        <w:rPr>
          <w:shd w:val="clear" w:color="auto" w:fill="FFFFFF"/>
        </w:rPr>
        <w:t xml:space="preserve">Abualigah </w:t>
      </w:r>
      <w:r>
        <w:rPr>
          <w:i/>
          <w:iCs/>
          <w:shd w:val="clear" w:color="auto" w:fill="FFFFFF"/>
        </w:rPr>
        <w:t>et al.</w:t>
      </w:r>
      <w:r>
        <w:rPr>
          <w:shd w:val="clear" w:color="auto" w:fill="FFFFFF"/>
        </w:rPr>
        <w:t>, 2023)</w:t>
      </w:r>
      <w:r>
        <w:rPr>
          <w:lang w:val="en-IN" w:eastAsia="en-IN"/>
        </w:rPr>
        <w:t xml:space="preserve">. Along with this, the employee must be present emotionally within the organisation. The third row of this model states that the employee must be recognised for his skill and based on that the promotion of the employee must be decided. The model can be imposed within the hospitality industry for example in the Imperial Hotel, for the observation of the effectiveness of this model. </w:t>
      </w:r>
    </w:p>
    <w:p>
      <w:pPr>
        <w:rPr>
          <w:rFonts w:cs="Times New Roman"/>
          <w:szCs w:val="24"/>
          <w:lang w:val="en-IN" w:eastAsia="en-IN"/>
        </w:rPr>
      </w:pPr>
      <w:r>
        <w:rPr>
          <w:lang w:val="en-IN" w:eastAsia="en-IN"/>
        </w:rPr>
        <w:t>The hospitality industry uses some specific employee engagement models which are not appropriate for other industries (</w:t>
      </w:r>
      <w:r>
        <w:rPr>
          <w:shd w:val="clear" w:color="auto" w:fill="FFFFFF"/>
        </w:rPr>
        <w:t xml:space="preserve">Riyanto </w:t>
      </w:r>
      <w:r>
        <w:rPr>
          <w:i/>
          <w:iCs/>
          <w:shd w:val="clear" w:color="auto" w:fill="FFFFFF"/>
        </w:rPr>
        <w:t>et al</w:t>
      </w:r>
      <w:r>
        <w:rPr>
          <w:shd w:val="clear" w:color="auto" w:fill="FFFFFF"/>
        </w:rPr>
        <w:t>., 2021)</w:t>
      </w:r>
      <w:r>
        <w:rPr>
          <w:lang w:val="en-IN" w:eastAsia="en-IN"/>
        </w:rPr>
        <w:t>. The hospitality industry must provide some specific and proper training to its employees by which the employees will fulfil their duties. The Hospitality industry chooses its employees very selectively and it is the responsibility of the HR managers. The employees of this industry first need to collect an academic degree however, sometimes conventionally uneducated are also selected within this industry. However, those candidates must have some internal skills within them to be selected by the HR team (</w:t>
      </w:r>
      <w:r>
        <w:rPr>
          <w:shd w:val="clear" w:color="auto" w:fill="FFFFFF"/>
        </w:rPr>
        <w:t>Iddagoda and Opatha, 2020)</w:t>
      </w:r>
      <w:r>
        <w:rPr>
          <w:lang w:val="en-IN" w:eastAsia="en-IN"/>
        </w:rPr>
        <w:t>. The employees of the hospitality industry must be pleasant in nature and the staff must have a huge level of patience. The HR department must provide training to employees who are complete novices and do not have any knowledge regarding their jobs (</w:t>
      </w:r>
      <w:r>
        <w:rPr>
          <w:shd w:val="clear" w:color="auto" w:fill="FFFFFF"/>
        </w:rPr>
        <w:t xml:space="preserve">Katou </w:t>
      </w:r>
      <w:r>
        <w:rPr>
          <w:i/>
          <w:iCs/>
          <w:shd w:val="clear" w:color="auto" w:fill="FFFFFF"/>
        </w:rPr>
        <w:t>et al.</w:t>
      </w:r>
      <w:r>
        <w:rPr>
          <w:shd w:val="clear" w:color="auto" w:fill="FFFFFF"/>
        </w:rPr>
        <w:t>, 2021)</w:t>
      </w:r>
      <w:r>
        <w:rPr>
          <w:lang w:val="en-IN" w:eastAsia="en-IN"/>
        </w:rPr>
        <w:t xml:space="preserve">. Those employees who have conventional educational degrees, however, do not have any good level of patience also taught by the HR department. The Imperial Hotel which has been running its business from the year 1907 must follow some employee engagement model. Almost 1000 employees are working for the company and this huge employee base is managed by the HR department </w:t>
      </w:r>
      <w:sdt>
        <w:sdtPr>
          <w:rPr>
            <w:lang w:val="en-IN" w:eastAsia="en-IN"/>
          </w:rPr>
          <w:id w:val="353698122"/>
        </w:sdtPr>
        <w:sdtEndPr>
          <w:rPr>
            <w:lang w:val="en-IN" w:eastAsia="en-IN"/>
          </w:rPr>
        </w:sdtEndPr>
        <w:sdtContent>
          <w:r>
            <w:rPr>
              <w:lang w:val="en-IN" w:eastAsia="en-IN"/>
            </w:rPr>
            <w:fldChar w:fldCharType="begin"/>
          </w:r>
          <w:r>
            <w:rPr>
              <w:lang w:val="en-US" w:eastAsia="en-IN"/>
            </w:rPr>
            <w:instrText xml:space="preserve"> CITATION Imp23 \l 1033 </w:instrText>
          </w:r>
          <w:r>
            <w:rPr>
              <w:lang w:val="en-IN" w:eastAsia="en-IN"/>
            </w:rPr>
            <w:fldChar w:fldCharType="separate"/>
          </w:r>
          <w:r>
            <w:rPr>
              <w:lang w:val="en-US" w:eastAsia="en-IN"/>
            </w:rPr>
            <w:t>(Imperialhotels, 2023)</w:t>
          </w:r>
          <w:r>
            <w:rPr>
              <w:lang w:val="en-IN" w:eastAsia="en-IN"/>
            </w:rPr>
            <w:fldChar w:fldCharType="end"/>
          </w:r>
        </w:sdtContent>
      </w:sdt>
      <w:r>
        <w:rPr>
          <w:lang w:val="en-IN" w:eastAsia="en-IN"/>
        </w:rPr>
        <w:t>. </w:t>
      </w:r>
    </w:p>
    <w:p>
      <w:pPr>
        <w:rPr>
          <w:rFonts w:cs="Times New Roman"/>
          <w:szCs w:val="24"/>
          <w:lang w:val="en-IN" w:eastAsia="en-IN"/>
        </w:rPr>
      </w:pPr>
    </w:p>
    <w:p>
      <w:pPr>
        <w:spacing w:line="259" w:lineRule="auto"/>
        <w:jc w:val="left"/>
        <w:rPr>
          <w:lang w:val="en-IN" w:eastAsia="en-IN"/>
        </w:rPr>
      </w:pPr>
      <w:r>
        <w:rPr>
          <w:lang w:val="en-IN" w:eastAsia="en-IN"/>
        </w:rPr>
        <w:br w:type="page"/>
      </w:r>
    </w:p>
    <w:p>
      <w:pPr>
        <w:pStyle w:val="2"/>
        <w:rPr>
          <w:rFonts w:cs="Times New Roman"/>
          <w:szCs w:val="24"/>
          <w:lang w:val="en-IN" w:eastAsia="en-IN"/>
        </w:rPr>
      </w:pPr>
      <w:r>
        <w:rPr>
          <w:rFonts w:eastAsia="Times New Roman"/>
          <w:lang w:val="en-IN" w:eastAsia="en-IN"/>
        </w:rPr>
        <w:t>Conclusion</w:t>
      </w:r>
    </w:p>
    <w:p>
      <w:pPr>
        <w:rPr>
          <w:lang w:val="en-IN" w:eastAsia="en-IN"/>
        </w:rPr>
      </w:pPr>
      <w:r>
        <w:rPr>
          <w:lang w:val="en-IN" w:eastAsia="en-IN"/>
        </w:rPr>
        <w:t xml:space="preserve">The essay has covered different aspects of employee engagement and the role of the HR Department in this respective technique. The HR department usually motivates its employees and the different age groups become motivated differently. Three different age groups which are generation X, generation Y and generation Z have been mentioned in this essay. Furthermore, the characteristics and features of this age group have been mentioned in this essay. How the HR department can manage employee engagement and through that it can fulfil its role has been described in this essay. The essay has discussed the ways of employee engagement and how it benefits the firm. An employee goes through different phases and that is called the employee life cycle. Life cycle of an employee consists attraction firstly, then recruitment secondly, onboarding thirdly and so on. Within the employee life cycle an employee faces attraction, recruitment, onboarding, development, retention and separation. A human resource manager also has to deal with an employee and the employee's life cycle. The entire employee life cycle has been described in this essay apart from that, which phase of the employee life cycle is appropriate for which generation also has been mentioned. The process of employee engagement has been described based on the hospitality industry. The Zinger model has been explained for employee engagement and how it could be imposed within the organisation also has been mentioned.  The essay has linked employee engagement with HR responsibility along with how employee engagement can be imposed which also has been mentioned. Lastly, the essay has provided examples of a specific company from the hospitality industry which has provided convincing information. </w:t>
      </w:r>
    </w:p>
    <w:p>
      <w:pPr>
        <w:spacing w:line="259" w:lineRule="auto"/>
        <w:jc w:val="left"/>
        <w:rPr>
          <w:lang w:val="en-IN" w:eastAsia="en-IN"/>
        </w:rPr>
      </w:pPr>
      <w:r>
        <w:rPr>
          <w:lang w:val="en-IN" w:eastAsia="en-IN"/>
        </w:rPr>
        <w:br w:type="page"/>
      </w:r>
    </w:p>
    <w:p>
      <w:pPr>
        <w:pStyle w:val="2"/>
      </w:pPr>
      <w:r>
        <w:t>References</w:t>
      </w:r>
    </w:p>
    <w:p>
      <w:pPr>
        <w:rPr>
          <w:shd w:val="clear" w:color="auto" w:fill="FFFFFF"/>
        </w:rPr>
      </w:pPr>
      <w:r>
        <w:rPr>
          <w:shd w:val="clear" w:color="auto" w:fill="FFFFFF"/>
        </w:rPr>
        <w:t>Ababneh, O.M.A., (2021). How do green HRM practices affect employees’ green behaviors? The role of employee engagement and personality attributes. </w:t>
      </w:r>
      <w:r>
        <w:rPr>
          <w:i/>
          <w:iCs/>
          <w:shd w:val="clear" w:color="auto" w:fill="FFFFFF"/>
        </w:rPr>
        <w:t>Journal of Environmental Planning and Management</w:t>
      </w:r>
      <w:r>
        <w:rPr>
          <w:shd w:val="clear" w:color="auto" w:fill="FFFFFF"/>
        </w:rPr>
        <w:t>, </w:t>
      </w:r>
      <w:r>
        <w:rPr>
          <w:i/>
          <w:iCs/>
          <w:shd w:val="clear" w:color="auto" w:fill="FFFFFF"/>
        </w:rPr>
        <w:t>64</w:t>
      </w:r>
      <w:r>
        <w:rPr>
          <w:shd w:val="clear" w:color="auto" w:fill="FFFFFF"/>
        </w:rPr>
        <w:t>(7), pp.1204-1226.</w:t>
      </w:r>
    </w:p>
    <w:p>
      <w:pPr>
        <w:rPr>
          <w:shd w:val="clear" w:color="auto" w:fill="FFFFFF"/>
        </w:rPr>
      </w:pPr>
      <w:r>
        <w:rPr>
          <w:shd w:val="clear" w:color="auto" w:fill="FFFFFF"/>
        </w:rPr>
        <w:t>Aboramadan, M., Albashiti, B., Alharazin, H. and Dahleez, K.A., (2020). Human resources management practices and organizational commitment in higher education: The mediating role of work engagement. </w:t>
      </w:r>
      <w:r>
        <w:rPr>
          <w:i/>
          <w:iCs/>
          <w:shd w:val="clear" w:color="auto" w:fill="FFFFFF"/>
        </w:rPr>
        <w:t>International Journal of Educational Management</w:t>
      </w:r>
      <w:r>
        <w:rPr>
          <w:shd w:val="clear" w:color="auto" w:fill="FFFFFF"/>
        </w:rPr>
        <w:t>, </w:t>
      </w:r>
      <w:r>
        <w:rPr>
          <w:i/>
          <w:iCs/>
          <w:shd w:val="clear" w:color="auto" w:fill="FFFFFF"/>
        </w:rPr>
        <w:t>34</w:t>
      </w:r>
      <w:r>
        <w:rPr>
          <w:shd w:val="clear" w:color="auto" w:fill="FFFFFF"/>
        </w:rPr>
        <w:t>(1), pp.154-174.</w:t>
      </w:r>
    </w:p>
    <w:p>
      <w:pPr>
        <w:rPr>
          <w:shd w:val="clear" w:color="auto" w:fill="FFFFFF"/>
        </w:rPr>
      </w:pPr>
      <w:r>
        <w:rPr>
          <w:shd w:val="clear" w:color="auto" w:fill="FFFFFF"/>
        </w:rPr>
        <w:t>Abualigah, A., Koburtay, T., Bourini, I., Badar, K. and Gerged, A.M., (2023). Towards sustainable development in the hospitality sector: Does green human resource management stimulate green creativity? A moderated mediation model. </w:t>
      </w:r>
      <w:r>
        <w:rPr>
          <w:i/>
          <w:iCs/>
          <w:shd w:val="clear" w:color="auto" w:fill="FFFFFF"/>
        </w:rPr>
        <w:t>Business Strategy and the Environment</w:t>
      </w:r>
      <w:r>
        <w:rPr>
          <w:shd w:val="clear" w:color="auto" w:fill="FFFFFF"/>
        </w:rPr>
        <w:t>, </w:t>
      </w:r>
      <w:r>
        <w:rPr>
          <w:i/>
          <w:iCs/>
          <w:shd w:val="clear" w:color="auto" w:fill="FFFFFF"/>
        </w:rPr>
        <w:t>32</w:t>
      </w:r>
      <w:r>
        <w:rPr>
          <w:shd w:val="clear" w:color="auto" w:fill="FFFFFF"/>
        </w:rPr>
        <w:t>(6), pp.3217-3232.</w:t>
      </w:r>
    </w:p>
    <w:p>
      <w:pPr>
        <w:rPr>
          <w:shd w:val="clear" w:color="auto" w:fill="FFFFFF"/>
        </w:rPr>
      </w:pPr>
      <w:r>
        <w:rPr>
          <w:shd w:val="clear" w:color="auto" w:fill="FFFFFF"/>
        </w:rPr>
        <w:t>Adisa, T.A., Ogbonnaya, C. and Adekoya, O.D., (2023). Remote working and employee engagement: a qualitative study of British workers during the pandemic. </w:t>
      </w:r>
      <w:r>
        <w:rPr>
          <w:i/>
          <w:iCs/>
          <w:shd w:val="clear" w:color="auto" w:fill="FFFFFF"/>
        </w:rPr>
        <w:t>Information Technology &amp; People</w:t>
      </w:r>
      <w:r>
        <w:rPr>
          <w:shd w:val="clear" w:color="auto" w:fill="FFFFFF"/>
        </w:rPr>
        <w:t>, </w:t>
      </w:r>
      <w:r>
        <w:rPr>
          <w:i/>
          <w:iCs/>
          <w:shd w:val="clear" w:color="auto" w:fill="FFFFFF"/>
        </w:rPr>
        <w:t>36</w:t>
      </w:r>
      <w:r>
        <w:rPr>
          <w:shd w:val="clear" w:color="auto" w:fill="FFFFFF"/>
        </w:rPr>
        <w:t>(5), pp.1835-1850.</w:t>
      </w:r>
    </w:p>
    <w:p>
      <w:pPr>
        <w:rPr>
          <w:shd w:val="clear" w:color="auto" w:fill="FFFFFF"/>
        </w:rPr>
      </w:pPr>
      <w:r>
        <w:rPr>
          <w:shd w:val="clear" w:color="auto" w:fill="FFFFFF"/>
        </w:rPr>
        <w:t>Almeida, M.D.G.M.C. and Coelho, A.F.M., (2019). The antecedents of corporate reputation and image and their impacts on employee commitment and performance: The moderating role of CSR. </w:t>
      </w:r>
      <w:r>
        <w:rPr>
          <w:i/>
          <w:iCs/>
          <w:shd w:val="clear" w:color="auto" w:fill="FFFFFF"/>
        </w:rPr>
        <w:t>Corporate Reputation Review</w:t>
      </w:r>
      <w:r>
        <w:rPr>
          <w:shd w:val="clear" w:color="auto" w:fill="FFFFFF"/>
        </w:rPr>
        <w:t>, </w:t>
      </w:r>
      <w:r>
        <w:rPr>
          <w:i/>
          <w:iCs/>
          <w:shd w:val="clear" w:color="auto" w:fill="FFFFFF"/>
        </w:rPr>
        <w:t>22</w:t>
      </w:r>
      <w:r>
        <w:rPr>
          <w:shd w:val="clear" w:color="auto" w:fill="FFFFFF"/>
        </w:rPr>
        <w:t>, pp.10-25.</w:t>
      </w:r>
    </w:p>
    <w:p>
      <w:pPr>
        <w:rPr>
          <w:shd w:val="clear" w:color="auto" w:fill="FFFFFF"/>
        </w:rPr>
      </w:pPr>
      <w:r>
        <w:rPr>
          <w:shd w:val="clear" w:color="auto" w:fill="FFFFFF"/>
        </w:rPr>
        <w:t>Aruldoss, A., Kowalski, K.B. and Parayitam, S., (2021). The relationship between quality of work life and work-life-balance mediating role of job stress, job satisfaction and job commitment: evidence from India. </w:t>
      </w:r>
      <w:r>
        <w:rPr>
          <w:i/>
          <w:iCs/>
          <w:shd w:val="clear" w:color="auto" w:fill="FFFFFF"/>
        </w:rPr>
        <w:t>Journal of Advances in Management Research</w:t>
      </w:r>
      <w:r>
        <w:rPr>
          <w:shd w:val="clear" w:color="auto" w:fill="FFFFFF"/>
        </w:rPr>
        <w:t>, </w:t>
      </w:r>
      <w:r>
        <w:rPr>
          <w:i/>
          <w:iCs/>
          <w:shd w:val="clear" w:color="auto" w:fill="FFFFFF"/>
        </w:rPr>
        <w:t>18</w:t>
      </w:r>
      <w:r>
        <w:rPr>
          <w:shd w:val="clear" w:color="auto" w:fill="FFFFFF"/>
        </w:rPr>
        <w:t>(1), pp.36-62.</w:t>
      </w:r>
    </w:p>
    <w:p>
      <w:pPr>
        <w:rPr>
          <w:shd w:val="clear" w:color="auto" w:fill="FFFFFF"/>
        </w:rPr>
      </w:pPr>
      <w:r>
        <w:rPr>
          <w:shd w:val="clear" w:color="auto" w:fill="FFFFFF"/>
        </w:rPr>
        <w:t>Chacko, S. and Conway, N., (2019). Employee experiences of HRM through daily affective events and their effects on perceived event</w:t>
      </w:r>
      <w:r>
        <w:rPr>
          <w:rFonts w:ascii="Cambria Math" w:hAnsi="Cambria Math" w:cs="Cambria Math"/>
          <w:shd w:val="clear" w:color="auto" w:fill="FFFFFF"/>
        </w:rPr>
        <w:t>‐</w:t>
      </w:r>
      <w:r>
        <w:rPr>
          <w:shd w:val="clear" w:color="auto" w:fill="FFFFFF"/>
        </w:rPr>
        <w:t>signalled HRM system strength, expectancy perceptions, and daily work engagement. </w:t>
      </w:r>
      <w:r>
        <w:rPr>
          <w:i/>
          <w:iCs/>
          <w:shd w:val="clear" w:color="auto" w:fill="FFFFFF"/>
        </w:rPr>
        <w:t>Human Resource Management Journal</w:t>
      </w:r>
      <w:r>
        <w:rPr>
          <w:shd w:val="clear" w:color="auto" w:fill="FFFFFF"/>
        </w:rPr>
        <w:t>, </w:t>
      </w:r>
      <w:r>
        <w:rPr>
          <w:i/>
          <w:iCs/>
          <w:shd w:val="clear" w:color="auto" w:fill="FFFFFF"/>
        </w:rPr>
        <w:t>29</w:t>
      </w:r>
      <w:r>
        <w:rPr>
          <w:shd w:val="clear" w:color="auto" w:fill="FFFFFF"/>
        </w:rPr>
        <w:t>(3), pp.433-450.</w:t>
      </w:r>
    </w:p>
    <w:p>
      <w:pPr>
        <w:rPr>
          <w:shd w:val="clear" w:color="auto" w:fill="FFFFFF"/>
        </w:rPr>
      </w:pPr>
      <w:r>
        <w:rPr>
          <w:shd w:val="clear" w:color="auto" w:fill="FFFFFF"/>
        </w:rPr>
        <w:t>Geisler, M., Berthelsen, H. and Muhonen, T., (2019). Retaining social workers: The role of quality of work and psychosocial safety climate for work engagement, job satisfaction, and organizational commitment. </w:t>
      </w:r>
      <w:r>
        <w:rPr>
          <w:i/>
          <w:iCs/>
          <w:shd w:val="clear" w:color="auto" w:fill="FFFFFF"/>
        </w:rPr>
        <w:t>Human Service Organizations: Management, Leadership &amp; Governance</w:t>
      </w:r>
      <w:r>
        <w:rPr>
          <w:shd w:val="clear" w:color="auto" w:fill="FFFFFF"/>
        </w:rPr>
        <w:t>, </w:t>
      </w:r>
      <w:r>
        <w:rPr>
          <w:i/>
          <w:iCs/>
          <w:shd w:val="clear" w:color="auto" w:fill="FFFFFF"/>
        </w:rPr>
        <w:t>43</w:t>
      </w:r>
      <w:r>
        <w:rPr>
          <w:shd w:val="clear" w:color="auto" w:fill="FFFFFF"/>
        </w:rPr>
        <w:t>(1), pp.1-15.</w:t>
      </w:r>
    </w:p>
    <w:p>
      <w:pPr>
        <w:rPr>
          <w:shd w:val="clear" w:color="auto" w:fill="FFFFFF"/>
        </w:rPr>
      </w:pPr>
      <w:r>
        <w:rPr>
          <w:shd w:val="clear" w:color="auto" w:fill="FFFFFF"/>
        </w:rPr>
        <w:t>Hamadamin, H.H. and Atan, T., (2019). The impact of strategic human resource management practices on competitive advantage sustainability: The mediation of human capital development and employee commitment. </w:t>
      </w:r>
      <w:r>
        <w:rPr>
          <w:i/>
          <w:iCs/>
          <w:shd w:val="clear" w:color="auto" w:fill="FFFFFF"/>
        </w:rPr>
        <w:t>Sustainability</w:t>
      </w:r>
      <w:r>
        <w:rPr>
          <w:shd w:val="clear" w:color="auto" w:fill="FFFFFF"/>
        </w:rPr>
        <w:t>, </w:t>
      </w:r>
      <w:r>
        <w:rPr>
          <w:i/>
          <w:iCs/>
          <w:shd w:val="clear" w:color="auto" w:fill="FFFFFF"/>
        </w:rPr>
        <w:t>11</w:t>
      </w:r>
      <w:r>
        <w:rPr>
          <w:shd w:val="clear" w:color="auto" w:fill="FFFFFF"/>
        </w:rPr>
        <w:t>(20), p.5782.</w:t>
      </w:r>
    </w:p>
    <w:p>
      <w:pPr>
        <w:rPr>
          <w:shd w:val="clear" w:color="auto" w:fill="FFFFFF"/>
        </w:rPr>
      </w:pPr>
      <w:r>
        <w:rPr>
          <w:shd w:val="clear" w:color="auto" w:fill="FFFFFF"/>
        </w:rPr>
        <w:t>Iddagoda, Y.A. and Opatha, H.H., (2020). Relationships and mediating effects of employee engagement: An empirical study of managerial employees of Sri Lankan listed companies. </w:t>
      </w:r>
      <w:r>
        <w:rPr>
          <w:i/>
          <w:iCs/>
          <w:shd w:val="clear" w:color="auto" w:fill="FFFFFF"/>
        </w:rPr>
        <w:t>Sage Open</w:t>
      </w:r>
      <w:r>
        <w:rPr>
          <w:shd w:val="clear" w:color="auto" w:fill="FFFFFF"/>
        </w:rPr>
        <w:t>, </w:t>
      </w:r>
      <w:r>
        <w:rPr>
          <w:i/>
          <w:iCs/>
          <w:shd w:val="clear" w:color="auto" w:fill="FFFFFF"/>
        </w:rPr>
        <w:t>10</w:t>
      </w:r>
      <w:r>
        <w:rPr>
          <w:shd w:val="clear" w:color="auto" w:fill="FFFFFF"/>
        </w:rPr>
        <w:t>(2), p.2158244020915905.</w:t>
      </w:r>
    </w:p>
    <w:p>
      <w:r>
        <w:t>Imperialhotels, (2023). Imperialhotels. [Online] Available at: https://www.imperialhotels.co.uk/ [Accessed 14 October 2023].</w:t>
      </w:r>
    </w:p>
    <w:p>
      <w:r>
        <w:rPr>
          <w:shd w:val="clear" w:color="auto" w:fill="FFFFFF"/>
        </w:rPr>
        <w:t>Katou, A.A., Budhwar, P.S. and Patel, C., (2021). A trilogy of organizational ambidexterity: Leader’s social intelligence, employee work engagement and environmental changes. </w:t>
      </w:r>
      <w:r>
        <w:rPr>
          <w:i/>
          <w:iCs/>
          <w:shd w:val="clear" w:color="auto" w:fill="FFFFFF"/>
        </w:rPr>
        <w:t>Journal of Business Research</w:t>
      </w:r>
      <w:r>
        <w:rPr>
          <w:shd w:val="clear" w:color="auto" w:fill="FFFFFF"/>
        </w:rPr>
        <w:t>, </w:t>
      </w:r>
      <w:r>
        <w:rPr>
          <w:i/>
          <w:iCs/>
          <w:shd w:val="clear" w:color="auto" w:fill="FFFFFF"/>
        </w:rPr>
        <w:t>128</w:t>
      </w:r>
      <w:r>
        <w:rPr>
          <w:shd w:val="clear" w:color="auto" w:fill="FFFFFF"/>
        </w:rPr>
        <w:t>, pp.688-700.</w:t>
      </w:r>
    </w:p>
    <w:p>
      <w:pPr>
        <w:rPr>
          <w:shd w:val="clear" w:color="auto" w:fill="FFFFFF"/>
        </w:rPr>
      </w:pPr>
      <w:r>
        <w:rPr>
          <w:shd w:val="clear" w:color="auto" w:fill="FFFFFF"/>
        </w:rPr>
        <w:t>Monje-Amor, A., Xanthopoulou, D., Calvo, N. and Vázquez, J.P.A., (2021). Structural empowerment, psychological empowerment, and work engagement: A cross-country study. </w:t>
      </w:r>
      <w:r>
        <w:rPr>
          <w:i/>
          <w:iCs/>
          <w:shd w:val="clear" w:color="auto" w:fill="FFFFFF"/>
        </w:rPr>
        <w:t>European Management Journal</w:t>
      </w:r>
      <w:r>
        <w:rPr>
          <w:shd w:val="clear" w:color="auto" w:fill="FFFFFF"/>
        </w:rPr>
        <w:t>, </w:t>
      </w:r>
      <w:r>
        <w:rPr>
          <w:i/>
          <w:iCs/>
          <w:shd w:val="clear" w:color="auto" w:fill="FFFFFF"/>
        </w:rPr>
        <w:t>39</w:t>
      </w:r>
      <w:r>
        <w:rPr>
          <w:shd w:val="clear" w:color="auto" w:fill="FFFFFF"/>
        </w:rPr>
        <w:t>(6), pp.779-789.</w:t>
      </w:r>
    </w:p>
    <w:p>
      <w:pPr>
        <w:rPr>
          <w:shd w:val="clear" w:color="auto" w:fill="FFFFFF"/>
        </w:rPr>
      </w:pPr>
      <w:r>
        <w:rPr>
          <w:shd w:val="clear" w:color="auto" w:fill="FFFFFF"/>
        </w:rPr>
        <w:t>Riyanto, S., Endri, E. and Herlisha, N., (2021). Effect of work motivation and job satisfaction on employee performance: Mediating role of employee engagement. </w:t>
      </w:r>
      <w:r>
        <w:rPr>
          <w:i/>
          <w:iCs/>
          <w:shd w:val="clear" w:color="auto" w:fill="FFFFFF"/>
        </w:rPr>
        <w:t>Problems and Perspectives in Management</w:t>
      </w:r>
      <w:r>
        <w:rPr>
          <w:shd w:val="clear" w:color="auto" w:fill="FFFFFF"/>
        </w:rPr>
        <w:t>, </w:t>
      </w:r>
      <w:r>
        <w:rPr>
          <w:i/>
          <w:iCs/>
          <w:shd w:val="clear" w:color="auto" w:fill="FFFFFF"/>
        </w:rPr>
        <w:t>19</w:t>
      </w:r>
      <w:r>
        <w:rPr>
          <w:shd w:val="clear" w:color="auto" w:fill="FFFFFF"/>
        </w:rPr>
        <w:t>(3), p.162.</w:t>
      </w:r>
    </w:p>
    <w:p>
      <w:pPr>
        <w:rPr>
          <w:shd w:val="clear" w:color="auto" w:fill="FFFFFF"/>
        </w:rPr>
      </w:pPr>
      <w:r>
        <w:rPr>
          <w:shd w:val="clear" w:color="auto" w:fill="FFFFFF"/>
        </w:rPr>
        <w:t>Turner, P., (2019). </w:t>
      </w:r>
      <w:r>
        <w:rPr>
          <w:i/>
          <w:iCs/>
          <w:shd w:val="clear" w:color="auto" w:fill="FFFFFF"/>
        </w:rPr>
        <w:t>Employee engagement in contemporary organizations: Maintaining high productivity and sustained competitiveness</w:t>
      </w:r>
      <w:r>
        <w:rPr>
          <w:shd w:val="clear" w:color="auto" w:fill="FFFFFF"/>
        </w:rPr>
        <w:t>. Springer Nature.</w:t>
      </w:r>
      <w:bookmarkStart w:id="0" w:name="_GoBack"/>
      <w:bookmarkEnd w:id="0"/>
    </w:p>
    <w:sectPr>
      <w:headerReference r:id="rId5" w:type="default"/>
      <w:footerReference r:id="rId6" w:type="default"/>
      <w:pgSz w:w="11906" w:h="16838"/>
      <w:pgMar w:top="1440" w:right="1440" w:bottom="1440" w:left="1440"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等线 Light">
    <w:altName w:val="Segoe Print"/>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2FF" w:usb1="420024FF" w:usb2="00000000" w:usb3="00000000" w:csb0="200001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39323887"/>
      <w:docPartObj>
        <w:docPartGallery w:val="autotext"/>
      </w:docPartObj>
    </w:sdtPr>
    <w:sdtContent>
      <w:sdt>
        <w:sdtPr>
          <w:id w:val="-1769616900"/>
          <w:docPartObj>
            <w:docPartGallery w:val="autotext"/>
          </w:docPartObj>
        </w:sdtPr>
        <w:sdtContent>
          <w:p>
            <w:pPr>
              <w:pStyle w:val="7"/>
              <w:jc w:val="right"/>
            </w:pPr>
            <w:r>
              <w:t xml:space="preserve">Page </w:t>
            </w:r>
            <w:r>
              <w:rPr>
                <w:b/>
                <w:bCs/>
                <w:szCs w:val="24"/>
              </w:rPr>
              <w:fldChar w:fldCharType="begin"/>
            </w:r>
            <w:r>
              <w:rPr>
                <w:b/>
                <w:bCs/>
              </w:rPr>
              <w:instrText xml:space="preserve"> PAGE </w:instrText>
            </w:r>
            <w:r>
              <w:rPr>
                <w:b/>
                <w:bCs/>
                <w:szCs w:val="24"/>
              </w:rPr>
              <w:fldChar w:fldCharType="separate"/>
            </w:r>
            <w:r>
              <w:rPr>
                <w:b/>
                <w:bCs/>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rPr>
              <w:t>2</w:t>
            </w:r>
            <w:r>
              <w:rPr>
                <w:b/>
                <w:bCs/>
                <w:szCs w:val="24"/>
              </w:rPr>
              <w:fldChar w:fldCharType="end"/>
            </w:r>
          </w:p>
        </w:sdtContent>
      </w:sdt>
    </w:sdtContent>
  </w:sdt>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480" w:lineRule="auto"/>
      </w:pPr>
      <w:r>
        <w:separator/>
      </w:r>
    </w:p>
  </w:footnote>
  <w:footnote w:type="continuationSeparator" w:id="1">
    <w:p>
      <w:pPr>
        <w:spacing w:before="0" w:after="0"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tab/>
    </w:r>
    <w:r>
      <w:tab/>
    </w:r>
    <w:r>
      <w:t>Personnel Resourcing and Development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115"/>
    <w:rsid w:val="00000120"/>
    <w:rsid w:val="000B400B"/>
    <w:rsid w:val="000D2E09"/>
    <w:rsid w:val="000D61F1"/>
    <w:rsid w:val="000E6CC6"/>
    <w:rsid w:val="0014435F"/>
    <w:rsid w:val="00182AB8"/>
    <w:rsid w:val="00244E08"/>
    <w:rsid w:val="002D1578"/>
    <w:rsid w:val="003C3C1F"/>
    <w:rsid w:val="0040222F"/>
    <w:rsid w:val="004A7D98"/>
    <w:rsid w:val="004E66E6"/>
    <w:rsid w:val="00527227"/>
    <w:rsid w:val="00544134"/>
    <w:rsid w:val="005D5953"/>
    <w:rsid w:val="0060008F"/>
    <w:rsid w:val="00620A37"/>
    <w:rsid w:val="00626045"/>
    <w:rsid w:val="0064027F"/>
    <w:rsid w:val="006B1B71"/>
    <w:rsid w:val="00702BC0"/>
    <w:rsid w:val="007430A0"/>
    <w:rsid w:val="007D282E"/>
    <w:rsid w:val="0080668F"/>
    <w:rsid w:val="00814BB2"/>
    <w:rsid w:val="00816BFA"/>
    <w:rsid w:val="00821117"/>
    <w:rsid w:val="00877659"/>
    <w:rsid w:val="008D316A"/>
    <w:rsid w:val="009A5BC9"/>
    <w:rsid w:val="009C68D9"/>
    <w:rsid w:val="00A42FAD"/>
    <w:rsid w:val="00A508FA"/>
    <w:rsid w:val="00B138E3"/>
    <w:rsid w:val="00BB0A9F"/>
    <w:rsid w:val="00BC1688"/>
    <w:rsid w:val="00BF6BF2"/>
    <w:rsid w:val="00CA49E5"/>
    <w:rsid w:val="00CB4959"/>
    <w:rsid w:val="00D314CD"/>
    <w:rsid w:val="00D63555"/>
    <w:rsid w:val="00D926F6"/>
    <w:rsid w:val="00DE0115"/>
    <w:rsid w:val="00E0736E"/>
    <w:rsid w:val="00E23EE8"/>
    <w:rsid w:val="00E453F5"/>
    <w:rsid w:val="00F200EA"/>
    <w:rsid w:val="00F33C91"/>
    <w:rsid w:val="00F51115"/>
    <w:rsid w:val="00F55B40"/>
    <w:rsid w:val="42B121BC"/>
    <w:rsid w:val="463E651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480" w:lineRule="auto"/>
      <w:jc w:val="both"/>
    </w:pPr>
    <w:rPr>
      <w:rFonts w:ascii="Times New Roman" w:hAnsi="Times New Roman" w:eastAsiaTheme="minorHAnsi" w:cstheme="minorBidi"/>
      <w:kern w:val="2"/>
      <w:sz w:val="24"/>
      <w:szCs w:val="22"/>
      <w:lang w:val="en-GB" w:eastAsia="en-US" w:bidi="ar-SA"/>
    </w:rPr>
  </w:style>
  <w:style w:type="paragraph" w:styleId="2">
    <w:name w:val="heading 1"/>
    <w:basedOn w:val="1"/>
    <w:next w:val="1"/>
    <w:link w:val="11"/>
    <w:qFormat/>
    <w:uiPriority w:val="9"/>
    <w:pPr>
      <w:keepNext/>
      <w:keepLines/>
      <w:spacing w:before="240" w:after="0"/>
      <w:outlineLvl w:val="0"/>
    </w:pPr>
    <w:rPr>
      <w:rFonts w:eastAsiaTheme="majorEastAsia" w:cstheme="majorBidi"/>
      <w:b/>
      <w:sz w:val="28"/>
      <w:szCs w:val="32"/>
    </w:rPr>
  </w:style>
  <w:style w:type="paragraph" w:styleId="3">
    <w:name w:val="heading 2"/>
    <w:basedOn w:val="1"/>
    <w:next w:val="1"/>
    <w:link w:val="12"/>
    <w:semiHidden/>
    <w:unhideWhenUsed/>
    <w:qFormat/>
    <w:uiPriority w:val="9"/>
    <w:pPr>
      <w:keepNext/>
      <w:keepLines/>
      <w:spacing w:before="40" w:after="0"/>
      <w:outlineLvl w:val="1"/>
    </w:pPr>
    <w:rPr>
      <w:rFonts w:eastAsiaTheme="majorEastAsia" w:cstheme="majorBidi"/>
      <w:b/>
      <w:sz w:val="26"/>
      <w:szCs w:val="26"/>
    </w:rPr>
  </w:style>
  <w:style w:type="paragraph" w:styleId="4">
    <w:name w:val="heading 3"/>
    <w:basedOn w:val="1"/>
    <w:next w:val="1"/>
    <w:link w:val="13"/>
    <w:unhideWhenUsed/>
    <w:qFormat/>
    <w:uiPriority w:val="9"/>
    <w:pPr>
      <w:keepNext/>
      <w:keepLines/>
      <w:spacing w:before="40" w:after="0"/>
      <w:outlineLvl w:val="2"/>
    </w:pPr>
    <w:rPr>
      <w:rFonts w:eastAsiaTheme="majorEastAsia" w:cstheme="majorBidi"/>
      <w:b/>
      <w:szCs w:val="24"/>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footer"/>
    <w:basedOn w:val="1"/>
    <w:link w:val="15"/>
    <w:unhideWhenUsed/>
    <w:uiPriority w:val="99"/>
    <w:pPr>
      <w:tabs>
        <w:tab w:val="center" w:pos="4513"/>
        <w:tab w:val="right" w:pos="9026"/>
      </w:tabs>
      <w:spacing w:after="0" w:line="240" w:lineRule="auto"/>
    </w:pPr>
  </w:style>
  <w:style w:type="paragraph" w:styleId="8">
    <w:name w:val="header"/>
    <w:basedOn w:val="1"/>
    <w:link w:val="14"/>
    <w:unhideWhenUsed/>
    <w:uiPriority w:val="99"/>
    <w:pPr>
      <w:tabs>
        <w:tab w:val="center" w:pos="4513"/>
        <w:tab w:val="right" w:pos="9026"/>
      </w:tabs>
      <w:spacing w:after="0" w:line="240" w:lineRule="auto"/>
    </w:pPr>
  </w:style>
  <w:style w:type="character" w:styleId="9">
    <w:name w:val="Hyperlink"/>
    <w:basedOn w:val="5"/>
    <w:unhideWhenUsed/>
    <w:qFormat/>
    <w:uiPriority w:val="99"/>
    <w:rPr>
      <w:color w:val="0563C1" w:themeColor="hyperlink"/>
      <w:u w:val="single"/>
      <w14:textFill>
        <w14:solidFill>
          <w14:schemeClr w14:val="hlink"/>
        </w14:solidFill>
      </w14:textFill>
    </w:rPr>
  </w:style>
  <w:style w:type="paragraph" w:styleId="10">
    <w:name w:val="Normal (Web)"/>
    <w:basedOn w:val="1"/>
    <w:semiHidden/>
    <w:unhideWhenUsed/>
    <w:qFormat/>
    <w:uiPriority w:val="99"/>
    <w:pPr>
      <w:spacing w:before="100" w:beforeAutospacing="1" w:after="100" w:afterAutospacing="1" w:line="240" w:lineRule="auto"/>
      <w:jc w:val="left"/>
    </w:pPr>
    <w:rPr>
      <w:rFonts w:eastAsia="Times New Roman" w:cs="Times New Roman"/>
      <w:kern w:val="0"/>
      <w:szCs w:val="24"/>
      <w:lang w:val="en-IN" w:eastAsia="en-IN"/>
    </w:rPr>
  </w:style>
  <w:style w:type="character" w:customStyle="1" w:styleId="11">
    <w:name w:val="Heading 1 Char"/>
    <w:basedOn w:val="5"/>
    <w:link w:val="2"/>
    <w:qFormat/>
    <w:uiPriority w:val="9"/>
    <w:rPr>
      <w:rFonts w:ascii="Times New Roman" w:hAnsi="Times New Roman" w:eastAsiaTheme="majorEastAsia" w:cstheme="majorBidi"/>
      <w:b/>
      <w:sz w:val="28"/>
      <w:szCs w:val="32"/>
    </w:rPr>
  </w:style>
  <w:style w:type="character" w:customStyle="1" w:styleId="12">
    <w:name w:val="Heading 2 Char"/>
    <w:basedOn w:val="5"/>
    <w:link w:val="3"/>
    <w:semiHidden/>
    <w:qFormat/>
    <w:uiPriority w:val="9"/>
    <w:rPr>
      <w:rFonts w:ascii="Times New Roman" w:hAnsi="Times New Roman" w:eastAsiaTheme="majorEastAsia" w:cstheme="majorBidi"/>
      <w:b/>
      <w:sz w:val="26"/>
      <w:szCs w:val="26"/>
    </w:rPr>
  </w:style>
  <w:style w:type="character" w:customStyle="1" w:styleId="13">
    <w:name w:val="Heading 3 Char"/>
    <w:basedOn w:val="5"/>
    <w:link w:val="4"/>
    <w:uiPriority w:val="9"/>
    <w:rPr>
      <w:rFonts w:ascii="Times New Roman" w:hAnsi="Times New Roman" w:eastAsiaTheme="majorEastAsia" w:cstheme="majorBidi"/>
      <w:b/>
      <w:sz w:val="24"/>
      <w:szCs w:val="24"/>
    </w:rPr>
  </w:style>
  <w:style w:type="character" w:customStyle="1" w:styleId="14">
    <w:name w:val="Header Char"/>
    <w:basedOn w:val="5"/>
    <w:link w:val="8"/>
    <w:qFormat/>
    <w:uiPriority w:val="99"/>
    <w:rPr>
      <w:rFonts w:ascii="Times New Roman" w:hAnsi="Times New Roman"/>
      <w:kern w:val="2"/>
      <w:sz w:val="24"/>
      <w:lang w:val="en-GB"/>
    </w:rPr>
  </w:style>
  <w:style w:type="character" w:customStyle="1" w:styleId="15">
    <w:name w:val="Footer Char"/>
    <w:basedOn w:val="5"/>
    <w:link w:val="7"/>
    <w:qFormat/>
    <w:uiPriority w:val="99"/>
    <w:rPr>
      <w:rFonts w:ascii="Times New Roman" w:hAnsi="Times New Roman"/>
      <w:kern w:val="2"/>
      <w:sz w:val="24"/>
      <w:lang w:val="en-GB"/>
    </w:rPr>
  </w:style>
  <w:style w:type="paragraph" w:customStyle="1" w:styleId="16">
    <w:name w:val="Bibliography"/>
    <w:basedOn w:val="1"/>
    <w:next w:val="1"/>
    <w:unhideWhenUsed/>
    <w:qFormat/>
    <w:uiPriority w:val="37"/>
  </w:style>
  <w:style w:type="character" w:customStyle="1" w:styleId="17">
    <w:name w:val="Unresolved Mention"/>
    <w:basedOn w:val="5"/>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Imp23</b:Tag>
    <b:SourceType>InternetSite</b:SourceType>
    <b:Guid>{FF6708A2-B111-4F43-BDB4-092A33C7020E}</b:Guid>
    <b:Author>
      <b:Author>
        <b:Corporate>Imperialhotels</b:Corporate>
      </b:Author>
    </b:Author>
    <b:Title>Imperialhotels</b:Title>
    <b:Year>2023</b:Year>
    <b:YearAccessed>2023</b:YearAccessed>
    <b:MonthAccessed>October</b:MonthAccessed>
    <b:DayAccessed>14</b:DayAccessed>
    <b:URL>https://www.imperialhotels.co.uk/</b:URL>
    <b:RefOrder>1</b:RefOrder>
  </b:Source>
</b:Sources>
</file>

<file path=customXml/itemProps1.xml><?xml version="1.0" encoding="utf-8"?>
<ds:datastoreItem xmlns:ds="http://schemas.openxmlformats.org/officeDocument/2006/customXml" ds:itemID="{33938258-AF12-4585-B514-83672191051E}">
  <ds:schemaRefs/>
</ds:datastoreItem>
</file>

<file path=docProps/app.xml><?xml version="1.0" encoding="utf-8"?>
<Properties xmlns="http://schemas.openxmlformats.org/officeDocument/2006/extended-properties" xmlns:vt="http://schemas.openxmlformats.org/officeDocument/2006/docPropsVTypes">
  <Template>Normal</Template>
  <Pages>11</Pages>
  <Words>2384</Words>
  <Characters>13595</Characters>
  <Lines>113</Lines>
  <Paragraphs>31</Paragraphs>
  <TotalTime>6</TotalTime>
  <ScaleCrop>false</ScaleCrop>
  <LinksUpToDate>false</LinksUpToDate>
  <CharactersWithSpaces>15948</CharactersWithSpaces>
  <Application>WPS Office_12.2.0.13266_F1E327BC-269C-435d-A152-05C5408002CA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2023-10-18T11:55:00Z</dcterms:created>
  <dcterms:modified xsi:type="dcterms:W3CDTF">2023-10-23T16:34:27Z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2057-12.2.0.13266</vt:lpwstr>
  </property>
  <property fmtid="{D5CDD505-2E9C-101B-9397-08002B2CF9AE}" pid="3" name="ICV">
    <vt:lpwstr>E1DB3EF8CA1D40DBA64A500AB958DB56_12</vt:lpwstr>
  </property>
</Properties>
</file>