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7BC81" w14:textId="77777777" w:rsidR="00053754" w:rsidRDefault="00053754" w:rsidP="00567E13">
      <w:pPr>
        <w:spacing w:line="360" w:lineRule="auto"/>
      </w:pPr>
    </w:p>
    <w:p w14:paraId="672389E0" w14:textId="08A51332" w:rsidR="00AE63C8" w:rsidRDefault="00053754" w:rsidP="00567E13">
      <w:pPr>
        <w:pStyle w:val="Heading1"/>
        <w:spacing w:line="360" w:lineRule="auto"/>
      </w:pPr>
      <w:r w:rsidRPr="00053754">
        <w:t>Chapter 3: Methodolog</w:t>
      </w:r>
      <w:r w:rsidR="00567E13">
        <w:t>y</w:t>
      </w:r>
    </w:p>
    <w:p w14:paraId="7669748B" w14:textId="77777777" w:rsidR="00567E13" w:rsidRDefault="00567E13" w:rsidP="00567E13">
      <w:pPr>
        <w:pStyle w:val="Heading2"/>
        <w:spacing w:line="360" w:lineRule="auto"/>
      </w:pPr>
      <w:r>
        <w:t xml:space="preserve">Introduction </w:t>
      </w:r>
    </w:p>
    <w:p w14:paraId="46A8ED02" w14:textId="77777777" w:rsidR="00567E13" w:rsidRDefault="00567E13" w:rsidP="00567E13">
      <w:pPr>
        <w:spacing w:line="360" w:lineRule="auto"/>
      </w:pPr>
      <w:r>
        <w:t xml:space="preserve">The purpose of this research is to establish whether crime is a social construct and to examine the factors that contribute to criminality within communities. To achieve this, a variety of literature was reviewed. The objective of this research includes investigating the impact of socioeconomic disparities on criminal behaviour, examining the influence of institutional practices in shaping criminality, and exploring the role of social and cultural narratives in defining crime. Through reviewing existing literature, it was evident that there is limited research that examines the correlation between certain factors including poverty, discrimination, and systematic bias, and how that contributes to criminality and the perception of crime. This study aims to contribute to existing research by challenging or reinforcing previous findings. This chapter will examine the methodological approach applied in this study and provide justifications for the research methods chosen. Additionally, it will evaluate the advantages, limitations, and ethical considerations of this research. </w:t>
      </w:r>
    </w:p>
    <w:p w14:paraId="599950F3" w14:textId="77777777" w:rsidR="00567E13" w:rsidRDefault="00567E13" w:rsidP="00567E13">
      <w:pPr>
        <w:pStyle w:val="Heading2"/>
        <w:spacing w:line="360" w:lineRule="auto"/>
      </w:pPr>
      <w:r>
        <w:t xml:space="preserve">Research Onion  </w:t>
      </w:r>
    </w:p>
    <w:p w14:paraId="69C35157" w14:textId="77777777" w:rsidR="00567E13" w:rsidRDefault="00567E13" w:rsidP="00567E13">
      <w:pPr>
        <w:spacing w:line="360" w:lineRule="auto"/>
      </w:pPr>
      <w:r>
        <w:t xml:space="preserve">This methodological framework was introduced by Saunders et al. (2019) to provide context for researchers during their study. It is a framework that divides research into subsections to support researchers in selecting appropriate methods and to help achieve reliable outcomes. This framework will be applied to this study to ensure that the chosen research methods are effective and contribute to producing substantial and comprehensive findings. </w:t>
      </w:r>
    </w:p>
    <w:p w14:paraId="0514795C" w14:textId="77777777" w:rsidR="00567E13" w:rsidRDefault="00567E13" w:rsidP="00567E13">
      <w:pPr>
        <w:pStyle w:val="Heading2"/>
        <w:spacing w:line="360" w:lineRule="auto"/>
      </w:pPr>
      <w:r>
        <w:t xml:space="preserve">Research Philosophy </w:t>
      </w:r>
    </w:p>
    <w:p w14:paraId="7D807078" w14:textId="77777777" w:rsidR="00567E13" w:rsidRDefault="00567E13" w:rsidP="00567E13">
      <w:pPr>
        <w:spacing w:line="360" w:lineRule="auto"/>
      </w:pPr>
      <w:r>
        <w:t xml:space="preserve">The first element of this framework is research philosophy, which refers to the assumptions and beliefs about how knowledge is formed and understood (Saunders et al., 2009). The framework focuses on three philosophical approaches. This study will adopt an interpretivism research philosophy method. Interpretivism research philosophy acknowledges the subjective nature of reality and emphasises the importance of interpreting societal dynamics through the experiences and perspectives of research participants (Ryan, 2018). It is essential to consider the responses generated through the selected research method, especially when external variables may influence the participants' feedback. As this study heavily relies on how external factors influence the perception of crime this approach is best suited. An advantage of this approach is the insight that it allows researchers to achieve, enabling them to focus on specific contexts and develop a better </w:t>
      </w:r>
      <w:r>
        <w:lastRenderedPageBreak/>
        <w:t xml:space="preserve">understanding of the research (Pham, 2018). This will ensure that conclusions are well-structured and clear. </w:t>
      </w:r>
    </w:p>
    <w:p w14:paraId="4367B8AF" w14:textId="77777777" w:rsidR="00567E13" w:rsidRDefault="00567E13" w:rsidP="00567E13">
      <w:pPr>
        <w:pStyle w:val="Heading2"/>
        <w:spacing w:line="360" w:lineRule="auto"/>
      </w:pPr>
      <w:r>
        <w:t xml:space="preserve">Research Approach </w:t>
      </w:r>
    </w:p>
    <w:p w14:paraId="2C9BDF71" w14:textId="5C55C5AC" w:rsidR="00567E13" w:rsidRDefault="00567E13" w:rsidP="00567E13">
      <w:pPr>
        <w:spacing w:line="360" w:lineRule="auto"/>
      </w:pPr>
      <w:r>
        <w:t xml:space="preserve">After selecting the appropriate research philosophy, the framework offers two possible approaches. As this research will utilise an interpretivism perspective, it is most beneficial to apply an inductive reasoning approach. The purpose of an inductive approach is to develop a better understanding by identifying generalisations and patterns based on specific observations or data (Klauer and Phye, 2008). This will allow researchers to develop a theory or conclusion from the information collected. Furthermore, Theophilus (2018) demonstrates that inductive research includes systematically comparing and contrasting data to identify emerging patterns and generate generalised </w:t>
      </w:r>
      <w:r w:rsidR="00FA5052">
        <w:t>conclusions.</w:t>
      </w:r>
      <w:r>
        <w:t xml:space="preserve"> By adopting a combined interpretive and inductive approach to compare and evaluate public perception, this study accounts for external variables which helps inform an insightful and compelling research study. </w:t>
      </w:r>
    </w:p>
    <w:p w14:paraId="0C96111D" w14:textId="77777777" w:rsidR="00567E13" w:rsidRDefault="00567E13" w:rsidP="00567E13">
      <w:pPr>
        <w:pStyle w:val="Heading2"/>
        <w:spacing w:line="360" w:lineRule="auto"/>
      </w:pPr>
      <w:r>
        <w:t xml:space="preserve">Methodological Choice </w:t>
      </w:r>
    </w:p>
    <w:p w14:paraId="7F6E096A" w14:textId="0741235A" w:rsidR="00567E13" w:rsidRDefault="00567E13" w:rsidP="00567E13">
      <w:pPr>
        <w:spacing w:line="360" w:lineRule="auto"/>
      </w:pPr>
      <w:r>
        <w:t xml:space="preserve">The methodological choice will establish whether the research will consist of qualitative or quantitative data. Quantitative data refers to numerical information, whereas qualitative data provides a descriptive representation (Tang, 2020). According to Leavy (2020), qualitative data is achieved through methods like interviews, observations, or recordings and is beneficial for understanding social reality by exploring the meaning individuals assign their experiences and interactions. Quantitative data is collected through methods such as surveys and aims to produce new knowledge by reducing complex variables into measurable components within structured and controlled environments (O’Dwyer and Bernauer, 2016). This research aims to utilise both qualities by implementing a mixed methods approach. A mixed method approach will enable research to be explored from multiple perspectives, combining the subjective insights of qualitative research with the consistent and widely applicable data from quantitative data (Regnault et al., 2018). As this study gathers multiple perspectives on crime and its influences, relying on one method would not provide an accurate narrative. Utilising a mixed method approach ensures that the study illustrates the complexity of these perspectives, addressing individual details of this study. </w:t>
      </w:r>
    </w:p>
    <w:p w14:paraId="54F3A7EA" w14:textId="77777777" w:rsidR="00567E13" w:rsidRDefault="00567E13" w:rsidP="00567E13">
      <w:pPr>
        <w:pStyle w:val="Heading2"/>
        <w:spacing w:line="360" w:lineRule="auto"/>
      </w:pPr>
      <w:r>
        <w:t xml:space="preserve">Research Strategy </w:t>
      </w:r>
    </w:p>
    <w:p w14:paraId="4E96DDFC" w14:textId="77777777" w:rsidR="00567E13" w:rsidRDefault="00567E13" w:rsidP="00567E13">
      <w:pPr>
        <w:spacing w:line="360" w:lineRule="auto"/>
      </w:pPr>
      <w:r>
        <w:t xml:space="preserve">The research strategy that has been selected for this study is a survey. A survey is a method used to collect data and insights from individuals. It is typically employed to obtain specific information on a topic, particularly when existing research is limited (Ceccato et al., 2024).  This research strategy was </w:t>
      </w:r>
      <w:r>
        <w:lastRenderedPageBreak/>
        <w:t xml:space="preserve">chosen as it allows large amounts of data to be collected from diverse populations, making them ideal for addressing research questions where broad patterns and trends need to be identified. An advantage of using both quantitative and qualitative components in the survey is the valuable insight that it provides the researcher, along with the ability to maintain a persistent comparative approach during data analysis (Palinkas et al., 2015). The survey will be distributed online, using social media platforms such as Instagram, Facebook, and X (formerly Twitter). This ensures that the survey will generate responses from different age categories, ethnicities, and genders. The use of social media allows for quicker access to a diverse audience, especially those who are not accessible through traditional methods. In addition to this, online surveys are generally more accessible. It was recorded by McMaster et al. (2017) that online surveys typically receive a higher response rate in comparison to traditional paper surveys, indicating that contacting participants online is more effective. </w:t>
      </w:r>
    </w:p>
    <w:p w14:paraId="653A4F90" w14:textId="2FD683A4" w:rsidR="00567E13" w:rsidRDefault="00567E13" w:rsidP="00567E13">
      <w:pPr>
        <w:pStyle w:val="Heading2"/>
        <w:spacing w:line="360" w:lineRule="auto"/>
      </w:pPr>
      <w:r>
        <w:t>Ti</w:t>
      </w:r>
      <w:r>
        <w:t xml:space="preserve">me Horizon </w:t>
      </w:r>
    </w:p>
    <w:p w14:paraId="2FC75B2B" w14:textId="6811429C" w:rsidR="00567E13" w:rsidRDefault="00567E13" w:rsidP="00567E13">
      <w:pPr>
        <w:spacing w:line="360" w:lineRule="auto"/>
      </w:pPr>
      <w:r>
        <w:t>Furthermore, the research framework provided by Saunders et al. (2019) recommends the research be completed within a certain timeframe. Their research emphasises the importance of adhering to a specific timeframe, suggesting that the chosen time structure will determine whether the research will capture limited results within a specific time or a broader set of data collected at intervals. This survey will utilise a cross-sectional approach</w:t>
      </w:r>
      <w:r w:rsidR="002E5C30">
        <w:t xml:space="preserve">, that allows </w:t>
      </w:r>
      <w:r>
        <w:t xml:space="preserve">relevant information </w:t>
      </w:r>
      <w:r w:rsidR="002E5C30">
        <w:t xml:space="preserve">to be collected </w:t>
      </w:r>
      <w:r>
        <w:t>within a specific time (Kesmodel, 2018). An advantage of this approach is its efficiency. Due to its nature, researchers can quickly gather information, allowing them to observe variables within the population simultaneously (Capili, 2022). According to Wang and Cheng (2020), cross-sectional research is effective for determining the prevalence and analysing the correlation between various factors and outcomes. A cross-sectional approach will be beneficial for this research project, as it adheres to the time constraints of an academic deadline. This survey will be distributed via social media platforms over a week to ensure that it generates the estimated amount of responses. Following the completion of this survey, the responses will be analysed accordingly.</w:t>
      </w:r>
    </w:p>
    <w:p w14:paraId="629801DE" w14:textId="77777777" w:rsidR="00567E13" w:rsidRDefault="00567E13" w:rsidP="00567E13">
      <w:pPr>
        <w:pStyle w:val="Heading2"/>
        <w:spacing w:line="360" w:lineRule="auto"/>
      </w:pPr>
      <w:r>
        <w:t xml:space="preserve">Techniques for data collection, processes, and analysis </w:t>
      </w:r>
    </w:p>
    <w:p w14:paraId="7C8C9EDA" w14:textId="77777777" w:rsidR="00567E13" w:rsidRDefault="00567E13" w:rsidP="00567E13">
      <w:pPr>
        <w:spacing w:line="360" w:lineRule="auto"/>
      </w:pPr>
      <w:r>
        <w:t xml:space="preserve">To collect primary data, the survey will generate qualitative and quantitative data through the use of open and closed-ended questions. Open-ended questions encourage participants to provide detail that allows further exploration of a specific topic, in contrast to closed-ended questions which generate a consensus through set responses (Rosala, 2024). According to Baburajan et al. (2022) combining this approach results in more comprehensive and meaningful data. Their research further emphasises the importance of using consistent and accessible language that is understandable to the survey's target audience, as this encourages greater participation and improves data quality. </w:t>
      </w:r>
    </w:p>
    <w:p w14:paraId="7E8033CA" w14:textId="1CB11447" w:rsidR="00567E13" w:rsidRDefault="00567E13" w:rsidP="00567E13">
      <w:pPr>
        <w:spacing w:line="360" w:lineRule="auto"/>
      </w:pPr>
      <w:r>
        <w:lastRenderedPageBreak/>
        <w:t>The survey will be created through the use of Google Forms, which will ensure that the survey is accessible. Additionally, Google Forms can present quantitative data through pie charts, which helps visualise data and interpret results. Following the submission of data, it can be examined and analysed using thematic analysis. Thematic analysis evaluates, examines, and identifies reoccurring patterns that are evident in the data collection process (</w:t>
      </w:r>
      <w:proofErr w:type="spellStart"/>
      <w:r>
        <w:t>Sovacool</w:t>
      </w:r>
      <w:proofErr w:type="spellEnd"/>
      <w:r>
        <w:t xml:space="preserve"> et al., 2023). </w:t>
      </w:r>
    </w:p>
    <w:p w14:paraId="3C630769" w14:textId="77777777" w:rsidR="00567E13" w:rsidRDefault="00567E13" w:rsidP="00567E13">
      <w:pPr>
        <w:pStyle w:val="Heading2"/>
        <w:spacing w:line="360" w:lineRule="auto"/>
      </w:pPr>
      <w:r>
        <w:t xml:space="preserve">Sampling </w:t>
      </w:r>
    </w:p>
    <w:p w14:paraId="736180E9" w14:textId="52D02D3B" w:rsidR="00567E13" w:rsidRDefault="00567E13" w:rsidP="00567E13">
      <w:pPr>
        <w:spacing w:line="360" w:lineRule="auto"/>
      </w:pPr>
      <w:r>
        <w:t xml:space="preserve">Sampling is the process of selecting individuals from a larger population to represent the researcher's target audience (Kelley et al., 2003). This research survey will utilise a convenience sampling method, where participants are easily accessible and are self-enrolled (Novosel, 2023). Convenience sampling is a popular sampling method due to its practicality, as it allows for efficient data collection with minimal resources. The survey will aim to generate 100 responses from individuals aged between 18 and 65. </w:t>
      </w:r>
      <w:r w:rsidR="00440B19">
        <w:t>This sample size has bee</w:t>
      </w:r>
      <w:r w:rsidR="00356828">
        <w:t xml:space="preserve">n selected to ensure that this research </w:t>
      </w:r>
      <w:r w:rsidR="00743DD5">
        <w:t>is representative of different characteristics.</w:t>
      </w:r>
      <w:r w:rsidR="004C7217">
        <w:t xml:space="preserve"> </w:t>
      </w:r>
      <w:r w:rsidR="007C08F9">
        <w:t xml:space="preserve">The Medical Research Council (2022) </w:t>
      </w:r>
      <w:r w:rsidR="00A1184C">
        <w:t xml:space="preserve">emphasises the importance of diversity among </w:t>
      </w:r>
      <w:r w:rsidR="002A679E">
        <w:t xml:space="preserve">research, as it </w:t>
      </w:r>
      <w:r w:rsidR="006A5459">
        <w:t xml:space="preserve">is a crucial aspect of </w:t>
      </w:r>
      <w:r w:rsidR="00076355">
        <w:t xml:space="preserve">achieving credible data. </w:t>
      </w:r>
      <w:r w:rsidR="00743DD5">
        <w:t xml:space="preserve"> </w:t>
      </w:r>
    </w:p>
    <w:p w14:paraId="7E9B6F90" w14:textId="77777777" w:rsidR="00567E13" w:rsidRDefault="00567E13" w:rsidP="00567E13">
      <w:pPr>
        <w:pStyle w:val="Heading2"/>
        <w:spacing w:line="360" w:lineRule="auto"/>
      </w:pPr>
      <w:r>
        <w:t xml:space="preserve">Limitations </w:t>
      </w:r>
    </w:p>
    <w:p w14:paraId="2C13F05C" w14:textId="77777777" w:rsidR="00567E13" w:rsidRDefault="00567E13" w:rsidP="00567E13">
      <w:pPr>
        <w:spacing w:line="360" w:lineRule="auto"/>
      </w:pPr>
      <w:r>
        <w:t xml:space="preserve">A limitation that could potentially occur during this study is sampling bias. According to Novosel (2023), convenience sampling increases the risk of sampling bias suggesting the findings may not be an accurate representation of a larger population. To address this limitation, the study will clearly define sample characteristics and acknowledge the generalisability in the analysis and conclusion. Additionally, any demographic or contextual data collected will be used to provide transparency. This will allow the readers to interpret the findings within the appropriate context. </w:t>
      </w:r>
    </w:p>
    <w:p w14:paraId="13F8B571" w14:textId="77777777" w:rsidR="00567E13" w:rsidRDefault="00567E13" w:rsidP="00567E13">
      <w:pPr>
        <w:spacing w:line="360" w:lineRule="auto"/>
      </w:pPr>
    </w:p>
    <w:p w14:paraId="48EDC006" w14:textId="4755767C" w:rsidR="00567E13" w:rsidRPr="00567E13" w:rsidRDefault="00567E13" w:rsidP="00567E13">
      <w:pPr>
        <w:spacing w:line="360" w:lineRule="auto"/>
      </w:pPr>
      <w:r>
        <w:t>A further limitation of this research is academic constraints, which may affect the response rate. The effect of time constraints may also be reflected in participants' responses. It is suggested that they may rely on simplified decision-making strategies or provide quicker answers without processing available information (Weening and Maarleveld, 2002).  To improve this, the survey will be designed for participants to understand and navigate it easily. Clear instructions will be provided and complex vocabulary will be explained. Also, participants will be able to complete the survey within a specific time frame.</w:t>
      </w:r>
    </w:p>
    <w:p w14:paraId="2DE55556" w14:textId="77777777" w:rsidR="00B75136" w:rsidRPr="00B75136" w:rsidRDefault="00B75136" w:rsidP="003945C3"/>
    <w:p w14:paraId="40319A1E" w14:textId="77777777" w:rsidR="00A63E4D" w:rsidRDefault="00A63E4D" w:rsidP="00A63E4D">
      <w:pPr>
        <w:pStyle w:val="Heading2"/>
        <w:spacing w:line="360" w:lineRule="auto"/>
      </w:pPr>
    </w:p>
    <w:p w14:paraId="49F23C80" w14:textId="77777777" w:rsidR="00A63E4D" w:rsidRDefault="00A63E4D" w:rsidP="00A63E4D">
      <w:pPr>
        <w:spacing w:line="360" w:lineRule="auto"/>
      </w:pPr>
    </w:p>
    <w:p w14:paraId="6D07DEE7" w14:textId="77777777" w:rsidR="00A63E4D" w:rsidRDefault="00A63E4D" w:rsidP="00A63E4D">
      <w:pPr>
        <w:spacing w:line="360" w:lineRule="auto"/>
      </w:pPr>
    </w:p>
    <w:p w14:paraId="61FF2D0A" w14:textId="77777777" w:rsidR="00A63E4D" w:rsidRDefault="00A63E4D" w:rsidP="00A63E4D">
      <w:pPr>
        <w:spacing w:line="360" w:lineRule="auto"/>
      </w:pPr>
    </w:p>
    <w:p w14:paraId="156FD2D8" w14:textId="77777777" w:rsidR="00A63E4D" w:rsidRDefault="00A63E4D" w:rsidP="00A63E4D">
      <w:pPr>
        <w:spacing w:line="360" w:lineRule="auto"/>
      </w:pPr>
    </w:p>
    <w:p w14:paraId="7DF865C2" w14:textId="77777777" w:rsidR="00A63E4D" w:rsidRDefault="00A63E4D" w:rsidP="00A63E4D">
      <w:pPr>
        <w:spacing w:line="360" w:lineRule="auto"/>
      </w:pPr>
    </w:p>
    <w:p w14:paraId="555823C3" w14:textId="19E609F9" w:rsidR="00A63E4D" w:rsidRDefault="00A63E4D" w:rsidP="00A63E4D">
      <w:pPr>
        <w:spacing w:line="360" w:lineRule="auto"/>
      </w:pPr>
      <w:r>
        <w:t xml:space="preserve">Baburajan, V., de Abreu e Silva, J. and Pereira, F.C. (2022) ‘Open vs closed-ended questions in attitudinal surveys – Comparing, combining and interpreting using natural language processing’, </w:t>
      </w:r>
      <w:r>
        <w:rPr>
          <w:i/>
          <w:iCs/>
        </w:rPr>
        <w:t xml:space="preserve">Transportation research. Part C, Emerging Technologies, </w:t>
      </w:r>
      <w:r>
        <w:t xml:space="preserve">137, pp. 103589-. Available at: </w:t>
      </w:r>
      <w:hyperlink r:id="rId5" w:history="1">
        <w:r w:rsidRPr="006747A0">
          <w:rPr>
            <w:rStyle w:val="Hyperlink"/>
          </w:rPr>
          <w:t>https://www.sciencedirect.com/science/article/abs/pii/S0968090X22000353?via%3Dihub</w:t>
        </w:r>
      </w:hyperlink>
      <w:r>
        <w:t xml:space="preserve"> (Accessed: 16 April 2025). </w:t>
      </w:r>
    </w:p>
    <w:p w14:paraId="5D0B7C5D" w14:textId="77777777" w:rsidR="00AE3DEF" w:rsidRPr="00470E0A" w:rsidRDefault="00AE3DEF" w:rsidP="00A63E4D">
      <w:pPr>
        <w:spacing w:line="360" w:lineRule="auto"/>
      </w:pPr>
    </w:p>
    <w:p w14:paraId="3160CC27" w14:textId="77777777" w:rsidR="00A63E4D" w:rsidRDefault="00A63E4D" w:rsidP="00A63E4D">
      <w:pPr>
        <w:spacing w:line="360" w:lineRule="auto"/>
      </w:pPr>
      <w:r>
        <w:t xml:space="preserve">Capili, B. (2020) ‘Overview: Cross-sectional studies’, </w:t>
      </w:r>
      <w:r>
        <w:rPr>
          <w:i/>
          <w:iCs/>
        </w:rPr>
        <w:t xml:space="preserve">The American Journal of Nursing, </w:t>
      </w:r>
      <w:r>
        <w:t xml:space="preserve">121(10), pp. 59-62. Available at: </w:t>
      </w:r>
      <w:hyperlink r:id="rId6" w:history="1">
        <w:r w:rsidRPr="006747A0">
          <w:rPr>
            <w:rStyle w:val="Hyperlink"/>
          </w:rPr>
          <w:t>https://pmc.ncbi.nlm.nih.gov/articles/PMC9536510/</w:t>
        </w:r>
      </w:hyperlink>
      <w:r>
        <w:t xml:space="preserve"> (Accessed: 15 April 2025). </w:t>
      </w:r>
    </w:p>
    <w:p w14:paraId="7CCCEFB2" w14:textId="77777777" w:rsidR="00AE3DEF" w:rsidRDefault="00AE3DEF" w:rsidP="00A63E4D">
      <w:pPr>
        <w:spacing w:line="360" w:lineRule="auto"/>
      </w:pPr>
    </w:p>
    <w:p w14:paraId="6984C59D" w14:textId="77777777" w:rsidR="00A63E4D" w:rsidRDefault="00A63E4D" w:rsidP="00A63E4D">
      <w:pPr>
        <w:spacing w:line="360" w:lineRule="auto"/>
      </w:pPr>
      <w:r>
        <w:t xml:space="preserve">Ceccato, V., </w:t>
      </w:r>
      <w:proofErr w:type="spellStart"/>
      <w:r>
        <w:t>Gliori</w:t>
      </w:r>
      <w:proofErr w:type="spellEnd"/>
      <w:r>
        <w:t xml:space="preserve">, G., </w:t>
      </w:r>
      <w:proofErr w:type="spellStart"/>
      <w:r>
        <w:t>Näsman</w:t>
      </w:r>
      <w:proofErr w:type="spellEnd"/>
      <w:r>
        <w:t xml:space="preserve">, P. and Sundling, C. (2024) ‘Comparing responses from a paper- based survey with a web-based survey in environmental criminology’, </w:t>
      </w:r>
      <w:r w:rsidRPr="00275D99">
        <w:rPr>
          <w:i/>
          <w:iCs/>
        </w:rPr>
        <w:t xml:space="preserve">Crime Prevention and Community Safety, </w:t>
      </w:r>
      <w:r>
        <w:t xml:space="preserve">26(4), pp. 216-243. Available at: </w:t>
      </w:r>
      <w:hyperlink r:id="rId7" w:history="1">
        <w:r w:rsidRPr="006747A0">
          <w:rPr>
            <w:rStyle w:val="Hyperlink"/>
          </w:rPr>
          <w:t>https://link.springer.com/</w:t>
        </w:r>
        <w:r w:rsidRPr="006747A0">
          <w:rPr>
            <w:rStyle w:val="Hyperlink"/>
          </w:rPr>
          <w:t>a</w:t>
        </w:r>
        <w:r w:rsidRPr="006747A0">
          <w:rPr>
            <w:rStyle w:val="Hyperlink"/>
          </w:rPr>
          <w:t>rticle/10.1057/s41300-024-00204-9#citeas</w:t>
        </w:r>
      </w:hyperlink>
      <w:r>
        <w:t xml:space="preserve"> (Accessed: 15 April 2025). </w:t>
      </w:r>
    </w:p>
    <w:p w14:paraId="756EE558" w14:textId="77777777" w:rsidR="00AE3DEF" w:rsidRPr="00180CAD" w:rsidRDefault="00AE3DEF" w:rsidP="00A63E4D">
      <w:pPr>
        <w:spacing w:line="360" w:lineRule="auto"/>
      </w:pPr>
    </w:p>
    <w:p w14:paraId="259E02E3" w14:textId="77777777" w:rsidR="00A63E4D" w:rsidRDefault="00A63E4D" w:rsidP="00A63E4D">
      <w:pPr>
        <w:spacing w:line="360" w:lineRule="auto"/>
      </w:pPr>
      <w:r>
        <w:t xml:space="preserve">Kelley, K., Clark, B., Brown, V. and </w:t>
      </w:r>
      <w:proofErr w:type="spellStart"/>
      <w:r>
        <w:t>Sitza</w:t>
      </w:r>
      <w:proofErr w:type="spellEnd"/>
      <w:r>
        <w:t xml:space="preserve">, J. (2003) ‘Good practice in the conduct and reporting of survey research’, </w:t>
      </w:r>
      <w:r>
        <w:rPr>
          <w:i/>
          <w:iCs/>
        </w:rPr>
        <w:t xml:space="preserve">International Journal for Quality in Health Care, </w:t>
      </w:r>
      <w:r>
        <w:t xml:space="preserve">15(3), pp. 261-266. Available at: </w:t>
      </w:r>
      <w:hyperlink r:id="rId8" w:history="1">
        <w:r w:rsidRPr="006747A0">
          <w:rPr>
            <w:rStyle w:val="Hyperlink"/>
          </w:rPr>
          <w:t>https://academic.oup.com/intqhc/article/15/3/261/1856193?login=true#no-access-message%23no-access-message</w:t>
        </w:r>
      </w:hyperlink>
      <w:r>
        <w:t xml:space="preserve"> (Accessed: 16 March 2025). </w:t>
      </w:r>
    </w:p>
    <w:p w14:paraId="44BA0814" w14:textId="77777777" w:rsidR="00AE3DEF" w:rsidRPr="00090309" w:rsidRDefault="00AE3DEF" w:rsidP="00A63E4D">
      <w:pPr>
        <w:spacing w:line="360" w:lineRule="auto"/>
      </w:pPr>
    </w:p>
    <w:p w14:paraId="39E172B1" w14:textId="77777777" w:rsidR="00A63E4D" w:rsidRDefault="00A63E4D" w:rsidP="00A63E4D">
      <w:pPr>
        <w:spacing w:line="360" w:lineRule="auto"/>
      </w:pPr>
      <w:r>
        <w:t xml:space="preserve">Kesmodel, U.S. (2018) ‘Cross-sectional studies – what are they good for?’, </w:t>
      </w:r>
      <w:r w:rsidRPr="006F636C">
        <w:rPr>
          <w:i/>
          <w:iCs/>
        </w:rPr>
        <w:t xml:space="preserve">Acta </w:t>
      </w:r>
      <w:proofErr w:type="spellStart"/>
      <w:r w:rsidRPr="006F636C">
        <w:rPr>
          <w:i/>
          <w:iCs/>
        </w:rPr>
        <w:t>O</w:t>
      </w:r>
      <w:r w:rsidRPr="006F636C">
        <w:rPr>
          <w:i/>
          <w:iCs/>
        </w:rPr>
        <w:t>bstetricia</w:t>
      </w:r>
      <w:proofErr w:type="spellEnd"/>
      <w:r w:rsidRPr="006F636C">
        <w:rPr>
          <w:i/>
          <w:iCs/>
        </w:rPr>
        <w:t xml:space="preserve"> et </w:t>
      </w:r>
      <w:proofErr w:type="spellStart"/>
      <w:r w:rsidRPr="006F636C">
        <w:rPr>
          <w:i/>
          <w:iCs/>
        </w:rPr>
        <w:t>Gynecologica</w:t>
      </w:r>
      <w:proofErr w:type="spellEnd"/>
      <w:r w:rsidRPr="006F636C">
        <w:rPr>
          <w:i/>
          <w:iCs/>
        </w:rPr>
        <w:t xml:space="preserve"> </w:t>
      </w:r>
      <w:proofErr w:type="spellStart"/>
      <w:r w:rsidRPr="006F636C">
        <w:rPr>
          <w:i/>
          <w:iCs/>
        </w:rPr>
        <w:t>Scaninavica</w:t>
      </w:r>
      <w:proofErr w:type="spellEnd"/>
      <w:r w:rsidRPr="006F636C">
        <w:rPr>
          <w:i/>
          <w:iCs/>
        </w:rPr>
        <w:t xml:space="preserve">, </w:t>
      </w:r>
      <w:r>
        <w:t xml:space="preserve">97(4), pp. 388-393. Available at: </w:t>
      </w:r>
      <w:hyperlink r:id="rId9" w:history="1">
        <w:r w:rsidRPr="006747A0">
          <w:rPr>
            <w:rStyle w:val="Hyperlink"/>
          </w:rPr>
          <w:t>https://obgyn.onlinelibrary.wiley.com/doi/epdf/10.1111/aogs.13331</w:t>
        </w:r>
      </w:hyperlink>
      <w:r>
        <w:t xml:space="preserve"> (Accessed: 15 April 2025). </w:t>
      </w:r>
    </w:p>
    <w:p w14:paraId="10FB0F3B" w14:textId="77777777" w:rsidR="00AE3DEF" w:rsidRPr="00F823CA" w:rsidRDefault="00AE3DEF" w:rsidP="00A63E4D">
      <w:pPr>
        <w:spacing w:line="360" w:lineRule="auto"/>
      </w:pPr>
    </w:p>
    <w:p w14:paraId="18F9BAEF" w14:textId="77777777" w:rsidR="00A63E4D" w:rsidRDefault="00A63E4D" w:rsidP="00A63E4D">
      <w:pPr>
        <w:spacing w:line="360" w:lineRule="auto"/>
      </w:pPr>
      <w:r>
        <w:t xml:space="preserve">Klauer, K.J. and Phye, G.D. (2008) ‘Inductive reasoning: A training approach’, </w:t>
      </w:r>
      <w:r>
        <w:rPr>
          <w:i/>
          <w:iCs/>
        </w:rPr>
        <w:t xml:space="preserve">Review of Educational Research, </w:t>
      </w:r>
      <w:r>
        <w:t xml:space="preserve">78(1), pp. 85-123. Available at: </w:t>
      </w:r>
      <w:hyperlink r:id="rId10" w:history="1">
        <w:r w:rsidRPr="006747A0">
          <w:rPr>
            <w:rStyle w:val="Hyperlink"/>
          </w:rPr>
          <w:t>https://journals-sagepub-com.ezproxy.uwtsd.ac.uk/doi/epub/10.3102/0034654307313402</w:t>
        </w:r>
      </w:hyperlink>
      <w:r>
        <w:t xml:space="preserve"> (Accessed: 15 March 2025). </w:t>
      </w:r>
    </w:p>
    <w:p w14:paraId="08625AC6" w14:textId="77777777" w:rsidR="00AE3DEF" w:rsidRDefault="00AE3DEF" w:rsidP="00A63E4D">
      <w:pPr>
        <w:spacing w:line="360" w:lineRule="auto"/>
      </w:pPr>
    </w:p>
    <w:p w14:paraId="3F851301" w14:textId="77777777" w:rsidR="00A63E4D" w:rsidRDefault="00A63E4D" w:rsidP="00A63E4D">
      <w:pPr>
        <w:spacing w:line="360" w:lineRule="auto"/>
      </w:pPr>
      <w:r>
        <w:t xml:space="preserve">Leavy, P. (2020) </w:t>
      </w:r>
      <w:r>
        <w:rPr>
          <w:i/>
          <w:iCs/>
        </w:rPr>
        <w:t xml:space="preserve">The Oxford handbook of qualitative research. </w:t>
      </w:r>
      <w:r w:rsidRPr="00B130E7">
        <w:t>2</w:t>
      </w:r>
      <w:r w:rsidRPr="00B130E7">
        <w:rPr>
          <w:vertAlign w:val="superscript"/>
        </w:rPr>
        <w:t>nd</w:t>
      </w:r>
      <w:r w:rsidRPr="00B130E7">
        <w:t xml:space="preserve"> edition. </w:t>
      </w:r>
      <w:r>
        <w:t xml:space="preserve">New York: Oxford University Press. </w:t>
      </w:r>
    </w:p>
    <w:p w14:paraId="193D4BDD" w14:textId="77777777" w:rsidR="00AE3DEF" w:rsidRDefault="00AE3DEF" w:rsidP="00A63E4D">
      <w:pPr>
        <w:spacing w:line="360" w:lineRule="auto"/>
      </w:pPr>
    </w:p>
    <w:p w14:paraId="6F36DF55" w14:textId="77777777" w:rsidR="00A63E4D" w:rsidRDefault="00A63E4D" w:rsidP="00A63E4D">
      <w:pPr>
        <w:spacing w:line="360" w:lineRule="auto"/>
      </w:pPr>
      <w:r>
        <w:t xml:space="preserve">McMaster, H.S., </w:t>
      </w:r>
      <w:proofErr w:type="spellStart"/>
      <w:r>
        <w:t>Leardmann</w:t>
      </w:r>
      <w:proofErr w:type="spellEnd"/>
      <w:r>
        <w:t xml:space="preserve">, C.A., Speigle, S. and Dillman, D.A. (2017) ‘An experimental comparison of web-push vs. paper-only survey procedures for conducting in-in depth health surveys for military </w:t>
      </w:r>
      <w:r>
        <w:lastRenderedPageBreak/>
        <w:t xml:space="preserve">spouses’, </w:t>
      </w:r>
      <w:r>
        <w:rPr>
          <w:i/>
          <w:iCs/>
        </w:rPr>
        <w:t xml:space="preserve">BMC Medical Research Methodology, </w:t>
      </w:r>
      <w:r>
        <w:t xml:space="preserve">17(4), article number 73. Available at: </w:t>
      </w:r>
      <w:hyperlink r:id="rId11" w:history="1">
        <w:r w:rsidRPr="006747A0">
          <w:rPr>
            <w:rStyle w:val="Hyperlink"/>
          </w:rPr>
          <w:t>https://bmcmedresmethodol.biomedcentral.com/articles/10.1186/s12874-017-0337-1#citeas</w:t>
        </w:r>
      </w:hyperlink>
      <w:r>
        <w:t xml:space="preserve"> (Accessed: 15 April 2025). </w:t>
      </w:r>
    </w:p>
    <w:p w14:paraId="50CF1DEE" w14:textId="77777777" w:rsidR="00AE3DEF" w:rsidRDefault="00AE3DEF" w:rsidP="00A63E4D">
      <w:pPr>
        <w:spacing w:line="360" w:lineRule="auto"/>
      </w:pPr>
    </w:p>
    <w:p w14:paraId="2722B525" w14:textId="77777777" w:rsidR="00A63E4D" w:rsidRDefault="00A63E4D" w:rsidP="00A63E4D">
      <w:pPr>
        <w:spacing w:line="360" w:lineRule="auto"/>
        <w:rPr>
          <w:rFonts w:cstheme="minorHAnsi"/>
        </w:rPr>
      </w:pPr>
      <w:r w:rsidRPr="00865961">
        <w:rPr>
          <w:rFonts w:cstheme="minorHAnsi"/>
        </w:rPr>
        <w:t xml:space="preserve">Medical Research Council (2022) </w:t>
      </w:r>
      <w:r w:rsidRPr="00865961">
        <w:rPr>
          <w:rFonts w:cstheme="minorHAnsi"/>
          <w:i/>
          <w:iCs/>
        </w:rPr>
        <w:t xml:space="preserve">Embedding Diversity in Design: Diversity and Inclusion in the Design of Research Involving Human Participants. </w:t>
      </w:r>
      <w:r w:rsidRPr="00865961">
        <w:rPr>
          <w:rFonts w:cstheme="minorHAnsi"/>
        </w:rPr>
        <w:t xml:space="preserve">Swindon: UK Research and Innovation. Available at: </w:t>
      </w:r>
      <w:hyperlink r:id="rId12" w:history="1">
        <w:r w:rsidRPr="00865961">
          <w:rPr>
            <w:rStyle w:val="Hyperlink"/>
            <w:rFonts w:cstheme="minorHAnsi"/>
          </w:rPr>
          <w:t>https://www.ukri.org/wp-content/uploads/2023/03/Rep</w:t>
        </w:r>
        <w:r w:rsidRPr="00865961">
          <w:rPr>
            <w:rStyle w:val="Hyperlink"/>
            <w:rFonts w:cstheme="minorHAnsi"/>
          </w:rPr>
          <w:t>o</w:t>
        </w:r>
        <w:r w:rsidRPr="00865961">
          <w:rPr>
            <w:rStyle w:val="Hyperlink"/>
            <w:rFonts w:cstheme="minorHAnsi"/>
          </w:rPr>
          <w:t>rt_Embedding-Diversity-in-Research-Design.pdf</w:t>
        </w:r>
      </w:hyperlink>
      <w:r w:rsidRPr="00865961">
        <w:rPr>
          <w:rFonts w:cstheme="minorHAnsi"/>
        </w:rPr>
        <w:t xml:space="preserve"> (Accessed: </w:t>
      </w:r>
      <w:r>
        <w:rPr>
          <w:rFonts w:cstheme="minorHAnsi"/>
        </w:rPr>
        <w:t>16 April 2025</w:t>
      </w:r>
      <w:r w:rsidRPr="00865961">
        <w:rPr>
          <w:rFonts w:cstheme="minorHAnsi"/>
        </w:rPr>
        <w:t xml:space="preserve">). </w:t>
      </w:r>
    </w:p>
    <w:p w14:paraId="5BEDFF5D" w14:textId="77777777" w:rsidR="00E51A51" w:rsidRPr="00865961" w:rsidRDefault="00E51A51" w:rsidP="00A63E4D">
      <w:pPr>
        <w:spacing w:line="360" w:lineRule="auto"/>
        <w:rPr>
          <w:rFonts w:cstheme="minorHAnsi"/>
        </w:rPr>
      </w:pPr>
    </w:p>
    <w:p w14:paraId="798C0A41" w14:textId="77777777" w:rsidR="00A63E4D" w:rsidRDefault="00A63E4D" w:rsidP="00A63E4D">
      <w:pPr>
        <w:spacing w:line="360" w:lineRule="auto"/>
      </w:pPr>
      <w:r>
        <w:t xml:space="preserve">Novosel, L. M. (2023) ‘Understanding the evidence: Non-probability (non-random) sampling designs’, </w:t>
      </w:r>
      <w:r>
        <w:rPr>
          <w:i/>
          <w:iCs/>
        </w:rPr>
        <w:t xml:space="preserve">Urological Nursing, </w:t>
      </w:r>
      <w:r>
        <w:t xml:space="preserve">43(5), pp. 245-247. Available at: </w:t>
      </w:r>
      <w:hyperlink r:id="rId13" w:history="1">
        <w:r w:rsidRPr="006747A0">
          <w:rPr>
            <w:rStyle w:val="Hyperlink"/>
          </w:rPr>
          <w:t>https://openurl-ebsco-com.ezproxy.uwtsd.ac.uk/c/onvpsy/openurl?sid=ebsco:plink:entitlement&amp;id=ebsco:aph:173128441</w:t>
        </w:r>
      </w:hyperlink>
      <w:r>
        <w:t xml:space="preserve"> (Accessed: 16 April 2025). </w:t>
      </w:r>
    </w:p>
    <w:p w14:paraId="14B026F3" w14:textId="77777777" w:rsidR="00E51A51" w:rsidRPr="00123B20" w:rsidRDefault="00E51A51" w:rsidP="00A63E4D">
      <w:pPr>
        <w:spacing w:line="360" w:lineRule="auto"/>
      </w:pPr>
    </w:p>
    <w:p w14:paraId="0C725A33" w14:textId="77777777" w:rsidR="00A63E4D" w:rsidRDefault="00A63E4D" w:rsidP="00A63E4D">
      <w:pPr>
        <w:spacing w:line="360" w:lineRule="auto"/>
      </w:pPr>
      <w:r>
        <w:t xml:space="preserve">O’Dwyer, L.M. and Bernauer, J.A. (2016) </w:t>
      </w:r>
      <w:r>
        <w:rPr>
          <w:i/>
          <w:iCs/>
        </w:rPr>
        <w:t xml:space="preserve">Quantitative research for the qualitative researcher. </w:t>
      </w:r>
      <w:r>
        <w:t xml:space="preserve">Thousand Oaks, California: SAGE. </w:t>
      </w:r>
    </w:p>
    <w:p w14:paraId="6EB5EE3A" w14:textId="77777777" w:rsidR="00E51A51" w:rsidRDefault="00E51A51" w:rsidP="00A63E4D">
      <w:pPr>
        <w:spacing w:line="360" w:lineRule="auto"/>
      </w:pPr>
    </w:p>
    <w:p w14:paraId="19FB104D" w14:textId="77777777" w:rsidR="00A63E4D" w:rsidRDefault="00A63E4D" w:rsidP="00A63E4D">
      <w:pPr>
        <w:spacing w:line="360" w:lineRule="auto"/>
      </w:pPr>
      <w:r>
        <w:t xml:space="preserve">Palinkas, L.A. et al. (2015) ‘Purposeful sampling for qualitative data collection and analysis in mixed method implementation research’, Administration and Policy in Mental Health and Mental Health Services Research, 42(5), pp. 533-544. Available at: </w:t>
      </w:r>
      <w:hyperlink r:id="rId14" w:history="1">
        <w:r w:rsidRPr="006747A0">
          <w:rPr>
            <w:rStyle w:val="Hyperlink"/>
          </w:rPr>
          <w:t>https://link.springer.com/article/10.1007/s10488-013-0528-y</w:t>
        </w:r>
      </w:hyperlink>
      <w:r>
        <w:t xml:space="preserve"> (Accessed: 15 April 2025).  </w:t>
      </w:r>
    </w:p>
    <w:p w14:paraId="75DE6770" w14:textId="77777777" w:rsidR="00E51A51" w:rsidRPr="0017750E" w:rsidRDefault="00E51A51" w:rsidP="00A63E4D">
      <w:pPr>
        <w:spacing w:line="360" w:lineRule="auto"/>
      </w:pPr>
    </w:p>
    <w:p w14:paraId="4FAD0F2C" w14:textId="77777777" w:rsidR="00A63E4D" w:rsidRDefault="00A63E4D" w:rsidP="00A63E4D">
      <w:pPr>
        <w:spacing w:line="360" w:lineRule="auto"/>
      </w:pPr>
      <w:r>
        <w:t xml:space="preserve">Pham, L. (2018) </w:t>
      </w:r>
      <w:r w:rsidRPr="00060D69">
        <w:rPr>
          <w:i/>
          <w:iCs/>
        </w:rPr>
        <w:t>A review of key paradigms: Positivism, interpretivism and critical inquiry</w:t>
      </w:r>
      <w:r>
        <w:rPr>
          <w:i/>
          <w:iCs/>
        </w:rPr>
        <w:t xml:space="preserve">. </w:t>
      </w:r>
      <w:r w:rsidRPr="00A733EB">
        <w:t>M</w:t>
      </w:r>
      <w:r>
        <w:t xml:space="preserve">A </w:t>
      </w:r>
      <w:r w:rsidRPr="00A733EB">
        <w:t>thesis</w:t>
      </w:r>
      <w:r>
        <w:t>.</w:t>
      </w:r>
      <w:r w:rsidRPr="00A733EB">
        <w:t xml:space="preserve"> University of Adelaide. Available at:</w:t>
      </w:r>
      <w:r>
        <w:t xml:space="preserve"> </w:t>
      </w:r>
      <w:hyperlink r:id="rId15" w:history="1">
        <w:r w:rsidRPr="006747A0">
          <w:rPr>
            <w:rStyle w:val="Hyperlink"/>
          </w:rPr>
          <w:t>https://www.researchgate.net/publication/324486854_A_Review_of_key_paradigms_positivism_interpretivism_and_critical_inquiry</w:t>
        </w:r>
      </w:hyperlink>
      <w:r>
        <w:t xml:space="preserve"> (Accessed: 14 April 2025). </w:t>
      </w:r>
    </w:p>
    <w:p w14:paraId="760472E3" w14:textId="77777777" w:rsidR="00E51A51" w:rsidRPr="00A733EB" w:rsidRDefault="00E51A51" w:rsidP="00A63E4D">
      <w:pPr>
        <w:spacing w:line="360" w:lineRule="auto"/>
        <w:rPr>
          <w:i/>
          <w:iCs/>
        </w:rPr>
      </w:pPr>
    </w:p>
    <w:p w14:paraId="3D2BE37A" w14:textId="77777777" w:rsidR="00A63E4D" w:rsidRDefault="00A63E4D" w:rsidP="00A63E4D">
      <w:pPr>
        <w:spacing w:line="360" w:lineRule="auto"/>
      </w:pPr>
      <w:r>
        <w:t xml:space="preserve">Regnault, A., </w:t>
      </w:r>
      <w:proofErr w:type="spellStart"/>
      <w:r>
        <w:t>Willgoss</w:t>
      </w:r>
      <w:proofErr w:type="spellEnd"/>
      <w:r>
        <w:t xml:space="preserve">, T. and Barbic, S. (2018) ‘Towards the use of mixed method inquiry as best practice in health outcomes research’, </w:t>
      </w:r>
      <w:r>
        <w:rPr>
          <w:i/>
          <w:iCs/>
        </w:rPr>
        <w:t xml:space="preserve">Journal of Patient-Reported Outcomes, </w:t>
      </w:r>
      <w:r w:rsidRPr="0017750E">
        <w:t xml:space="preserve">2(1), </w:t>
      </w:r>
      <w:r>
        <w:t xml:space="preserve">pp. 1-4. Available at: </w:t>
      </w:r>
      <w:hyperlink r:id="rId16" w:history="1">
        <w:r w:rsidRPr="006747A0">
          <w:rPr>
            <w:rStyle w:val="Hyperlink"/>
          </w:rPr>
          <w:t>https://jpro.springeropen.com/articles/10.1186/s41687-018-0043-8#citeas</w:t>
        </w:r>
      </w:hyperlink>
      <w:r>
        <w:t xml:space="preserve"> (Accessed: 15 April 2025). </w:t>
      </w:r>
    </w:p>
    <w:p w14:paraId="3D49B9E3" w14:textId="77777777" w:rsidR="00E51A51" w:rsidRDefault="00E51A51" w:rsidP="00A63E4D">
      <w:pPr>
        <w:spacing w:line="360" w:lineRule="auto"/>
      </w:pPr>
    </w:p>
    <w:p w14:paraId="57C286A7" w14:textId="77777777" w:rsidR="00A63E4D" w:rsidRDefault="00A63E4D" w:rsidP="00A63E4D">
      <w:pPr>
        <w:spacing w:line="360" w:lineRule="auto"/>
      </w:pPr>
      <w:r>
        <w:t xml:space="preserve">Rosala, M. (2024) ‘Open-ended questions vs. closed questions in user research’, </w:t>
      </w:r>
      <w:r>
        <w:rPr>
          <w:i/>
          <w:iCs/>
        </w:rPr>
        <w:t xml:space="preserve">Nielsen Norman Group, </w:t>
      </w:r>
      <w:r>
        <w:t xml:space="preserve">26 January. Available at: </w:t>
      </w:r>
      <w:hyperlink r:id="rId17" w:history="1">
        <w:r w:rsidRPr="006747A0">
          <w:rPr>
            <w:rStyle w:val="Hyperlink"/>
          </w:rPr>
          <w:t>https://www.nngroup.com/articles/open-ended-</w:t>
        </w:r>
        <w:r w:rsidRPr="006747A0">
          <w:rPr>
            <w:rStyle w:val="Hyperlink"/>
          </w:rPr>
          <w:lastRenderedPageBreak/>
          <w:t>questions/#:~:text=Open%2Dended%20questio</w:t>
        </w:r>
        <w:r w:rsidRPr="006747A0">
          <w:rPr>
            <w:rStyle w:val="Hyperlink"/>
          </w:rPr>
          <w:t>n</w:t>
        </w:r>
        <w:r w:rsidRPr="006747A0">
          <w:rPr>
            <w:rStyle w:val="Hyperlink"/>
          </w:rPr>
          <w:t>s%20allow%20participants,and%20in%20how%20much%20detail</w:t>
        </w:r>
      </w:hyperlink>
      <w:r>
        <w:t xml:space="preserve"> (Accessed: 16 April 2024). </w:t>
      </w:r>
    </w:p>
    <w:p w14:paraId="02D83108" w14:textId="77777777" w:rsidR="00E51A51" w:rsidRDefault="00E51A51" w:rsidP="00A63E4D">
      <w:pPr>
        <w:spacing w:line="360" w:lineRule="auto"/>
      </w:pPr>
    </w:p>
    <w:p w14:paraId="5CB48B82" w14:textId="77777777" w:rsidR="00A63E4D" w:rsidRDefault="00A63E4D" w:rsidP="00A63E4D">
      <w:pPr>
        <w:spacing w:line="360" w:lineRule="auto"/>
      </w:pPr>
      <w:r>
        <w:t>Ryan, G. (2018) ‘Introduction to positivism, interpretivism and critical theory’, Nurse</w:t>
      </w:r>
      <w:r>
        <w:rPr>
          <w:i/>
          <w:iCs/>
        </w:rPr>
        <w:t xml:space="preserve"> Researcher, </w:t>
      </w:r>
      <w:r>
        <w:t xml:space="preserve">25(4), pp. 14-20. Available at: </w:t>
      </w:r>
      <w:hyperlink r:id="rId18" w:history="1">
        <w:r w:rsidRPr="006747A0">
          <w:rPr>
            <w:rStyle w:val="Hyperlink"/>
          </w:rPr>
          <w:t>https://journals-rcni-com.ezproxy.uwtsd.ac.uk/doi/pdf/10.7748/nr.2018.e1466</w:t>
        </w:r>
      </w:hyperlink>
      <w:r>
        <w:t xml:space="preserve"> (Accessed: 14 April 2025). </w:t>
      </w:r>
    </w:p>
    <w:p w14:paraId="64321F8D" w14:textId="77777777" w:rsidR="00E51A51" w:rsidRDefault="00E51A51" w:rsidP="00A63E4D">
      <w:pPr>
        <w:spacing w:line="360" w:lineRule="auto"/>
      </w:pPr>
    </w:p>
    <w:p w14:paraId="1558E813" w14:textId="77777777" w:rsidR="00A63E4D" w:rsidRDefault="00A63E4D" w:rsidP="00A63E4D">
      <w:pPr>
        <w:spacing w:line="360" w:lineRule="auto"/>
      </w:pPr>
      <w:r>
        <w:t xml:space="preserve">Saunders, M.N.K., Lewis, P. and Thornhill, A. (2009) ‘Understanding research philosophies and approaches’, </w:t>
      </w:r>
      <w:r>
        <w:rPr>
          <w:i/>
          <w:iCs/>
        </w:rPr>
        <w:t xml:space="preserve">Research methods for business students, </w:t>
      </w:r>
      <w:r w:rsidRPr="00FE5BDC">
        <w:t>4</w:t>
      </w:r>
      <w:r>
        <w:t>(1)</w:t>
      </w:r>
      <w:r w:rsidRPr="00FE5BDC">
        <w:t xml:space="preserve">, pp. 106-135. </w:t>
      </w:r>
      <w:r>
        <w:t xml:space="preserve">Available at: </w:t>
      </w:r>
      <w:hyperlink r:id="rId19" w:history="1">
        <w:r w:rsidRPr="006747A0">
          <w:rPr>
            <w:rStyle w:val="Hyperlink"/>
          </w:rPr>
          <w:t>https://www.researchgate.net/p</w:t>
        </w:r>
        <w:r w:rsidRPr="006747A0">
          <w:rPr>
            <w:rStyle w:val="Hyperlink"/>
          </w:rPr>
          <w:t>u</w:t>
        </w:r>
        <w:r w:rsidRPr="006747A0">
          <w:rPr>
            <w:rStyle w:val="Hyperlink"/>
          </w:rPr>
          <w:t>blication/309102603</w:t>
        </w:r>
      </w:hyperlink>
      <w:r>
        <w:t xml:space="preserve"> (Accessed: 14 March 2025). </w:t>
      </w:r>
      <w:r w:rsidRPr="003C514D">
        <w:t xml:space="preserve"> </w:t>
      </w:r>
    </w:p>
    <w:p w14:paraId="54366050" w14:textId="77777777" w:rsidR="00E51A51" w:rsidRDefault="00E51A51" w:rsidP="00A63E4D">
      <w:pPr>
        <w:spacing w:line="360" w:lineRule="auto"/>
      </w:pPr>
    </w:p>
    <w:p w14:paraId="0ECBDF52" w14:textId="77777777" w:rsidR="00A63E4D" w:rsidRDefault="00A63E4D" w:rsidP="00A63E4D">
      <w:pPr>
        <w:spacing w:line="360" w:lineRule="auto"/>
      </w:pPr>
      <w:r>
        <w:t xml:space="preserve">Saunders, M.N.K., Lewis, P. and Thornhill, A. (2019) </w:t>
      </w:r>
      <w:r>
        <w:rPr>
          <w:i/>
          <w:iCs/>
        </w:rPr>
        <w:t>Research methods for business students.</w:t>
      </w:r>
      <w:r w:rsidRPr="00684449">
        <w:t xml:space="preserve"> 8</w:t>
      </w:r>
      <w:r w:rsidRPr="00684449">
        <w:rPr>
          <w:vertAlign w:val="superscript"/>
        </w:rPr>
        <w:t>th</w:t>
      </w:r>
      <w:r w:rsidRPr="00684449">
        <w:t xml:space="preserve"> edition. Harlow, England: Pearson.</w:t>
      </w:r>
    </w:p>
    <w:p w14:paraId="079301B2" w14:textId="77777777" w:rsidR="00E51A51" w:rsidRDefault="00E51A51" w:rsidP="00A63E4D">
      <w:pPr>
        <w:spacing w:line="360" w:lineRule="auto"/>
      </w:pPr>
    </w:p>
    <w:p w14:paraId="3E430C07" w14:textId="77777777" w:rsidR="00A63E4D" w:rsidRDefault="00A63E4D" w:rsidP="00A63E4D">
      <w:pPr>
        <w:spacing w:line="360" w:lineRule="auto"/>
      </w:pPr>
      <w:proofErr w:type="spellStart"/>
      <w:r>
        <w:t>Sovacool</w:t>
      </w:r>
      <w:proofErr w:type="spellEnd"/>
      <w:r>
        <w:t xml:space="preserve">, B.K., Iskandarova, M. and Hall, J. (2023) ‘Industrializing theories: A thematic analysis of conceptual frameworks and typologies for industrial sociotechnical change in low-carbon future’, </w:t>
      </w:r>
      <w:r w:rsidRPr="00A43EC5">
        <w:rPr>
          <w:i/>
          <w:iCs/>
        </w:rPr>
        <w:t xml:space="preserve">Energy Research &amp; Social Science, </w:t>
      </w:r>
      <w:r>
        <w:t xml:space="preserve">97, pp. 102954 -. Available at: </w:t>
      </w:r>
      <w:hyperlink r:id="rId20" w:history="1">
        <w:r w:rsidRPr="006747A0">
          <w:rPr>
            <w:rStyle w:val="Hyperlink"/>
          </w:rPr>
          <w:t>https://www.sciencedirect.com/science/article/pii/S2214629623000142</w:t>
        </w:r>
      </w:hyperlink>
      <w:r>
        <w:t xml:space="preserve"> (Accessed: 16 April 2025). </w:t>
      </w:r>
    </w:p>
    <w:p w14:paraId="0A6418C5" w14:textId="77777777" w:rsidR="00E51A51" w:rsidRDefault="00E51A51" w:rsidP="00A63E4D">
      <w:pPr>
        <w:spacing w:line="360" w:lineRule="auto"/>
      </w:pPr>
    </w:p>
    <w:p w14:paraId="2D314E13" w14:textId="77777777" w:rsidR="00A63E4D" w:rsidRDefault="00A63E4D" w:rsidP="00A63E4D">
      <w:pPr>
        <w:spacing w:line="360" w:lineRule="auto"/>
      </w:pPr>
      <w:r>
        <w:t xml:space="preserve">Tang, H. (2020) </w:t>
      </w:r>
      <w:r>
        <w:rPr>
          <w:i/>
          <w:iCs/>
        </w:rPr>
        <w:t xml:space="preserve">Engineering research: Design, methods and publications. </w:t>
      </w:r>
      <w:r>
        <w:t xml:space="preserve">Hoboken: Wiley. </w:t>
      </w:r>
    </w:p>
    <w:p w14:paraId="578CE719" w14:textId="0B704736" w:rsidR="00A63E4D" w:rsidRDefault="00A63E4D" w:rsidP="00A63E4D">
      <w:pPr>
        <w:spacing w:line="360" w:lineRule="auto"/>
      </w:pPr>
      <w:r>
        <w:t xml:space="preserve">Theophilus, A. (2018) ‘Qualitative research: Deductive and inductive approaches to data analysis’, </w:t>
      </w:r>
      <w:r w:rsidRPr="001A3F43">
        <w:rPr>
          <w:i/>
          <w:iCs/>
        </w:rPr>
        <w:t>Qualitative Research Journal,</w:t>
      </w:r>
      <w:r>
        <w:t xml:space="preserve"> 18(4), pp. 383-400. Available at: </w:t>
      </w:r>
      <w:hyperlink r:id="rId21" w:history="1">
        <w:r w:rsidRPr="006747A0">
          <w:rPr>
            <w:rStyle w:val="Hyperlink"/>
          </w:rPr>
          <w:t>https://www.proquest.com/docview/2133411195?accountid=130472&amp;parentSessionId=PK4kkcyj%2F0FCudTZ3gZ1f396uxZTArbfW%2FcoqLq5duQ%3D&amp;pq-origsite=primo&amp;sourcetype=Scholarly%20Journals</w:t>
        </w:r>
      </w:hyperlink>
      <w:r>
        <w:t xml:space="preserve">  (Accessed</w:t>
      </w:r>
      <w:r w:rsidR="00E51A51">
        <w:t>:</w:t>
      </w:r>
      <w:r>
        <w:t xml:space="preserve"> 15 April 2025). </w:t>
      </w:r>
    </w:p>
    <w:p w14:paraId="353DF841" w14:textId="77777777" w:rsidR="00E51A51" w:rsidRDefault="00E51A51" w:rsidP="00A63E4D">
      <w:pPr>
        <w:spacing w:line="360" w:lineRule="auto"/>
      </w:pPr>
    </w:p>
    <w:p w14:paraId="538A8CC3" w14:textId="77777777" w:rsidR="00A63E4D" w:rsidRDefault="00A63E4D" w:rsidP="00A63E4D">
      <w:pPr>
        <w:spacing w:line="360" w:lineRule="auto"/>
      </w:pPr>
      <w:r>
        <w:t xml:space="preserve">Wang, X. and Cheng, Z, (2020) ‘Cross-sectional studies: Strengths, weaknesses and recommendations’, </w:t>
      </w:r>
      <w:r w:rsidRPr="00D31BBA">
        <w:rPr>
          <w:i/>
          <w:iCs/>
        </w:rPr>
        <w:t>Chest,</w:t>
      </w:r>
      <w:r>
        <w:t xml:space="preserve"> 158(1), pp. 65-71. Available at: </w:t>
      </w:r>
      <w:hyperlink r:id="rId22" w:history="1">
        <w:r w:rsidRPr="006747A0">
          <w:rPr>
            <w:rStyle w:val="Hyperlink"/>
          </w:rPr>
          <w:t>https://journal.chestnet.org/action/showPdf?pii=S0012-3692%2820%2930462-1</w:t>
        </w:r>
      </w:hyperlink>
      <w:r>
        <w:t xml:space="preserve"> (Accessed: 15 April 2025). </w:t>
      </w:r>
    </w:p>
    <w:p w14:paraId="5F9530ED" w14:textId="77777777" w:rsidR="00E51A51" w:rsidRDefault="00E51A51" w:rsidP="00A63E4D">
      <w:pPr>
        <w:spacing w:line="360" w:lineRule="auto"/>
      </w:pPr>
    </w:p>
    <w:p w14:paraId="0546F726" w14:textId="77777777" w:rsidR="00A63E4D" w:rsidRPr="00AF4932" w:rsidRDefault="00A63E4D" w:rsidP="00A63E4D">
      <w:pPr>
        <w:spacing w:line="360" w:lineRule="auto"/>
      </w:pPr>
      <w:r>
        <w:t xml:space="preserve">Weening, M.W.H. and </w:t>
      </w:r>
      <w:proofErr w:type="spellStart"/>
      <w:r>
        <w:t>Maareveld</w:t>
      </w:r>
      <w:proofErr w:type="spellEnd"/>
      <w:r>
        <w:t xml:space="preserve">, M. (2003) ‘The impact of time constraint on information search strategies in complex choice tasks’, </w:t>
      </w:r>
      <w:r>
        <w:rPr>
          <w:i/>
          <w:iCs/>
        </w:rPr>
        <w:t xml:space="preserve">Journal of Economic Psychology, </w:t>
      </w:r>
      <w:r>
        <w:t xml:space="preserve">23(6), pp. 680-702. Available at: </w:t>
      </w:r>
      <w:hyperlink r:id="rId23" w:history="1">
        <w:r w:rsidRPr="006747A0">
          <w:rPr>
            <w:rStyle w:val="Hyperlink"/>
          </w:rPr>
          <w:t>https://www.sciencedirect.com/science/article/abs/pii/S0167487002001344</w:t>
        </w:r>
      </w:hyperlink>
      <w:r>
        <w:t xml:space="preserve"> (Accessed: 16 March 2025). </w:t>
      </w:r>
    </w:p>
    <w:sectPr w:rsidR="00A63E4D" w:rsidRPr="00AF4932" w:rsidSect="001266C1">
      <w:pgSz w:w="11894" w:h="16834"/>
      <w:pgMar w:top="720" w:right="720" w:bottom="720" w:left="720" w:header="709" w:footer="454" w:gutter="0"/>
      <w:cols w:space="708"/>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A0DC7"/>
    <w:multiLevelType w:val="hybridMultilevel"/>
    <w:tmpl w:val="61043A82"/>
    <w:lvl w:ilvl="0" w:tplc="FFDEA97C">
      <w:start w:val="1"/>
      <w:numFmt w:val="bullet"/>
      <w:lvlText w:val="•"/>
      <w:lvlJc w:val="left"/>
      <w:pPr>
        <w:tabs>
          <w:tab w:val="num" w:pos="720"/>
        </w:tabs>
        <w:ind w:left="720" w:hanging="360"/>
      </w:pPr>
      <w:rPr>
        <w:rFonts w:ascii="Arial" w:hAnsi="Arial" w:hint="default"/>
      </w:rPr>
    </w:lvl>
    <w:lvl w:ilvl="1" w:tplc="68480762">
      <w:numFmt w:val="bullet"/>
      <w:lvlText w:val="–"/>
      <w:lvlJc w:val="left"/>
      <w:pPr>
        <w:tabs>
          <w:tab w:val="num" w:pos="1440"/>
        </w:tabs>
        <w:ind w:left="1440" w:hanging="360"/>
      </w:pPr>
      <w:rPr>
        <w:rFonts w:ascii="Arial" w:hAnsi="Arial" w:hint="default"/>
      </w:rPr>
    </w:lvl>
    <w:lvl w:ilvl="2" w:tplc="A3D46F26" w:tentative="1">
      <w:start w:val="1"/>
      <w:numFmt w:val="bullet"/>
      <w:lvlText w:val="•"/>
      <w:lvlJc w:val="left"/>
      <w:pPr>
        <w:tabs>
          <w:tab w:val="num" w:pos="2160"/>
        </w:tabs>
        <w:ind w:left="2160" w:hanging="360"/>
      </w:pPr>
      <w:rPr>
        <w:rFonts w:ascii="Arial" w:hAnsi="Arial" w:hint="default"/>
      </w:rPr>
    </w:lvl>
    <w:lvl w:ilvl="3" w:tplc="7A50C54C" w:tentative="1">
      <w:start w:val="1"/>
      <w:numFmt w:val="bullet"/>
      <w:lvlText w:val="•"/>
      <w:lvlJc w:val="left"/>
      <w:pPr>
        <w:tabs>
          <w:tab w:val="num" w:pos="2880"/>
        </w:tabs>
        <w:ind w:left="2880" w:hanging="360"/>
      </w:pPr>
      <w:rPr>
        <w:rFonts w:ascii="Arial" w:hAnsi="Arial" w:hint="default"/>
      </w:rPr>
    </w:lvl>
    <w:lvl w:ilvl="4" w:tplc="8A0089DC" w:tentative="1">
      <w:start w:val="1"/>
      <w:numFmt w:val="bullet"/>
      <w:lvlText w:val="•"/>
      <w:lvlJc w:val="left"/>
      <w:pPr>
        <w:tabs>
          <w:tab w:val="num" w:pos="3600"/>
        </w:tabs>
        <w:ind w:left="3600" w:hanging="360"/>
      </w:pPr>
      <w:rPr>
        <w:rFonts w:ascii="Arial" w:hAnsi="Arial" w:hint="default"/>
      </w:rPr>
    </w:lvl>
    <w:lvl w:ilvl="5" w:tplc="684A4D6C" w:tentative="1">
      <w:start w:val="1"/>
      <w:numFmt w:val="bullet"/>
      <w:lvlText w:val="•"/>
      <w:lvlJc w:val="left"/>
      <w:pPr>
        <w:tabs>
          <w:tab w:val="num" w:pos="4320"/>
        </w:tabs>
        <w:ind w:left="4320" w:hanging="360"/>
      </w:pPr>
      <w:rPr>
        <w:rFonts w:ascii="Arial" w:hAnsi="Arial" w:hint="default"/>
      </w:rPr>
    </w:lvl>
    <w:lvl w:ilvl="6" w:tplc="A3A68DBA" w:tentative="1">
      <w:start w:val="1"/>
      <w:numFmt w:val="bullet"/>
      <w:lvlText w:val="•"/>
      <w:lvlJc w:val="left"/>
      <w:pPr>
        <w:tabs>
          <w:tab w:val="num" w:pos="5040"/>
        </w:tabs>
        <w:ind w:left="5040" w:hanging="360"/>
      </w:pPr>
      <w:rPr>
        <w:rFonts w:ascii="Arial" w:hAnsi="Arial" w:hint="default"/>
      </w:rPr>
    </w:lvl>
    <w:lvl w:ilvl="7" w:tplc="7F6CB05C" w:tentative="1">
      <w:start w:val="1"/>
      <w:numFmt w:val="bullet"/>
      <w:lvlText w:val="•"/>
      <w:lvlJc w:val="left"/>
      <w:pPr>
        <w:tabs>
          <w:tab w:val="num" w:pos="5760"/>
        </w:tabs>
        <w:ind w:left="5760" w:hanging="360"/>
      </w:pPr>
      <w:rPr>
        <w:rFonts w:ascii="Arial" w:hAnsi="Arial" w:hint="default"/>
      </w:rPr>
    </w:lvl>
    <w:lvl w:ilvl="8" w:tplc="293092D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11E471B"/>
    <w:multiLevelType w:val="hybridMultilevel"/>
    <w:tmpl w:val="39108A46"/>
    <w:lvl w:ilvl="0" w:tplc="12E092B4">
      <w:start w:val="1"/>
      <w:numFmt w:val="bullet"/>
      <w:lvlText w:val="•"/>
      <w:lvlJc w:val="left"/>
      <w:pPr>
        <w:tabs>
          <w:tab w:val="num" w:pos="720"/>
        </w:tabs>
        <w:ind w:left="720" w:hanging="360"/>
      </w:pPr>
      <w:rPr>
        <w:rFonts w:ascii="Arial" w:hAnsi="Arial" w:hint="default"/>
      </w:rPr>
    </w:lvl>
    <w:lvl w:ilvl="1" w:tplc="69D8F81A">
      <w:numFmt w:val="bullet"/>
      <w:lvlText w:val="–"/>
      <w:lvlJc w:val="left"/>
      <w:pPr>
        <w:tabs>
          <w:tab w:val="num" w:pos="1440"/>
        </w:tabs>
        <w:ind w:left="1440" w:hanging="360"/>
      </w:pPr>
      <w:rPr>
        <w:rFonts w:ascii="Arial" w:hAnsi="Arial" w:hint="default"/>
      </w:rPr>
    </w:lvl>
    <w:lvl w:ilvl="2" w:tplc="BB6A594E" w:tentative="1">
      <w:start w:val="1"/>
      <w:numFmt w:val="bullet"/>
      <w:lvlText w:val="•"/>
      <w:lvlJc w:val="left"/>
      <w:pPr>
        <w:tabs>
          <w:tab w:val="num" w:pos="2160"/>
        </w:tabs>
        <w:ind w:left="2160" w:hanging="360"/>
      </w:pPr>
      <w:rPr>
        <w:rFonts w:ascii="Arial" w:hAnsi="Arial" w:hint="default"/>
      </w:rPr>
    </w:lvl>
    <w:lvl w:ilvl="3" w:tplc="61160E54" w:tentative="1">
      <w:start w:val="1"/>
      <w:numFmt w:val="bullet"/>
      <w:lvlText w:val="•"/>
      <w:lvlJc w:val="left"/>
      <w:pPr>
        <w:tabs>
          <w:tab w:val="num" w:pos="2880"/>
        </w:tabs>
        <w:ind w:left="2880" w:hanging="360"/>
      </w:pPr>
      <w:rPr>
        <w:rFonts w:ascii="Arial" w:hAnsi="Arial" w:hint="default"/>
      </w:rPr>
    </w:lvl>
    <w:lvl w:ilvl="4" w:tplc="266EBCE2" w:tentative="1">
      <w:start w:val="1"/>
      <w:numFmt w:val="bullet"/>
      <w:lvlText w:val="•"/>
      <w:lvlJc w:val="left"/>
      <w:pPr>
        <w:tabs>
          <w:tab w:val="num" w:pos="3600"/>
        </w:tabs>
        <w:ind w:left="3600" w:hanging="360"/>
      </w:pPr>
      <w:rPr>
        <w:rFonts w:ascii="Arial" w:hAnsi="Arial" w:hint="default"/>
      </w:rPr>
    </w:lvl>
    <w:lvl w:ilvl="5" w:tplc="AB6614E4" w:tentative="1">
      <w:start w:val="1"/>
      <w:numFmt w:val="bullet"/>
      <w:lvlText w:val="•"/>
      <w:lvlJc w:val="left"/>
      <w:pPr>
        <w:tabs>
          <w:tab w:val="num" w:pos="4320"/>
        </w:tabs>
        <w:ind w:left="4320" w:hanging="360"/>
      </w:pPr>
      <w:rPr>
        <w:rFonts w:ascii="Arial" w:hAnsi="Arial" w:hint="default"/>
      </w:rPr>
    </w:lvl>
    <w:lvl w:ilvl="6" w:tplc="C0B0CDD4" w:tentative="1">
      <w:start w:val="1"/>
      <w:numFmt w:val="bullet"/>
      <w:lvlText w:val="•"/>
      <w:lvlJc w:val="left"/>
      <w:pPr>
        <w:tabs>
          <w:tab w:val="num" w:pos="5040"/>
        </w:tabs>
        <w:ind w:left="5040" w:hanging="360"/>
      </w:pPr>
      <w:rPr>
        <w:rFonts w:ascii="Arial" w:hAnsi="Arial" w:hint="default"/>
      </w:rPr>
    </w:lvl>
    <w:lvl w:ilvl="7" w:tplc="DA466276" w:tentative="1">
      <w:start w:val="1"/>
      <w:numFmt w:val="bullet"/>
      <w:lvlText w:val="•"/>
      <w:lvlJc w:val="left"/>
      <w:pPr>
        <w:tabs>
          <w:tab w:val="num" w:pos="5760"/>
        </w:tabs>
        <w:ind w:left="5760" w:hanging="360"/>
      </w:pPr>
      <w:rPr>
        <w:rFonts w:ascii="Arial" w:hAnsi="Arial" w:hint="default"/>
      </w:rPr>
    </w:lvl>
    <w:lvl w:ilvl="8" w:tplc="E3AAA9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2E0798"/>
    <w:multiLevelType w:val="hybridMultilevel"/>
    <w:tmpl w:val="F5D236BA"/>
    <w:lvl w:ilvl="0" w:tplc="F35C990A">
      <w:start w:val="1"/>
      <w:numFmt w:val="bullet"/>
      <w:lvlText w:val="•"/>
      <w:lvlJc w:val="left"/>
      <w:pPr>
        <w:tabs>
          <w:tab w:val="num" w:pos="720"/>
        </w:tabs>
        <w:ind w:left="720" w:hanging="360"/>
      </w:pPr>
      <w:rPr>
        <w:rFonts w:ascii="Arial" w:hAnsi="Arial" w:hint="default"/>
      </w:rPr>
    </w:lvl>
    <w:lvl w:ilvl="1" w:tplc="7FE0507E">
      <w:numFmt w:val="bullet"/>
      <w:lvlText w:val="–"/>
      <w:lvlJc w:val="left"/>
      <w:pPr>
        <w:tabs>
          <w:tab w:val="num" w:pos="1440"/>
        </w:tabs>
        <w:ind w:left="1440" w:hanging="360"/>
      </w:pPr>
      <w:rPr>
        <w:rFonts w:ascii="Arial" w:hAnsi="Arial" w:hint="default"/>
      </w:rPr>
    </w:lvl>
    <w:lvl w:ilvl="2" w:tplc="7C16F18E" w:tentative="1">
      <w:start w:val="1"/>
      <w:numFmt w:val="bullet"/>
      <w:lvlText w:val="•"/>
      <w:lvlJc w:val="left"/>
      <w:pPr>
        <w:tabs>
          <w:tab w:val="num" w:pos="2160"/>
        </w:tabs>
        <w:ind w:left="2160" w:hanging="360"/>
      </w:pPr>
      <w:rPr>
        <w:rFonts w:ascii="Arial" w:hAnsi="Arial" w:hint="default"/>
      </w:rPr>
    </w:lvl>
    <w:lvl w:ilvl="3" w:tplc="871C9CE4" w:tentative="1">
      <w:start w:val="1"/>
      <w:numFmt w:val="bullet"/>
      <w:lvlText w:val="•"/>
      <w:lvlJc w:val="left"/>
      <w:pPr>
        <w:tabs>
          <w:tab w:val="num" w:pos="2880"/>
        </w:tabs>
        <w:ind w:left="2880" w:hanging="360"/>
      </w:pPr>
      <w:rPr>
        <w:rFonts w:ascii="Arial" w:hAnsi="Arial" w:hint="default"/>
      </w:rPr>
    </w:lvl>
    <w:lvl w:ilvl="4" w:tplc="57C45AAC" w:tentative="1">
      <w:start w:val="1"/>
      <w:numFmt w:val="bullet"/>
      <w:lvlText w:val="•"/>
      <w:lvlJc w:val="left"/>
      <w:pPr>
        <w:tabs>
          <w:tab w:val="num" w:pos="3600"/>
        </w:tabs>
        <w:ind w:left="3600" w:hanging="360"/>
      </w:pPr>
      <w:rPr>
        <w:rFonts w:ascii="Arial" w:hAnsi="Arial" w:hint="default"/>
      </w:rPr>
    </w:lvl>
    <w:lvl w:ilvl="5" w:tplc="F96C5598" w:tentative="1">
      <w:start w:val="1"/>
      <w:numFmt w:val="bullet"/>
      <w:lvlText w:val="•"/>
      <w:lvlJc w:val="left"/>
      <w:pPr>
        <w:tabs>
          <w:tab w:val="num" w:pos="4320"/>
        </w:tabs>
        <w:ind w:left="4320" w:hanging="360"/>
      </w:pPr>
      <w:rPr>
        <w:rFonts w:ascii="Arial" w:hAnsi="Arial" w:hint="default"/>
      </w:rPr>
    </w:lvl>
    <w:lvl w:ilvl="6" w:tplc="23D28D66" w:tentative="1">
      <w:start w:val="1"/>
      <w:numFmt w:val="bullet"/>
      <w:lvlText w:val="•"/>
      <w:lvlJc w:val="left"/>
      <w:pPr>
        <w:tabs>
          <w:tab w:val="num" w:pos="5040"/>
        </w:tabs>
        <w:ind w:left="5040" w:hanging="360"/>
      </w:pPr>
      <w:rPr>
        <w:rFonts w:ascii="Arial" w:hAnsi="Arial" w:hint="default"/>
      </w:rPr>
    </w:lvl>
    <w:lvl w:ilvl="7" w:tplc="18B4FA34" w:tentative="1">
      <w:start w:val="1"/>
      <w:numFmt w:val="bullet"/>
      <w:lvlText w:val="•"/>
      <w:lvlJc w:val="left"/>
      <w:pPr>
        <w:tabs>
          <w:tab w:val="num" w:pos="5760"/>
        </w:tabs>
        <w:ind w:left="5760" w:hanging="360"/>
      </w:pPr>
      <w:rPr>
        <w:rFonts w:ascii="Arial" w:hAnsi="Arial" w:hint="default"/>
      </w:rPr>
    </w:lvl>
    <w:lvl w:ilvl="8" w:tplc="26C0E4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72701D6"/>
    <w:multiLevelType w:val="hybridMultilevel"/>
    <w:tmpl w:val="3FBA1900"/>
    <w:lvl w:ilvl="0" w:tplc="68CAAC4A">
      <w:start w:val="1"/>
      <w:numFmt w:val="bullet"/>
      <w:lvlText w:val="•"/>
      <w:lvlJc w:val="left"/>
      <w:pPr>
        <w:tabs>
          <w:tab w:val="num" w:pos="720"/>
        </w:tabs>
        <w:ind w:left="720" w:hanging="360"/>
      </w:pPr>
      <w:rPr>
        <w:rFonts w:ascii="Arial" w:hAnsi="Arial" w:hint="default"/>
      </w:rPr>
    </w:lvl>
    <w:lvl w:ilvl="1" w:tplc="26CE14D0" w:tentative="1">
      <w:start w:val="1"/>
      <w:numFmt w:val="bullet"/>
      <w:lvlText w:val="•"/>
      <w:lvlJc w:val="left"/>
      <w:pPr>
        <w:tabs>
          <w:tab w:val="num" w:pos="1440"/>
        </w:tabs>
        <w:ind w:left="1440" w:hanging="360"/>
      </w:pPr>
      <w:rPr>
        <w:rFonts w:ascii="Arial" w:hAnsi="Arial" w:hint="default"/>
      </w:rPr>
    </w:lvl>
    <w:lvl w:ilvl="2" w:tplc="CD06E988" w:tentative="1">
      <w:start w:val="1"/>
      <w:numFmt w:val="bullet"/>
      <w:lvlText w:val="•"/>
      <w:lvlJc w:val="left"/>
      <w:pPr>
        <w:tabs>
          <w:tab w:val="num" w:pos="2160"/>
        </w:tabs>
        <w:ind w:left="2160" w:hanging="360"/>
      </w:pPr>
      <w:rPr>
        <w:rFonts w:ascii="Arial" w:hAnsi="Arial" w:hint="default"/>
      </w:rPr>
    </w:lvl>
    <w:lvl w:ilvl="3" w:tplc="A826377A" w:tentative="1">
      <w:start w:val="1"/>
      <w:numFmt w:val="bullet"/>
      <w:lvlText w:val="•"/>
      <w:lvlJc w:val="left"/>
      <w:pPr>
        <w:tabs>
          <w:tab w:val="num" w:pos="2880"/>
        </w:tabs>
        <w:ind w:left="2880" w:hanging="360"/>
      </w:pPr>
      <w:rPr>
        <w:rFonts w:ascii="Arial" w:hAnsi="Arial" w:hint="default"/>
      </w:rPr>
    </w:lvl>
    <w:lvl w:ilvl="4" w:tplc="8BCED59E" w:tentative="1">
      <w:start w:val="1"/>
      <w:numFmt w:val="bullet"/>
      <w:lvlText w:val="•"/>
      <w:lvlJc w:val="left"/>
      <w:pPr>
        <w:tabs>
          <w:tab w:val="num" w:pos="3600"/>
        </w:tabs>
        <w:ind w:left="3600" w:hanging="360"/>
      </w:pPr>
      <w:rPr>
        <w:rFonts w:ascii="Arial" w:hAnsi="Arial" w:hint="default"/>
      </w:rPr>
    </w:lvl>
    <w:lvl w:ilvl="5" w:tplc="90B4B5A6" w:tentative="1">
      <w:start w:val="1"/>
      <w:numFmt w:val="bullet"/>
      <w:lvlText w:val="•"/>
      <w:lvlJc w:val="left"/>
      <w:pPr>
        <w:tabs>
          <w:tab w:val="num" w:pos="4320"/>
        </w:tabs>
        <w:ind w:left="4320" w:hanging="360"/>
      </w:pPr>
      <w:rPr>
        <w:rFonts w:ascii="Arial" w:hAnsi="Arial" w:hint="default"/>
      </w:rPr>
    </w:lvl>
    <w:lvl w:ilvl="6" w:tplc="1D50DDF8" w:tentative="1">
      <w:start w:val="1"/>
      <w:numFmt w:val="bullet"/>
      <w:lvlText w:val="•"/>
      <w:lvlJc w:val="left"/>
      <w:pPr>
        <w:tabs>
          <w:tab w:val="num" w:pos="5040"/>
        </w:tabs>
        <w:ind w:left="5040" w:hanging="360"/>
      </w:pPr>
      <w:rPr>
        <w:rFonts w:ascii="Arial" w:hAnsi="Arial" w:hint="default"/>
      </w:rPr>
    </w:lvl>
    <w:lvl w:ilvl="7" w:tplc="0AB8A756" w:tentative="1">
      <w:start w:val="1"/>
      <w:numFmt w:val="bullet"/>
      <w:lvlText w:val="•"/>
      <w:lvlJc w:val="left"/>
      <w:pPr>
        <w:tabs>
          <w:tab w:val="num" w:pos="5760"/>
        </w:tabs>
        <w:ind w:left="5760" w:hanging="360"/>
      </w:pPr>
      <w:rPr>
        <w:rFonts w:ascii="Arial" w:hAnsi="Arial" w:hint="default"/>
      </w:rPr>
    </w:lvl>
    <w:lvl w:ilvl="8" w:tplc="13586B2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4F65AEA"/>
    <w:multiLevelType w:val="hybridMultilevel"/>
    <w:tmpl w:val="0060C930"/>
    <w:lvl w:ilvl="0" w:tplc="F356C704">
      <w:start w:val="1"/>
      <w:numFmt w:val="bullet"/>
      <w:lvlText w:val="•"/>
      <w:lvlJc w:val="left"/>
      <w:pPr>
        <w:tabs>
          <w:tab w:val="num" w:pos="720"/>
        </w:tabs>
        <w:ind w:left="720" w:hanging="360"/>
      </w:pPr>
      <w:rPr>
        <w:rFonts w:ascii="Arial" w:hAnsi="Arial" w:hint="default"/>
      </w:rPr>
    </w:lvl>
    <w:lvl w:ilvl="1" w:tplc="6A0CA49C">
      <w:numFmt w:val="bullet"/>
      <w:lvlText w:val="–"/>
      <w:lvlJc w:val="left"/>
      <w:pPr>
        <w:tabs>
          <w:tab w:val="num" w:pos="1440"/>
        </w:tabs>
        <w:ind w:left="1440" w:hanging="360"/>
      </w:pPr>
      <w:rPr>
        <w:rFonts w:ascii="Arial" w:hAnsi="Arial" w:hint="default"/>
      </w:rPr>
    </w:lvl>
    <w:lvl w:ilvl="2" w:tplc="A860D608" w:tentative="1">
      <w:start w:val="1"/>
      <w:numFmt w:val="bullet"/>
      <w:lvlText w:val="•"/>
      <w:lvlJc w:val="left"/>
      <w:pPr>
        <w:tabs>
          <w:tab w:val="num" w:pos="2160"/>
        </w:tabs>
        <w:ind w:left="2160" w:hanging="360"/>
      </w:pPr>
      <w:rPr>
        <w:rFonts w:ascii="Arial" w:hAnsi="Arial" w:hint="default"/>
      </w:rPr>
    </w:lvl>
    <w:lvl w:ilvl="3" w:tplc="7AD47C88" w:tentative="1">
      <w:start w:val="1"/>
      <w:numFmt w:val="bullet"/>
      <w:lvlText w:val="•"/>
      <w:lvlJc w:val="left"/>
      <w:pPr>
        <w:tabs>
          <w:tab w:val="num" w:pos="2880"/>
        </w:tabs>
        <w:ind w:left="2880" w:hanging="360"/>
      </w:pPr>
      <w:rPr>
        <w:rFonts w:ascii="Arial" w:hAnsi="Arial" w:hint="default"/>
      </w:rPr>
    </w:lvl>
    <w:lvl w:ilvl="4" w:tplc="D0FA9EAE" w:tentative="1">
      <w:start w:val="1"/>
      <w:numFmt w:val="bullet"/>
      <w:lvlText w:val="•"/>
      <w:lvlJc w:val="left"/>
      <w:pPr>
        <w:tabs>
          <w:tab w:val="num" w:pos="3600"/>
        </w:tabs>
        <w:ind w:left="3600" w:hanging="360"/>
      </w:pPr>
      <w:rPr>
        <w:rFonts w:ascii="Arial" w:hAnsi="Arial" w:hint="default"/>
      </w:rPr>
    </w:lvl>
    <w:lvl w:ilvl="5" w:tplc="22149B00" w:tentative="1">
      <w:start w:val="1"/>
      <w:numFmt w:val="bullet"/>
      <w:lvlText w:val="•"/>
      <w:lvlJc w:val="left"/>
      <w:pPr>
        <w:tabs>
          <w:tab w:val="num" w:pos="4320"/>
        </w:tabs>
        <w:ind w:left="4320" w:hanging="360"/>
      </w:pPr>
      <w:rPr>
        <w:rFonts w:ascii="Arial" w:hAnsi="Arial" w:hint="default"/>
      </w:rPr>
    </w:lvl>
    <w:lvl w:ilvl="6" w:tplc="003AEDC4" w:tentative="1">
      <w:start w:val="1"/>
      <w:numFmt w:val="bullet"/>
      <w:lvlText w:val="•"/>
      <w:lvlJc w:val="left"/>
      <w:pPr>
        <w:tabs>
          <w:tab w:val="num" w:pos="5040"/>
        </w:tabs>
        <w:ind w:left="5040" w:hanging="360"/>
      </w:pPr>
      <w:rPr>
        <w:rFonts w:ascii="Arial" w:hAnsi="Arial" w:hint="default"/>
      </w:rPr>
    </w:lvl>
    <w:lvl w:ilvl="7" w:tplc="2D22F5AC" w:tentative="1">
      <w:start w:val="1"/>
      <w:numFmt w:val="bullet"/>
      <w:lvlText w:val="•"/>
      <w:lvlJc w:val="left"/>
      <w:pPr>
        <w:tabs>
          <w:tab w:val="num" w:pos="5760"/>
        </w:tabs>
        <w:ind w:left="5760" w:hanging="360"/>
      </w:pPr>
      <w:rPr>
        <w:rFonts w:ascii="Arial" w:hAnsi="Arial" w:hint="default"/>
      </w:rPr>
    </w:lvl>
    <w:lvl w:ilvl="8" w:tplc="8208DA1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BDA202B"/>
    <w:multiLevelType w:val="hybridMultilevel"/>
    <w:tmpl w:val="88DCC0CE"/>
    <w:lvl w:ilvl="0" w:tplc="19BE0860">
      <w:start w:val="1"/>
      <w:numFmt w:val="bullet"/>
      <w:lvlText w:val="•"/>
      <w:lvlJc w:val="left"/>
      <w:pPr>
        <w:tabs>
          <w:tab w:val="num" w:pos="720"/>
        </w:tabs>
        <w:ind w:left="720" w:hanging="360"/>
      </w:pPr>
      <w:rPr>
        <w:rFonts w:ascii="Arial" w:hAnsi="Arial" w:hint="default"/>
      </w:rPr>
    </w:lvl>
    <w:lvl w:ilvl="1" w:tplc="B97EA6BC">
      <w:numFmt w:val="bullet"/>
      <w:lvlText w:val="–"/>
      <w:lvlJc w:val="left"/>
      <w:pPr>
        <w:tabs>
          <w:tab w:val="num" w:pos="1440"/>
        </w:tabs>
        <w:ind w:left="1440" w:hanging="360"/>
      </w:pPr>
      <w:rPr>
        <w:rFonts w:ascii="Arial" w:hAnsi="Arial" w:hint="default"/>
      </w:rPr>
    </w:lvl>
    <w:lvl w:ilvl="2" w:tplc="FC70F496" w:tentative="1">
      <w:start w:val="1"/>
      <w:numFmt w:val="bullet"/>
      <w:lvlText w:val="•"/>
      <w:lvlJc w:val="left"/>
      <w:pPr>
        <w:tabs>
          <w:tab w:val="num" w:pos="2160"/>
        </w:tabs>
        <w:ind w:left="2160" w:hanging="360"/>
      </w:pPr>
      <w:rPr>
        <w:rFonts w:ascii="Arial" w:hAnsi="Arial" w:hint="default"/>
      </w:rPr>
    </w:lvl>
    <w:lvl w:ilvl="3" w:tplc="AA8C3624" w:tentative="1">
      <w:start w:val="1"/>
      <w:numFmt w:val="bullet"/>
      <w:lvlText w:val="•"/>
      <w:lvlJc w:val="left"/>
      <w:pPr>
        <w:tabs>
          <w:tab w:val="num" w:pos="2880"/>
        </w:tabs>
        <w:ind w:left="2880" w:hanging="360"/>
      </w:pPr>
      <w:rPr>
        <w:rFonts w:ascii="Arial" w:hAnsi="Arial" w:hint="default"/>
      </w:rPr>
    </w:lvl>
    <w:lvl w:ilvl="4" w:tplc="5BCE83D8" w:tentative="1">
      <w:start w:val="1"/>
      <w:numFmt w:val="bullet"/>
      <w:lvlText w:val="•"/>
      <w:lvlJc w:val="left"/>
      <w:pPr>
        <w:tabs>
          <w:tab w:val="num" w:pos="3600"/>
        </w:tabs>
        <w:ind w:left="3600" w:hanging="360"/>
      </w:pPr>
      <w:rPr>
        <w:rFonts w:ascii="Arial" w:hAnsi="Arial" w:hint="default"/>
      </w:rPr>
    </w:lvl>
    <w:lvl w:ilvl="5" w:tplc="62BC4D34" w:tentative="1">
      <w:start w:val="1"/>
      <w:numFmt w:val="bullet"/>
      <w:lvlText w:val="•"/>
      <w:lvlJc w:val="left"/>
      <w:pPr>
        <w:tabs>
          <w:tab w:val="num" w:pos="4320"/>
        </w:tabs>
        <w:ind w:left="4320" w:hanging="360"/>
      </w:pPr>
      <w:rPr>
        <w:rFonts w:ascii="Arial" w:hAnsi="Arial" w:hint="default"/>
      </w:rPr>
    </w:lvl>
    <w:lvl w:ilvl="6" w:tplc="5388DB94" w:tentative="1">
      <w:start w:val="1"/>
      <w:numFmt w:val="bullet"/>
      <w:lvlText w:val="•"/>
      <w:lvlJc w:val="left"/>
      <w:pPr>
        <w:tabs>
          <w:tab w:val="num" w:pos="5040"/>
        </w:tabs>
        <w:ind w:left="5040" w:hanging="360"/>
      </w:pPr>
      <w:rPr>
        <w:rFonts w:ascii="Arial" w:hAnsi="Arial" w:hint="default"/>
      </w:rPr>
    </w:lvl>
    <w:lvl w:ilvl="7" w:tplc="75663988" w:tentative="1">
      <w:start w:val="1"/>
      <w:numFmt w:val="bullet"/>
      <w:lvlText w:val="•"/>
      <w:lvlJc w:val="left"/>
      <w:pPr>
        <w:tabs>
          <w:tab w:val="num" w:pos="5760"/>
        </w:tabs>
        <w:ind w:left="5760" w:hanging="360"/>
      </w:pPr>
      <w:rPr>
        <w:rFonts w:ascii="Arial" w:hAnsi="Arial" w:hint="default"/>
      </w:rPr>
    </w:lvl>
    <w:lvl w:ilvl="8" w:tplc="743238F6" w:tentative="1">
      <w:start w:val="1"/>
      <w:numFmt w:val="bullet"/>
      <w:lvlText w:val="•"/>
      <w:lvlJc w:val="left"/>
      <w:pPr>
        <w:tabs>
          <w:tab w:val="num" w:pos="6480"/>
        </w:tabs>
        <w:ind w:left="6480" w:hanging="360"/>
      </w:pPr>
      <w:rPr>
        <w:rFonts w:ascii="Arial" w:hAnsi="Arial" w:hint="default"/>
      </w:rPr>
    </w:lvl>
  </w:abstractNum>
  <w:num w:numId="1" w16cid:durableId="138691902">
    <w:abstractNumId w:val="2"/>
  </w:num>
  <w:num w:numId="2" w16cid:durableId="765689460">
    <w:abstractNumId w:val="0"/>
  </w:num>
  <w:num w:numId="3" w16cid:durableId="742025239">
    <w:abstractNumId w:val="1"/>
  </w:num>
  <w:num w:numId="4" w16cid:durableId="1066562374">
    <w:abstractNumId w:val="5"/>
  </w:num>
  <w:num w:numId="5" w16cid:durableId="894122545">
    <w:abstractNumId w:val="3"/>
  </w:num>
  <w:num w:numId="6" w16cid:durableId="1905288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doNotDisplayPageBoundaries/>
  <w:proofState w:spelling="clean" w:grammar="clean"/>
  <w:defaultTabStop w:val="720"/>
  <w:drawingGridHorizontalSpacing w:val="100"/>
  <w:drawingGridVerticalSpacing w:val="136"/>
  <w:displayHorizontalDrawingGridEvery w:val="0"/>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767"/>
    <w:rsid w:val="00003EF3"/>
    <w:rsid w:val="0000483A"/>
    <w:rsid w:val="000072C3"/>
    <w:rsid w:val="00012213"/>
    <w:rsid w:val="00015499"/>
    <w:rsid w:val="00017C20"/>
    <w:rsid w:val="0002732F"/>
    <w:rsid w:val="000321D8"/>
    <w:rsid w:val="00036524"/>
    <w:rsid w:val="000366DD"/>
    <w:rsid w:val="00042E85"/>
    <w:rsid w:val="00044C62"/>
    <w:rsid w:val="000478D1"/>
    <w:rsid w:val="00053754"/>
    <w:rsid w:val="00057DB1"/>
    <w:rsid w:val="00060D69"/>
    <w:rsid w:val="00061431"/>
    <w:rsid w:val="00061F2E"/>
    <w:rsid w:val="000734C0"/>
    <w:rsid w:val="00074D15"/>
    <w:rsid w:val="00075EBD"/>
    <w:rsid w:val="00076355"/>
    <w:rsid w:val="00077965"/>
    <w:rsid w:val="000902A7"/>
    <w:rsid w:val="00090309"/>
    <w:rsid w:val="00091762"/>
    <w:rsid w:val="000926B8"/>
    <w:rsid w:val="00093F2E"/>
    <w:rsid w:val="0009433F"/>
    <w:rsid w:val="0009705C"/>
    <w:rsid w:val="000979D3"/>
    <w:rsid w:val="000A1560"/>
    <w:rsid w:val="000A4D96"/>
    <w:rsid w:val="000B30A3"/>
    <w:rsid w:val="000B502E"/>
    <w:rsid w:val="000C0E22"/>
    <w:rsid w:val="000C657C"/>
    <w:rsid w:val="000C6657"/>
    <w:rsid w:val="000D099F"/>
    <w:rsid w:val="000D0CE4"/>
    <w:rsid w:val="000D53E0"/>
    <w:rsid w:val="000D555F"/>
    <w:rsid w:val="000D5ABE"/>
    <w:rsid w:val="000E0523"/>
    <w:rsid w:val="000E6C65"/>
    <w:rsid w:val="00100315"/>
    <w:rsid w:val="00100B3D"/>
    <w:rsid w:val="0011299B"/>
    <w:rsid w:val="0011521C"/>
    <w:rsid w:val="001153AE"/>
    <w:rsid w:val="001153E7"/>
    <w:rsid w:val="00117EDE"/>
    <w:rsid w:val="00123B20"/>
    <w:rsid w:val="001266C1"/>
    <w:rsid w:val="00130D7F"/>
    <w:rsid w:val="00130FBD"/>
    <w:rsid w:val="00140204"/>
    <w:rsid w:val="00141E2C"/>
    <w:rsid w:val="001424A6"/>
    <w:rsid w:val="00142B35"/>
    <w:rsid w:val="001509DF"/>
    <w:rsid w:val="00153EF6"/>
    <w:rsid w:val="001558E8"/>
    <w:rsid w:val="00163B54"/>
    <w:rsid w:val="00163C3C"/>
    <w:rsid w:val="001714CB"/>
    <w:rsid w:val="00173D96"/>
    <w:rsid w:val="001742DB"/>
    <w:rsid w:val="001771D6"/>
    <w:rsid w:val="0017750E"/>
    <w:rsid w:val="00180B39"/>
    <w:rsid w:val="00180CAD"/>
    <w:rsid w:val="00181824"/>
    <w:rsid w:val="00185670"/>
    <w:rsid w:val="00186801"/>
    <w:rsid w:val="00193AFF"/>
    <w:rsid w:val="001A3488"/>
    <w:rsid w:val="001A374F"/>
    <w:rsid w:val="001A3F43"/>
    <w:rsid w:val="001A4796"/>
    <w:rsid w:val="001A4D3C"/>
    <w:rsid w:val="001A546D"/>
    <w:rsid w:val="001A6920"/>
    <w:rsid w:val="001B6298"/>
    <w:rsid w:val="001C6229"/>
    <w:rsid w:val="001D05B4"/>
    <w:rsid w:val="001E61ED"/>
    <w:rsid w:val="001E68B3"/>
    <w:rsid w:val="001E6EBC"/>
    <w:rsid w:val="001F44BA"/>
    <w:rsid w:val="00200746"/>
    <w:rsid w:val="00206190"/>
    <w:rsid w:val="002119EC"/>
    <w:rsid w:val="00212C89"/>
    <w:rsid w:val="00215527"/>
    <w:rsid w:val="002219FF"/>
    <w:rsid w:val="002238F8"/>
    <w:rsid w:val="00224542"/>
    <w:rsid w:val="00231EA6"/>
    <w:rsid w:val="002359B2"/>
    <w:rsid w:val="002360F0"/>
    <w:rsid w:val="002363E9"/>
    <w:rsid w:val="002539B9"/>
    <w:rsid w:val="00253F4D"/>
    <w:rsid w:val="00260651"/>
    <w:rsid w:val="002607FC"/>
    <w:rsid w:val="00261E40"/>
    <w:rsid w:val="00262354"/>
    <w:rsid w:val="0026246E"/>
    <w:rsid w:val="00262AA6"/>
    <w:rsid w:val="00263BCC"/>
    <w:rsid w:val="00264434"/>
    <w:rsid w:val="00271DF8"/>
    <w:rsid w:val="00275D99"/>
    <w:rsid w:val="00276788"/>
    <w:rsid w:val="0028257E"/>
    <w:rsid w:val="0028361D"/>
    <w:rsid w:val="00286961"/>
    <w:rsid w:val="00286C72"/>
    <w:rsid w:val="00290B9C"/>
    <w:rsid w:val="00295EE2"/>
    <w:rsid w:val="002966FE"/>
    <w:rsid w:val="002A0E4F"/>
    <w:rsid w:val="002A0F1F"/>
    <w:rsid w:val="002A404C"/>
    <w:rsid w:val="002A5C74"/>
    <w:rsid w:val="002A679E"/>
    <w:rsid w:val="002B6365"/>
    <w:rsid w:val="002C2572"/>
    <w:rsid w:val="002D19AB"/>
    <w:rsid w:val="002D564F"/>
    <w:rsid w:val="002E01C8"/>
    <w:rsid w:val="002E5BF0"/>
    <w:rsid w:val="002E5C30"/>
    <w:rsid w:val="002F12B2"/>
    <w:rsid w:val="002F17B7"/>
    <w:rsid w:val="002F39B1"/>
    <w:rsid w:val="002F4F22"/>
    <w:rsid w:val="0030500C"/>
    <w:rsid w:val="00305047"/>
    <w:rsid w:val="00306ECE"/>
    <w:rsid w:val="00317824"/>
    <w:rsid w:val="00317AD9"/>
    <w:rsid w:val="00321D5E"/>
    <w:rsid w:val="003227E4"/>
    <w:rsid w:val="003415F0"/>
    <w:rsid w:val="003417FF"/>
    <w:rsid w:val="00343FF2"/>
    <w:rsid w:val="00346A95"/>
    <w:rsid w:val="00352BA7"/>
    <w:rsid w:val="00356828"/>
    <w:rsid w:val="0035710A"/>
    <w:rsid w:val="0036134E"/>
    <w:rsid w:val="00363801"/>
    <w:rsid w:val="003639DB"/>
    <w:rsid w:val="003663F1"/>
    <w:rsid w:val="0037111F"/>
    <w:rsid w:val="003807A1"/>
    <w:rsid w:val="003853A7"/>
    <w:rsid w:val="0038658F"/>
    <w:rsid w:val="003945C3"/>
    <w:rsid w:val="003958D6"/>
    <w:rsid w:val="003A1FF4"/>
    <w:rsid w:val="003A412B"/>
    <w:rsid w:val="003B1124"/>
    <w:rsid w:val="003B1168"/>
    <w:rsid w:val="003B4541"/>
    <w:rsid w:val="003B79CE"/>
    <w:rsid w:val="003C11D1"/>
    <w:rsid w:val="003C4C09"/>
    <w:rsid w:val="003C514D"/>
    <w:rsid w:val="003C5DDA"/>
    <w:rsid w:val="003C62A9"/>
    <w:rsid w:val="003C62D9"/>
    <w:rsid w:val="003C7C12"/>
    <w:rsid w:val="003D258D"/>
    <w:rsid w:val="003E3D17"/>
    <w:rsid w:val="003E45A0"/>
    <w:rsid w:val="003E553E"/>
    <w:rsid w:val="003F1344"/>
    <w:rsid w:val="003F54D8"/>
    <w:rsid w:val="003F721C"/>
    <w:rsid w:val="003F7D0D"/>
    <w:rsid w:val="00401C98"/>
    <w:rsid w:val="004058F5"/>
    <w:rsid w:val="00405AD8"/>
    <w:rsid w:val="00410306"/>
    <w:rsid w:val="00411B89"/>
    <w:rsid w:val="004175F6"/>
    <w:rsid w:val="00420E5F"/>
    <w:rsid w:val="0042374C"/>
    <w:rsid w:val="004262EA"/>
    <w:rsid w:val="00427344"/>
    <w:rsid w:val="00433967"/>
    <w:rsid w:val="0043710B"/>
    <w:rsid w:val="00440B19"/>
    <w:rsid w:val="00442664"/>
    <w:rsid w:val="00443F8C"/>
    <w:rsid w:val="00444A34"/>
    <w:rsid w:val="00456D9B"/>
    <w:rsid w:val="00462508"/>
    <w:rsid w:val="00462BC8"/>
    <w:rsid w:val="004632AA"/>
    <w:rsid w:val="0046400F"/>
    <w:rsid w:val="00465AC8"/>
    <w:rsid w:val="00470E0A"/>
    <w:rsid w:val="00471E10"/>
    <w:rsid w:val="0047293C"/>
    <w:rsid w:val="00474238"/>
    <w:rsid w:val="00481A3E"/>
    <w:rsid w:val="0048367E"/>
    <w:rsid w:val="00486640"/>
    <w:rsid w:val="00492680"/>
    <w:rsid w:val="00494C47"/>
    <w:rsid w:val="00496D92"/>
    <w:rsid w:val="004A3F6B"/>
    <w:rsid w:val="004B2328"/>
    <w:rsid w:val="004B2F09"/>
    <w:rsid w:val="004B44B1"/>
    <w:rsid w:val="004C15BA"/>
    <w:rsid w:val="004C44D9"/>
    <w:rsid w:val="004C7142"/>
    <w:rsid w:val="004C7217"/>
    <w:rsid w:val="004D581B"/>
    <w:rsid w:val="004D5831"/>
    <w:rsid w:val="004E1A6E"/>
    <w:rsid w:val="004E1A9A"/>
    <w:rsid w:val="004E5002"/>
    <w:rsid w:val="004F0366"/>
    <w:rsid w:val="00506356"/>
    <w:rsid w:val="00514978"/>
    <w:rsid w:val="0051759A"/>
    <w:rsid w:val="005271FF"/>
    <w:rsid w:val="00533233"/>
    <w:rsid w:val="00534637"/>
    <w:rsid w:val="00543811"/>
    <w:rsid w:val="00546580"/>
    <w:rsid w:val="00554713"/>
    <w:rsid w:val="00565128"/>
    <w:rsid w:val="0056721E"/>
    <w:rsid w:val="00567E13"/>
    <w:rsid w:val="00576E20"/>
    <w:rsid w:val="00576F59"/>
    <w:rsid w:val="005872C4"/>
    <w:rsid w:val="00590D04"/>
    <w:rsid w:val="005914CD"/>
    <w:rsid w:val="005937A6"/>
    <w:rsid w:val="0059476F"/>
    <w:rsid w:val="005B121C"/>
    <w:rsid w:val="005B13A6"/>
    <w:rsid w:val="005B782B"/>
    <w:rsid w:val="005D53FE"/>
    <w:rsid w:val="005E0875"/>
    <w:rsid w:val="005E503E"/>
    <w:rsid w:val="005F0E65"/>
    <w:rsid w:val="005F3396"/>
    <w:rsid w:val="005F58D7"/>
    <w:rsid w:val="00600F6B"/>
    <w:rsid w:val="006045AF"/>
    <w:rsid w:val="00615897"/>
    <w:rsid w:val="00615E28"/>
    <w:rsid w:val="00617C7D"/>
    <w:rsid w:val="00624CCE"/>
    <w:rsid w:val="006258AA"/>
    <w:rsid w:val="006264DC"/>
    <w:rsid w:val="00627B9E"/>
    <w:rsid w:val="006305E0"/>
    <w:rsid w:val="006413CC"/>
    <w:rsid w:val="006440D7"/>
    <w:rsid w:val="006532A7"/>
    <w:rsid w:val="0067005A"/>
    <w:rsid w:val="00673AAF"/>
    <w:rsid w:val="00674F33"/>
    <w:rsid w:val="0068297C"/>
    <w:rsid w:val="00683682"/>
    <w:rsid w:val="00684449"/>
    <w:rsid w:val="00686B61"/>
    <w:rsid w:val="00692BB1"/>
    <w:rsid w:val="00697F32"/>
    <w:rsid w:val="006A1C8A"/>
    <w:rsid w:val="006A264F"/>
    <w:rsid w:val="006A5459"/>
    <w:rsid w:val="006A5AA1"/>
    <w:rsid w:val="006B73AA"/>
    <w:rsid w:val="006D3211"/>
    <w:rsid w:val="006E0911"/>
    <w:rsid w:val="006E1500"/>
    <w:rsid w:val="006F636C"/>
    <w:rsid w:val="00703B02"/>
    <w:rsid w:val="007077CB"/>
    <w:rsid w:val="0071215E"/>
    <w:rsid w:val="00720479"/>
    <w:rsid w:val="007227AE"/>
    <w:rsid w:val="0072434D"/>
    <w:rsid w:val="00725B79"/>
    <w:rsid w:val="007301BB"/>
    <w:rsid w:val="00736766"/>
    <w:rsid w:val="00740019"/>
    <w:rsid w:val="00740159"/>
    <w:rsid w:val="00743DD5"/>
    <w:rsid w:val="00747E9F"/>
    <w:rsid w:val="00754EAA"/>
    <w:rsid w:val="00755E66"/>
    <w:rsid w:val="00755F74"/>
    <w:rsid w:val="0075650D"/>
    <w:rsid w:val="00762A1F"/>
    <w:rsid w:val="00765C0A"/>
    <w:rsid w:val="00774B8B"/>
    <w:rsid w:val="007777F7"/>
    <w:rsid w:val="00784EAA"/>
    <w:rsid w:val="0078533D"/>
    <w:rsid w:val="00786222"/>
    <w:rsid w:val="007872F3"/>
    <w:rsid w:val="00787CE4"/>
    <w:rsid w:val="007924CF"/>
    <w:rsid w:val="00792C50"/>
    <w:rsid w:val="0079357C"/>
    <w:rsid w:val="007A1CBF"/>
    <w:rsid w:val="007A23BF"/>
    <w:rsid w:val="007A436C"/>
    <w:rsid w:val="007A43C6"/>
    <w:rsid w:val="007A4836"/>
    <w:rsid w:val="007A75BF"/>
    <w:rsid w:val="007B461F"/>
    <w:rsid w:val="007B5765"/>
    <w:rsid w:val="007B6064"/>
    <w:rsid w:val="007C01F8"/>
    <w:rsid w:val="007C08F9"/>
    <w:rsid w:val="007C6036"/>
    <w:rsid w:val="007D447E"/>
    <w:rsid w:val="007D547F"/>
    <w:rsid w:val="007F5EDD"/>
    <w:rsid w:val="007F76CD"/>
    <w:rsid w:val="008003C3"/>
    <w:rsid w:val="00800EB0"/>
    <w:rsid w:val="00802C4E"/>
    <w:rsid w:val="0080605E"/>
    <w:rsid w:val="00812FE2"/>
    <w:rsid w:val="00814738"/>
    <w:rsid w:val="00814B94"/>
    <w:rsid w:val="0081592A"/>
    <w:rsid w:val="00816478"/>
    <w:rsid w:val="008224F4"/>
    <w:rsid w:val="00832E72"/>
    <w:rsid w:val="00833C6D"/>
    <w:rsid w:val="008415E9"/>
    <w:rsid w:val="00842D7F"/>
    <w:rsid w:val="008430E2"/>
    <w:rsid w:val="008439E9"/>
    <w:rsid w:val="00844719"/>
    <w:rsid w:val="008555C5"/>
    <w:rsid w:val="00856FAF"/>
    <w:rsid w:val="00862D93"/>
    <w:rsid w:val="00867248"/>
    <w:rsid w:val="00870806"/>
    <w:rsid w:val="00870A69"/>
    <w:rsid w:val="00872468"/>
    <w:rsid w:val="00873EB0"/>
    <w:rsid w:val="00876E09"/>
    <w:rsid w:val="00882767"/>
    <w:rsid w:val="00891BDC"/>
    <w:rsid w:val="00897419"/>
    <w:rsid w:val="008A1399"/>
    <w:rsid w:val="008A735A"/>
    <w:rsid w:val="008B1542"/>
    <w:rsid w:val="008B439E"/>
    <w:rsid w:val="008B5F4D"/>
    <w:rsid w:val="008B6F97"/>
    <w:rsid w:val="008C011C"/>
    <w:rsid w:val="008C53B9"/>
    <w:rsid w:val="008D5063"/>
    <w:rsid w:val="008D6AB2"/>
    <w:rsid w:val="008D71A2"/>
    <w:rsid w:val="008E01AD"/>
    <w:rsid w:val="008E6A43"/>
    <w:rsid w:val="008F0959"/>
    <w:rsid w:val="008F59EB"/>
    <w:rsid w:val="00901B99"/>
    <w:rsid w:val="00906680"/>
    <w:rsid w:val="00916F70"/>
    <w:rsid w:val="009249D6"/>
    <w:rsid w:val="00924AC6"/>
    <w:rsid w:val="00925869"/>
    <w:rsid w:val="0092649D"/>
    <w:rsid w:val="00932BB3"/>
    <w:rsid w:val="00933DBB"/>
    <w:rsid w:val="009502A5"/>
    <w:rsid w:val="00951C21"/>
    <w:rsid w:val="009568A0"/>
    <w:rsid w:val="0095700D"/>
    <w:rsid w:val="009614AA"/>
    <w:rsid w:val="00962466"/>
    <w:rsid w:val="00975272"/>
    <w:rsid w:val="0097799A"/>
    <w:rsid w:val="009809DC"/>
    <w:rsid w:val="00984645"/>
    <w:rsid w:val="00995E87"/>
    <w:rsid w:val="009A26EF"/>
    <w:rsid w:val="009A2859"/>
    <w:rsid w:val="009B09A5"/>
    <w:rsid w:val="009C030E"/>
    <w:rsid w:val="009C1BF1"/>
    <w:rsid w:val="009C1F2E"/>
    <w:rsid w:val="009C49F3"/>
    <w:rsid w:val="009C5CB2"/>
    <w:rsid w:val="009C7BD7"/>
    <w:rsid w:val="009D07F7"/>
    <w:rsid w:val="009D08C6"/>
    <w:rsid w:val="009D1EC6"/>
    <w:rsid w:val="009E0E2F"/>
    <w:rsid w:val="009E2D3F"/>
    <w:rsid w:val="009E7144"/>
    <w:rsid w:val="009E7DC0"/>
    <w:rsid w:val="009F1C26"/>
    <w:rsid w:val="009F2847"/>
    <w:rsid w:val="009F504E"/>
    <w:rsid w:val="00A041A5"/>
    <w:rsid w:val="00A1184C"/>
    <w:rsid w:val="00A15122"/>
    <w:rsid w:val="00A153F7"/>
    <w:rsid w:val="00A21265"/>
    <w:rsid w:val="00A21D6E"/>
    <w:rsid w:val="00A22C72"/>
    <w:rsid w:val="00A2379C"/>
    <w:rsid w:val="00A2494E"/>
    <w:rsid w:val="00A30F8D"/>
    <w:rsid w:val="00A3112F"/>
    <w:rsid w:val="00A32669"/>
    <w:rsid w:val="00A3391B"/>
    <w:rsid w:val="00A3596D"/>
    <w:rsid w:val="00A40FE1"/>
    <w:rsid w:val="00A41204"/>
    <w:rsid w:val="00A43EC5"/>
    <w:rsid w:val="00A45FC3"/>
    <w:rsid w:val="00A50272"/>
    <w:rsid w:val="00A55BD9"/>
    <w:rsid w:val="00A56F0E"/>
    <w:rsid w:val="00A62A84"/>
    <w:rsid w:val="00A63E4D"/>
    <w:rsid w:val="00A65B86"/>
    <w:rsid w:val="00A711D3"/>
    <w:rsid w:val="00A733EB"/>
    <w:rsid w:val="00A74114"/>
    <w:rsid w:val="00A830AE"/>
    <w:rsid w:val="00A87E33"/>
    <w:rsid w:val="00A910B0"/>
    <w:rsid w:val="00AA4B7E"/>
    <w:rsid w:val="00AA5DAF"/>
    <w:rsid w:val="00AB16C9"/>
    <w:rsid w:val="00AB4CB0"/>
    <w:rsid w:val="00AC08DD"/>
    <w:rsid w:val="00AC5B9D"/>
    <w:rsid w:val="00AC6B6D"/>
    <w:rsid w:val="00AC78A4"/>
    <w:rsid w:val="00AD5A1B"/>
    <w:rsid w:val="00AD5CCC"/>
    <w:rsid w:val="00AD68D2"/>
    <w:rsid w:val="00AE102E"/>
    <w:rsid w:val="00AE2F0E"/>
    <w:rsid w:val="00AE3DEF"/>
    <w:rsid w:val="00AE63C8"/>
    <w:rsid w:val="00AF4320"/>
    <w:rsid w:val="00AF4932"/>
    <w:rsid w:val="00AF7713"/>
    <w:rsid w:val="00AF7A46"/>
    <w:rsid w:val="00AF7DEC"/>
    <w:rsid w:val="00B005B5"/>
    <w:rsid w:val="00B041C6"/>
    <w:rsid w:val="00B05BFF"/>
    <w:rsid w:val="00B106BD"/>
    <w:rsid w:val="00B127CF"/>
    <w:rsid w:val="00B130E7"/>
    <w:rsid w:val="00B13205"/>
    <w:rsid w:val="00B1369E"/>
    <w:rsid w:val="00B32EB1"/>
    <w:rsid w:val="00B35203"/>
    <w:rsid w:val="00B4094E"/>
    <w:rsid w:val="00B41BE7"/>
    <w:rsid w:val="00B46342"/>
    <w:rsid w:val="00B46F1B"/>
    <w:rsid w:val="00B4763E"/>
    <w:rsid w:val="00B509E8"/>
    <w:rsid w:val="00B544A8"/>
    <w:rsid w:val="00B54E80"/>
    <w:rsid w:val="00B6005B"/>
    <w:rsid w:val="00B609E0"/>
    <w:rsid w:val="00B62437"/>
    <w:rsid w:val="00B6796A"/>
    <w:rsid w:val="00B7248B"/>
    <w:rsid w:val="00B75136"/>
    <w:rsid w:val="00B82AD5"/>
    <w:rsid w:val="00B879E8"/>
    <w:rsid w:val="00B94BD3"/>
    <w:rsid w:val="00B955C2"/>
    <w:rsid w:val="00BA11FF"/>
    <w:rsid w:val="00BA2507"/>
    <w:rsid w:val="00BA46AB"/>
    <w:rsid w:val="00BA7A24"/>
    <w:rsid w:val="00BB1855"/>
    <w:rsid w:val="00BB28CF"/>
    <w:rsid w:val="00BB79D7"/>
    <w:rsid w:val="00BD187F"/>
    <w:rsid w:val="00BD428B"/>
    <w:rsid w:val="00BE084B"/>
    <w:rsid w:val="00BE0DDA"/>
    <w:rsid w:val="00BE1584"/>
    <w:rsid w:val="00BE4ACD"/>
    <w:rsid w:val="00BE634B"/>
    <w:rsid w:val="00BE7D0D"/>
    <w:rsid w:val="00BF238B"/>
    <w:rsid w:val="00BF693B"/>
    <w:rsid w:val="00C00BAB"/>
    <w:rsid w:val="00C00D00"/>
    <w:rsid w:val="00C040C2"/>
    <w:rsid w:val="00C04343"/>
    <w:rsid w:val="00C0606B"/>
    <w:rsid w:val="00C109E9"/>
    <w:rsid w:val="00C12843"/>
    <w:rsid w:val="00C221D3"/>
    <w:rsid w:val="00C23008"/>
    <w:rsid w:val="00C27F6F"/>
    <w:rsid w:val="00C32ECB"/>
    <w:rsid w:val="00C33204"/>
    <w:rsid w:val="00C36FB4"/>
    <w:rsid w:val="00C37343"/>
    <w:rsid w:val="00C4146B"/>
    <w:rsid w:val="00C432D5"/>
    <w:rsid w:val="00C53050"/>
    <w:rsid w:val="00C57F0C"/>
    <w:rsid w:val="00C61C92"/>
    <w:rsid w:val="00C62161"/>
    <w:rsid w:val="00C67D78"/>
    <w:rsid w:val="00C74175"/>
    <w:rsid w:val="00C800E4"/>
    <w:rsid w:val="00C810B0"/>
    <w:rsid w:val="00C813D0"/>
    <w:rsid w:val="00C868FC"/>
    <w:rsid w:val="00C870B4"/>
    <w:rsid w:val="00C87D10"/>
    <w:rsid w:val="00CA4605"/>
    <w:rsid w:val="00CA4A2E"/>
    <w:rsid w:val="00CA6496"/>
    <w:rsid w:val="00CB04A0"/>
    <w:rsid w:val="00CB65C3"/>
    <w:rsid w:val="00CB715F"/>
    <w:rsid w:val="00CC29DA"/>
    <w:rsid w:val="00CC3CD7"/>
    <w:rsid w:val="00CC6914"/>
    <w:rsid w:val="00CD548C"/>
    <w:rsid w:val="00CD6353"/>
    <w:rsid w:val="00CD690E"/>
    <w:rsid w:val="00CF773D"/>
    <w:rsid w:val="00CF79A3"/>
    <w:rsid w:val="00D026EE"/>
    <w:rsid w:val="00D07E64"/>
    <w:rsid w:val="00D14D92"/>
    <w:rsid w:val="00D23E0B"/>
    <w:rsid w:val="00D25EE9"/>
    <w:rsid w:val="00D26F69"/>
    <w:rsid w:val="00D271C7"/>
    <w:rsid w:val="00D31BBA"/>
    <w:rsid w:val="00D33B46"/>
    <w:rsid w:val="00D3413A"/>
    <w:rsid w:val="00D355CC"/>
    <w:rsid w:val="00D36DDC"/>
    <w:rsid w:val="00D41B7B"/>
    <w:rsid w:val="00D4753F"/>
    <w:rsid w:val="00D50C2C"/>
    <w:rsid w:val="00D53785"/>
    <w:rsid w:val="00D54F68"/>
    <w:rsid w:val="00D63C68"/>
    <w:rsid w:val="00D77492"/>
    <w:rsid w:val="00D77641"/>
    <w:rsid w:val="00D77AF1"/>
    <w:rsid w:val="00D83E27"/>
    <w:rsid w:val="00D85C3C"/>
    <w:rsid w:val="00D946A7"/>
    <w:rsid w:val="00DA056C"/>
    <w:rsid w:val="00DA2B15"/>
    <w:rsid w:val="00DA4C89"/>
    <w:rsid w:val="00DA4EA9"/>
    <w:rsid w:val="00DB1F30"/>
    <w:rsid w:val="00DB2F77"/>
    <w:rsid w:val="00DB613A"/>
    <w:rsid w:val="00DB66E7"/>
    <w:rsid w:val="00DC1408"/>
    <w:rsid w:val="00DC30CB"/>
    <w:rsid w:val="00DC4F0D"/>
    <w:rsid w:val="00DC6736"/>
    <w:rsid w:val="00DD2859"/>
    <w:rsid w:val="00DE43F8"/>
    <w:rsid w:val="00DE6B37"/>
    <w:rsid w:val="00DF129C"/>
    <w:rsid w:val="00E009C8"/>
    <w:rsid w:val="00E04666"/>
    <w:rsid w:val="00E11F1E"/>
    <w:rsid w:val="00E14C02"/>
    <w:rsid w:val="00E16A66"/>
    <w:rsid w:val="00E20DCA"/>
    <w:rsid w:val="00E23A30"/>
    <w:rsid w:val="00E26A13"/>
    <w:rsid w:val="00E32648"/>
    <w:rsid w:val="00E32C6A"/>
    <w:rsid w:val="00E40A8F"/>
    <w:rsid w:val="00E46EDB"/>
    <w:rsid w:val="00E51A51"/>
    <w:rsid w:val="00E54196"/>
    <w:rsid w:val="00E60171"/>
    <w:rsid w:val="00E659FA"/>
    <w:rsid w:val="00E71293"/>
    <w:rsid w:val="00E73987"/>
    <w:rsid w:val="00E77F1A"/>
    <w:rsid w:val="00E86C60"/>
    <w:rsid w:val="00E91B09"/>
    <w:rsid w:val="00E91F17"/>
    <w:rsid w:val="00E979C4"/>
    <w:rsid w:val="00EA2C0A"/>
    <w:rsid w:val="00EA40DC"/>
    <w:rsid w:val="00EA42BC"/>
    <w:rsid w:val="00EB0EB1"/>
    <w:rsid w:val="00EB2BC7"/>
    <w:rsid w:val="00ED2699"/>
    <w:rsid w:val="00EE0F5E"/>
    <w:rsid w:val="00EE3E69"/>
    <w:rsid w:val="00EE52C8"/>
    <w:rsid w:val="00EF1D60"/>
    <w:rsid w:val="00F00C56"/>
    <w:rsid w:val="00F02F04"/>
    <w:rsid w:val="00F04379"/>
    <w:rsid w:val="00F11075"/>
    <w:rsid w:val="00F12F83"/>
    <w:rsid w:val="00F14720"/>
    <w:rsid w:val="00F15A41"/>
    <w:rsid w:val="00F16763"/>
    <w:rsid w:val="00F236DC"/>
    <w:rsid w:val="00F23E0B"/>
    <w:rsid w:val="00F26F1E"/>
    <w:rsid w:val="00F32F11"/>
    <w:rsid w:val="00F40FE4"/>
    <w:rsid w:val="00F42FC5"/>
    <w:rsid w:val="00F5330E"/>
    <w:rsid w:val="00F53CB2"/>
    <w:rsid w:val="00F560A7"/>
    <w:rsid w:val="00F704F6"/>
    <w:rsid w:val="00F71C95"/>
    <w:rsid w:val="00F71F24"/>
    <w:rsid w:val="00F72AD1"/>
    <w:rsid w:val="00F72ED5"/>
    <w:rsid w:val="00F74E42"/>
    <w:rsid w:val="00F77AF1"/>
    <w:rsid w:val="00F77C24"/>
    <w:rsid w:val="00F823CA"/>
    <w:rsid w:val="00F824D2"/>
    <w:rsid w:val="00F86D3A"/>
    <w:rsid w:val="00F876B5"/>
    <w:rsid w:val="00FA2698"/>
    <w:rsid w:val="00FA30B9"/>
    <w:rsid w:val="00FA3B01"/>
    <w:rsid w:val="00FA5052"/>
    <w:rsid w:val="00FA69FB"/>
    <w:rsid w:val="00FA7A83"/>
    <w:rsid w:val="00FA7D45"/>
    <w:rsid w:val="00FB73DD"/>
    <w:rsid w:val="00FC0BB1"/>
    <w:rsid w:val="00FC3839"/>
    <w:rsid w:val="00FD7A58"/>
    <w:rsid w:val="00FE319D"/>
    <w:rsid w:val="00FE3ED0"/>
    <w:rsid w:val="00FE5BDC"/>
    <w:rsid w:val="00FF0675"/>
    <w:rsid w:val="00FF0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81E21"/>
  <w15:chartTrackingRefBased/>
  <w15:docId w15:val="{916A4D50-950D-A540-B9BC-7E480B70B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27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827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27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27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27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27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27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27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27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27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827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27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27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27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27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27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27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2767"/>
    <w:rPr>
      <w:rFonts w:eastAsiaTheme="majorEastAsia" w:cstheme="majorBidi"/>
      <w:color w:val="272727" w:themeColor="text1" w:themeTint="D8"/>
    </w:rPr>
  </w:style>
  <w:style w:type="paragraph" w:styleId="Title">
    <w:name w:val="Title"/>
    <w:basedOn w:val="Normal"/>
    <w:next w:val="Normal"/>
    <w:link w:val="TitleChar"/>
    <w:uiPriority w:val="10"/>
    <w:qFormat/>
    <w:rsid w:val="0088276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27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276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27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27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2767"/>
    <w:rPr>
      <w:i/>
      <w:iCs/>
      <w:color w:val="404040" w:themeColor="text1" w:themeTint="BF"/>
    </w:rPr>
  </w:style>
  <w:style w:type="paragraph" w:styleId="ListParagraph">
    <w:name w:val="List Paragraph"/>
    <w:basedOn w:val="Normal"/>
    <w:uiPriority w:val="34"/>
    <w:qFormat/>
    <w:rsid w:val="00882767"/>
    <w:pPr>
      <w:ind w:left="720"/>
      <w:contextualSpacing/>
    </w:pPr>
  </w:style>
  <w:style w:type="character" w:styleId="IntenseEmphasis">
    <w:name w:val="Intense Emphasis"/>
    <w:basedOn w:val="DefaultParagraphFont"/>
    <w:uiPriority w:val="21"/>
    <w:qFormat/>
    <w:rsid w:val="00882767"/>
    <w:rPr>
      <w:i/>
      <w:iCs/>
      <w:color w:val="0F4761" w:themeColor="accent1" w:themeShade="BF"/>
    </w:rPr>
  </w:style>
  <w:style w:type="paragraph" w:styleId="IntenseQuote">
    <w:name w:val="Intense Quote"/>
    <w:basedOn w:val="Normal"/>
    <w:next w:val="Normal"/>
    <w:link w:val="IntenseQuoteChar"/>
    <w:uiPriority w:val="30"/>
    <w:qFormat/>
    <w:rsid w:val="008827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2767"/>
    <w:rPr>
      <w:i/>
      <w:iCs/>
      <w:color w:val="0F4761" w:themeColor="accent1" w:themeShade="BF"/>
    </w:rPr>
  </w:style>
  <w:style w:type="character" w:styleId="IntenseReference">
    <w:name w:val="Intense Reference"/>
    <w:basedOn w:val="DefaultParagraphFont"/>
    <w:uiPriority w:val="32"/>
    <w:qFormat/>
    <w:rsid w:val="00882767"/>
    <w:rPr>
      <w:b/>
      <w:bCs/>
      <w:smallCaps/>
      <w:color w:val="0F4761" w:themeColor="accent1" w:themeShade="BF"/>
      <w:spacing w:val="5"/>
    </w:rPr>
  </w:style>
  <w:style w:type="paragraph" w:styleId="NormalWeb">
    <w:name w:val="Normal (Web)"/>
    <w:basedOn w:val="Normal"/>
    <w:uiPriority w:val="99"/>
    <w:semiHidden/>
    <w:unhideWhenUsed/>
    <w:rsid w:val="003C514D"/>
    <w:rPr>
      <w:rFonts w:ascii="Times New Roman" w:hAnsi="Times New Roman" w:cs="Times New Roman"/>
    </w:rPr>
  </w:style>
  <w:style w:type="character" w:styleId="Hyperlink">
    <w:name w:val="Hyperlink"/>
    <w:basedOn w:val="DefaultParagraphFont"/>
    <w:uiPriority w:val="99"/>
    <w:unhideWhenUsed/>
    <w:rsid w:val="003C514D"/>
    <w:rPr>
      <w:color w:val="467886" w:themeColor="hyperlink"/>
      <w:u w:val="single"/>
    </w:rPr>
  </w:style>
  <w:style w:type="character" w:styleId="UnresolvedMention">
    <w:name w:val="Unresolved Mention"/>
    <w:basedOn w:val="DefaultParagraphFont"/>
    <w:uiPriority w:val="99"/>
    <w:semiHidden/>
    <w:unhideWhenUsed/>
    <w:rsid w:val="003C514D"/>
    <w:rPr>
      <w:color w:val="605E5C"/>
      <w:shd w:val="clear" w:color="auto" w:fill="E1DFDD"/>
    </w:rPr>
  </w:style>
  <w:style w:type="character" w:styleId="FollowedHyperlink">
    <w:name w:val="FollowedHyperlink"/>
    <w:basedOn w:val="DefaultParagraphFont"/>
    <w:uiPriority w:val="99"/>
    <w:semiHidden/>
    <w:unhideWhenUsed/>
    <w:rsid w:val="002F39B1"/>
    <w:rPr>
      <w:color w:val="96607D" w:themeColor="followedHyperlink"/>
      <w:u w:val="single"/>
    </w:rPr>
  </w:style>
  <w:style w:type="character" w:customStyle="1" w:styleId="anchor-text">
    <w:name w:val="anchor-text"/>
    <w:basedOn w:val="DefaultParagraphFont"/>
    <w:rsid w:val="00100B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9322912">
      <w:bodyDiv w:val="1"/>
      <w:marLeft w:val="0"/>
      <w:marRight w:val="0"/>
      <w:marTop w:val="0"/>
      <w:marBottom w:val="0"/>
      <w:divBdr>
        <w:top w:val="none" w:sz="0" w:space="0" w:color="auto"/>
        <w:left w:val="none" w:sz="0" w:space="0" w:color="auto"/>
        <w:bottom w:val="none" w:sz="0" w:space="0" w:color="auto"/>
        <w:right w:val="none" w:sz="0" w:space="0" w:color="auto"/>
      </w:divBdr>
    </w:div>
    <w:div w:id="583031273">
      <w:bodyDiv w:val="1"/>
      <w:marLeft w:val="0"/>
      <w:marRight w:val="0"/>
      <w:marTop w:val="0"/>
      <w:marBottom w:val="0"/>
      <w:divBdr>
        <w:top w:val="none" w:sz="0" w:space="0" w:color="auto"/>
        <w:left w:val="none" w:sz="0" w:space="0" w:color="auto"/>
        <w:bottom w:val="none" w:sz="0" w:space="0" w:color="auto"/>
        <w:right w:val="none" w:sz="0" w:space="0" w:color="auto"/>
      </w:divBdr>
      <w:divsChild>
        <w:div w:id="1057434541">
          <w:marLeft w:val="547"/>
          <w:marRight w:val="0"/>
          <w:marTop w:val="154"/>
          <w:marBottom w:val="0"/>
          <w:divBdr>
            <w:top w:val="none" w:sz="0" w:space="0" w:color="auto"/>
            <w:left w:val="none" w:sz="0" w:space="0" w:color="auto"/>
            <w:bottom w:val="none" w:sz="0" w:space="0" w:color="auto"/>
            <w:right w:val="none" w:sz="0" w:space="0" w:color="auto"/>
          </w:divBdr>
        </w:div>
        <w:div w:id="1058623705">
          <w:marLeft w:val="547"/>
          <w:marRight w:val="0"/>
          <w:marTop w:val="154"/>
          <w:marBottom w:val="0"/>
          <w:divBdr>
            <w:top w:val="none" w:sz="0" w:space="0" w:color="auto"/>
            <w:left w:val="none" w:sz="0" w:space="0" w:color="auto"/>
            <w:bottom w:val="none" w:sz="0" w:space="0" w:color="auto"/>
            <w:right w:val="none" w:sz="0" w:space="0" w:color="auto"/>
          </w:divBdr>
        </w:div>
        <w:div w:id="1984771807">
          <w:marLeft w:val="1166"/>
          <w:marRight w:val="0"/>
          <w:marTop w:val="154"/>
          <w:marBottom w:val="0"/>
          <w:divBdr>
            <w:top w:val="none" w:sz="0" w:space="0" w:color="auto"/>
            <w:left w:val="none" w:sz="0" w:space="0" w:color="auto"/>
            <w:bottom w:val="none" w:sz="0" w:space="0" w:color="auto"/>
            <w:right w:val="none" w:sz="0" w:space="0" w:color="auto"/>
          </w:divBdr>
        </w:div>
        <w:div w:id="1863124069">
          <w:marLeft w:val="1166"/>
          <w:marRight w:val="0"/>
          <w:marTop w:val="154"/>
          <w:marBottom w:val="0"/>
          <w:divBdr>
            <w:top w:val="none" w:sz="0" w:space="0" w:color="auto"/>
            <w:left w:val="none" w:sz="0" w:space="0" w:color="auto"/>
            <w:bottom w:val="none" w:sz="0" w:space="0" w:color="auto"/>
            <w:right w:val="none" w:sz="0" w:space="0" w:color="auto"/>
          </w:divBdr>
        </w:div>
      </w:divsChild>
    </w:div>
    <w:div w:id="920795265">
      <w:bodyDiv w:val="1"/>
      <w:marLeft w:val="0"/>
      <w:marRight w:val="0"/>
      <w:marTop w:val="0"/>
      <w:marBottom w:val="0"/>
      <w:divBdr>
        <w:top w:val="none" w:sz="0" w:space="0" w:color="auto"/>
        <w:left w:val="none" w:sz="0" w:space="0" w:color="auto"/>
        <w:bottom w:val="none" w:sz="0" w:space="0" w:color="auto"/>
        <w:right w:val="none" w:sz="0" w:space="0" w:color="auto"/>
      </w:divBdr>
      <w:divsChild>
        <w:div w:id="888607833">
          <w:marLeft w:val="0"/>
          <w:marRight w:val="0"/>
          <w:marTop w:val="0"/>
          <w:marBottom w:val="0"/>
          <w:divBdr>
            <w:top w:val="none" w:sz="0" w:space="0" w:color="auto"/>
            <w:left w:val="none" w:sz="0" w:space="0" w:color="auto"/>
            <w:bottom w:val="none" w:sz="0" w:space="0" w:color="auto"/>
            <w:right w:val="none" w:sz="0" w:space="0" w:color="auto"/>
          </w:divBdr>
          <w:divsChild>
            <w:div w:id="1949895282">
              <w:marLeft w:val="0"/>
              <w:marRight w:val="0"/>
              <w:marTop w:val="0"/>
              <w:marBottom w:val="0"/>
              <w:divBdr>
                <w:top w:val="none" w:sz="0" w:space="0" w:color="auto"/>
                <w:left w:val="none" w:sz="0" w:space="0" w:color="auto"/>
                <w:bottom w:val="none" w:sz="0" w:space="0" w:color="auto"/>
                <w:right w:val="none" w:sz="0" w:space="0" w:color="auto"/>
              </w:divBdr>
              <w:divsChild>
                <w:div w:id="1600287722">
                  <w:marLeft w:val="0"/>
                  <w:marRight w:val="0"/>
                  <w:marTop w:val="0"/>
                  <w:marBottom w:val="0"/>
                  <w:divBdr>
                    <w:top w:val="none" w:sz="0" w:space="0" w:color="auto"/>
                    <w:left w:val="none" w:sz="0" w:space="0" w:color="auto"/>
                    <w:bottom w:val="none" w:sz="0" w:space="0" w:color="auto"/>
                    <w:right w:val="none" w:sz="0" w:space="0" w:color="auto"/>
                  </w:divBdr>
                  <w:divsChild>
                    <w:div w:id="212155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000512">
      <w:bodyDiv w:val="1"/>
      <w:marLeft w:val="0"/>
      <w:marRight w:val="0"/>
      <w:marTop w:val="0"/>
      <w:marBottom w:val="0"/>
      <w:divBdr>
        <w:top w:val="none" w:sz="0" w:space="0" w:color="auto"/>
        <w:left w:val="none" w:sz="0" w:space="0" w:color="auto"/>
        <w:bottom w:val="none" w:sz="0" w:space="0" w:color="auto"/>
        <w:right w:val="none" w:sz="0" w:space="0" w:color="auto"/>
      </w:divBdr>
      <w:divsChild>
        <w:div w:id="1155297175">
          <w:marLeft w:val="547"/>
          <w:marRight w:val="0"/>
          <w:marTop w:val="134"/>
          <w:marBottom w:val="0"/>
          <w:divBdr>
            <w:top w:val="none" w:sz="0" w:space="0" w:color="auto"/>
            <w:left w:val="none" w:sz="0" w:space="0" w:color="auto"/>
            <w:bottom w:val="none" w:sz="0" w:space="0" w:color="auto"/>
            <w:right w:val="none" w:sz="0" w:space="0" w:color="auto"/>
          </w:divBdr>
        </w:div>
        <w:div w:id="1093091820">
          <w:marLeft w:val="1166"/>
          <w:marRight w:val="0"/>
          <w:marTop w:val="134"/>
          <w:marBottom w:val="0"/>
          <w:divBdr>
            <w:top w:val="none" w:sz="0" w:space="0" w:color="auto"/>
            <w:left w:val="none" w:sz="0" w:space="0" w:color="auto"/>
            <w:bottom w:val="none" w:sz="0" w:space="0" w:color="auto"/>
            <w:right w:val="none" w:sz="0" w:space="0" w:color="auto"/>
          </w:divBdr>
        </w:div>
        <w:div w:id="823350188">
          <w:marLeft w:val="1166"/>
          <w:marRight w:val="0"/>
          <w:marTop w:val="134"/>
          <w:marBottom w:val="0"/>
          <w:divBdr>
            <w:top w:val="none" w:sz="0" w:space="0" w:color="auto"/>
            <w:left w:val="none" w:sz="0" w:space="0" w:color="auto"/>
            <w:bottom w:val="none" w:sz="0" w:space="0" w:color="auto"/>
            <w:right w:val="none" w:sz="0" w:space="0" w:color="auto"/>
          </w:divBdr>
        </w:div>
        <w:div w:id="512229675">
          <w:marLeft w:val="1166"/>
          <w:marRight w:val="0"/>
          <w:marTop w:val="134"/>
          <w:marBottom w:val="0"/>
          <w:divBdr>
            <w:top w:val="none" w:sz="0" w:space="0" w:color="auto"/>
            <w:left w:val="none" w:sz="0" w:space="0" w:color="auto"/>
            <w:bottom w:val="none" w:sz="0" w:space="0" w:color="auto"/>
            <w:right w:val="none" w:sz="0" w:space="0" w:color="auto"/>
          </w:divBdr>
        </w:div>
      </w:divsChild>
    </w:div>
    <w:div w:id="1611401613">
      <w:bodyDiv w:val="1"/>
      <w:marLeft w:val="0"/>
      <w:marRight w:val="0"/>
      <w:marTop w:val="0"/>
      <w:marBottom w:val="0"/>
      <w:divBdr>
        <w:top w:val="none" w:sz="0" w:space="0" w:color="auto"/>
        <w:left w:val="none" w:sz="0" w:space="0" w:color="auto"/>
        <w:bottom w:val="none" w:sz="0" w:space="0" w:color="auto"/>
        <w:right w:val="none" w:sz="0" w:space="0" w:color="auto"/>
      </w:divBdr>
      <w:divsChild>
        <w:div w:id="839466491">
          <w:marLeft w:val="0"/>
          <w:marRight w:val="0"/>
          <w:marTop w:val="0"/>
          <w:marBottom w:val="0"/>
          <w:divBdr>
            <w:top w:val="none" w:sz="0" w:space="0" w:color="auto"/>
            <w:left w:val="none" w:sz="0" w:space="0" w:color="auto"/>
            <w:bottom w:val="none" w:sz="0" w:space="0" w:color="auto"/>
            <w:right w:val="none" w:sz="0" w:space="0" w:color="auto"/>
          </w:divBdr>
          <w:divsChild>
            <w:div w:id="382947435">
              <w:marLeft w:val="0"/>
              <w:marRight w:val="0"/>
              <w:marTop w:val="0"/>
              <w:marBottom w:val="0"/>
              <w:divBdr>
                <w:top w:val="none" w:sz="0" w:space="0" w:color="auto"/>
                <w:left w:val="none" w:sz="0" w:space="0" w:color="auto"/>
                <w:bottom w:val="none" w:sz="0" w:space="0" w:color="auto"/>
                <w:right w:val="none" w:sz="0" w:space="0" w:color="auto"/>
              </w:divBdr>
              <w:divsChild>
                <w:div w:id="454912778">
                  <w:marLeft w:val="0"/>
                  <w:marRight w:val="0"/>
                  <w:marTop w:val="0"/>
                  <w:marBottom w:val="0"/>
                  <w:divBdr>
                    <w:top w:val="none" w:sz="0" w:space="0" w:color="auto"/>
                    <w:left w:val="none" w:sz="0" w:space="0" w:color="auto"/>
                    <w:bottom w:val="none" w:sz="0" w:space="0" w:color="auto"/>
                    <w:right w:val="none" w:sz="0" w:space="0" w:color="auto"/>
                  </w:divBdr>
                  <w:divsChild>
                    <w:div w:id="214495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238929">
      <w:bodyDiv w:val="1"/>
      <w:marLeft w:val="0"/>
      <w:marRight w:val="0"/>
      <w:marTop w:val="0"/>
      <w:marBottom w:val="0"/>
      <w:divBdr>
        <w:top w:val="none" w:sz="0" w:space="0" w:color="auto"/>
        <w:left w:val="none" w:sz="0" w:space="0" w:color="auto"/>
        <w:bottom w:val="none" w:sz="0" w:space="0" w:color="auto"/>
        <w:right w:val="none" w:sz="0" w:space="0" w:color="auto"/>
      </w:divBdr>
      <w:divsChild>
        <w:div w:id="1453091127">
          <w:marLeft w:val="547"/>
          <w:marRight w:val="0"/>
          <w:marTop w:val="134"/>
          <w:marBottom w:val="0"/>
          <w:divBdr>
            <w:top w:val="none" w:sz="0" w:space="0" w:color="auto"/>
            <w:left w:val="none" w:sz="0" w:space="0" w:color="auto"/>
            <w:bottom w:val="none" w:sz="0" w:space="0" w:color="auto"/>
            <w:right w:val="none" w:sz="0" w:space="0" w:color="auto"/>
          </w:divBdr>
        </w:div>
        <w:div w:id="1912621910">
          <w:marLeft w:val="547"/>
          <w:marRight w:val="0"/>
          <w:marTop w:val="134"/>
          <w:marBottom w:val="0"/>
          <w:divBdr>
            <w:top w:val="none" w:sz="0" w:space="0" w:color="auto"/>
            <w:left w:val="none" w:sz="0" w:space="0" w:color="auto"/>
            <w:bottom w:val="none" w:sz="0" w:space="0" w:color="auto"/>
            <w:right w:val="none" w:sz="0" w:space="0" w:color="auto"/>
          </w:divBdr>
        </w:div>
        <w:div w:id="1323243051">
          <w:marLeft w:val="547"/>
          <w:marRight w:val="0"/>
          <w:marTop w:val="134"/>
          <w:marBottom w:val="0"/>
          <w:divBdr>
            <w:top w:val="none" w:sz="0" w:space="0" w:color="auto"/>
            <w:left w:val="none" w:sz="0" w:space="0" w:color="auto"/>
            <w:bottom w:val="none" w:sz="0" w:space="0" w:color="auto"/>
            <w:right w:val="none" w:sz="0" w:space="0" w:color="auto"/>
          </w:divBdr>
        </w:div>
        <w:div w:id="513345417">
          <w:marLeft w:val="1166"/>
          <w:marRight w:val="0"/>
          <w:marTop w:val="115"/>
          <w:marBottom w:val="0"/>
          <w:divBdr>
            <w:top w:val="none" w:sz="0" w:space="0" w:color="auto"/>
            <w:left w:val="none" w:sz="0" w:space="0" w:color="auto"/>
            <w:bottom w:val="none" w:sz="0" w:space="0" w:color="auto"/>
            <w:right w:val="none" w:sz="0" w:space="0" w:color="auto"/>
          </w:divBdr>
        </w:div>
        <w:div w:id="2091267005">
          <w:marLeft w:val="1166"/>
          <w:marRight w:val="0"/>
          <w:marTop w:val="115"/>
          <w:marBottom w:val="0"/>
          <w:divBdr>
            <w:top w:val="none" w:sz="0" w:space="0" w:color="auto"/>
            <w:left w:val="none" w:sz="0" w:space="0" w:color="auto"/>
            <w:bottom w:val="none" w:sz="0" w:space="0" w:color="auto"/>
            <w:right w:val="none" w:sz="0" w:space="0" w:color="auto"/>
          </w:divBdr>
        </w:div>
        <w:div w:id="2114477068">
          <w:marLeft w:val="1166"/>
          <w:marRight w:val="0"/>
          <w:marTop w:val="115"/>
          <w:marBottom w:val="0"/>
          <w:divBdr>
            <w:top w:val="none" w:sz="0" w:space="0" w:color="auto"/>
            <w:left w:val="none" w:sz="0" w:space="0" w:color="auto"/>
            <w:bottom w:val="none" w:sz="0" w:space="0" w:color="auto"/>
            <w:right w:val="none" w:sz="0" w:space="0" w:color="auto"/>
          </w:divBdr>
        </w:div>
      </w:divsChild>
    </w:div>
    <w:div w:id="1715959962">
      <w:bodyDiv w:val="1"/>
      <w:marLeft w:val="0"/>
      <w:marRight w:val="0"/>
      <w:marTop w:val="0"/>
      <w:marBottom w:val="0"/>
      <w:divBdr>
        <w:top w:val="none" w:sz="0" w:space="0" w:color="auto"/>
        <w:left w:val="none" w:sz="0" w:space="0" w:color="auto"/>
        <w:bottom w:val="none" w:sz="0" w:space="0" w:color="auto"/>
        <w:right w:val="none" w:sz="0" w:space="0" w:color="auto"/>
      </w:divBdr>
      <w:divsChild>
        <w:div w:id="1664817678">
          <w:marLeft w:val="547"/>
          <w:marRight w:val="0"/>
          <w:marTop w:val="125"/>
          <w:marBottom w:val="0"/>
          <w:divBdr>
            <w:top w:val="none" w:sz="0" w:space="0" w:color="auto"/>
            <w:left w:val="none" w:sz="0" w:space="0" w:color="auto"/>
            <w:bottom w:val="none" w:sz="0" w:space="0" w:color="auto"/>
            <w:right w:val="none" w:sz="0" w:space="0" w:color="auto"/>
          </w:divBdr>
        </w:div>
        <w:div w:id="1997419286">
          <w:marLeft w:val="547"/>
          <w:marRight w:val="0"/>
          <w:marTop w:val="125"/>
          <w:marBottom w:val="0"/>
          <w:divBdr>
            <w:top w:val="none" w:sz="0" w:space="0" w:color="auto"/>
            <w:left w:val="none" w:sz="0" w:space="0" w:color="auto"/>
            <w:bottom w:val="none" w:sz="0" w:space="0" w:color="auto"/>
            <w:right w:val="none" w:sz="0" w:space="0" w:color="auto"/>
          </w:divBdr>
        </w:div>
        <w:div w:id="824316169">
          <w:marLeft w:val="547"/>
          <w:marRight w:val="0"/>
          <w:marTop w:val="125"/>
          <w:marBottom w:val="0"/>
          <w:divBdr>
            <w:top w:val="none" w:sz="0" w:space="0" w:color="auto"/>
            <w:left w:val="none" w:sz="0" w:space="0" w:color="auto"/>
            <w:bottom w:val="none" w:sz="0" w:space="0" w:color="auto"/>
            <w:right w:val="none" w:sz="0" w:space="0" w:color="auto"/>
          </w:divBdr>
        </w:div>
        <w:div w:id="1357538233">
          <w:marLeft w:val="547"/>
          <w:marRight w:val="0"/>
          <w:marTop w:val="125"/>
          <w:marBottom w:val="0"/>
          <w:divBdr>
            <w:top w:val="none" w:sz="0" w:space="0" w:color="auto"/>
            <w:left w:val="none" w:sz="0" w:space="0" w:color="auto"/>
            <w:bottom w:val="none" w:sz="0" w:space="0" w:color="auto"/>
            <w:right w:val="none" w:sz="0" w:space="0" w:color="auto"/>
          </w:divBdr>
        </w:div>
      </w:divsChild>
    </w:div>
    <w:div w:id="2044018175">
      <w:bodyDiv w:val="1"/>
      <w:marLeft w:val="0"/>
      <w:marRight w:val="0"/>
      <w:marTop w:val="0"/>
      <w:marBottom w:val="0"/>
      <w:divBdr>
        <w:top w:val="none" w:sz="0" w:space="0" w:color="auto"/>
        <w:left w:val="none" w:sz="0" w:space="0" w:color="auto"/>
        <w:bottom w:val="none" w:sz="0" w:space="0" w:color="auto"/>
        <w:right w:val="none" w:sz="0" w:space="0" w:color="auto"/>
      </w:divBdr>
      <w:divsChild>
        <w:div w:id="344484799">
          <w:marLeft w:val="547"/>
          <w:marRight w:val="0"/>
          <w:marTop w:val="154"/>
          <w:marBottom w:val="0"/>
          <w:divBdr>
            <w:top w:val="none" w:sz="0" w:space="0" w:color="auto"/>
            <w:left w:val="none" w:sz="0" w:space="0" w:color="auto"/>
            <w:bottom w:val="none" w:sz="0" w:space="0" w:color="auto"/>
            <w:right w:val="none" w:sz="0" w:space="0" w:color="auto"/>
          </w:divBdr>
        </w:div>
        <w:div w:id="922374014">
          <w:marLeft w:val="547"/>
          <w:marRight w:val="0"/>
          <w:marTop w:val="154"/>
          <w:marBottom w:val="0"/>
          <w:divBdr>
            <w:top w:val="none" w:sz="0" w:space="0" w:color="auto"/>
            <w:left w:val="none" w:sz="0" w:space="0" w:color="auto"/>
            <w:bottom w:val="none" w:sz="0" w:space="0" w:color="auto"/>
            <w:right w:val="none" w:sz="0" w:space="0" w:color="auto"/>
          </w:divBdr>
        </w:div>
        <w:div w:id="1146169225">
          <w:marLeft w:val="1166"/>
          <w:marRight w:val="0"/>
          <w:marTop w:val="154"/>
          <w:marBottom w:val="0"/>
          <w:divBdr>
            <w:top w:val="none" w:sz="0" w:space="0" w:color="auto"/>
            <w:left w:val="none" w:sz="0" w:space="0" w:color="auto"/>
            <w:bottom w:val="none" w:sz="0" w:space="0" w:color="auto"/>
            <w:right w:val="none" w:sz="0" w:space="0" w:color="auto"/>
          </w:divBdr>
        </w:div>
        <w:div w:id="738404908">
          <w:marLeft w:val="1166"/>
          <w:marRight w:val="0"/>
          <w:marTop w:val="154"/>
          <w:marBottom w:val="0"/>
          <w:divBdr>
            <w:top w:val="none" w:sz="0" w:space="0" w:color="auto"/>
            <w:left w:val="none" w:sz="0" w:space="0" w:color="auto"/>
            <w:bottom w:val="none" w:sz="0" w:space="0" w:color="auto"/>
            <w:right w:val="none" w:sz="0" w:space="0" w:color="auto"/>
          </w:divBdr>
        </w:div>
      </w:divsChild>
    </w:div>
    <w:div w:id="2047681006">
      <w:bodyDiv w:val="1"/>
      <w:marLeft w:val="0"/>
      <w:marRight w:val="0"/>
      <w:marTop w:val="0"/>
      <w:marBottom w:val="0"/>
      <w:divBdr>
        <w:top w:val="none" w:sz="0" w:space="0" w:color="auto"/>
        <w:left w:val="none" w:sz="0" w:space="0" w:color="auto"/>
        <w:bottom w:val="none" w:sz="0" w:space="0" w:color="auto"/>
        <w:right w:val="none" w:sz="0" w:space="0" w:color="auto"/>
      </w:divBdr>
      <w:divsChild>
        <w:div w:id="2048556286">
          <w:marLeft w:val="547"/>
          <w:marRight w:val="0"/>
          <w:marTop w:val="154"/>
          <w:marBottom w:val="0"/>
          <w:divBdr>
            <w:top w:val="none" w:sz="0" w:space="0" w:color="auto"/>
            <w:left w:val="none" w:sz="0" w:space="0" w:color="auto"/>
            <w:bottom w:val="none" w:sz="0" w:space="0" w:color="auto"/>
            <w:right w:val="none" w:sz="0" w:space="0" w:color="auto"/>
          </w:divBdr>
        </w:div>
        <w:div w:id="1694843331">
          <w:marLeft w:val="547"/>
          <w:marRight w:val="0"/>
          <w:marTop w:val="154"/>
          <w:marBottom w:val="0"/>
          <w:divBdr>
            <w:top w:val="none" w:sz="0" w:space="0" w:color="auto"/>
            <w:left w:val="none" w:sz="0" w:space="0" w:color="auto"/>
            <w:bottom w:val="none" w:sz="0" w:space="0" w:color="auto"/>
            <w:right w:val="none" w:sz="0" w:space="0" w:color="auto"/>
          </w:divBdr>
        </w:div>
        <w:div w:id="1455295455">
          <w:marLeft w:val="1166"/>
          <w:marRight w:val="0"/>
          <w:marTop w:val="154"/>
          <w:marBottom w:val="0"/>
          <w:divBdr>
            <w:top w:val="none" w:sz="0" w:space="0" w:color="auto"/>
            <w:left w:val="none" w:sz="0" w:space="0" w:color="auto"/>
            <w:bottom w:val="none" w:sz="0" w:space="0" w:color="auto"/>
            <w:right w:val="none" w:sz="0" w:space="0" w:color="auto"/>
          </w:divBdr>
        </w:div>
        <w:div w:id="1407996877">
          <w:marLeft w:val="1166"/>
          <w:marRight w:val="0"/>
          <w:marTop w:val="154"/>
          <w:marBottom w:val="0"/>
          <w:divBdr>
            <w:top w:val="none" w:sz="0" w:space="0" w:color="auto"/>
            <w:left w:val="none" w:sz="0" w:space="0" w:color="auto"/>
            <w:bottom w:val="none" w:sz="0" w:space="0" w:color="auto"/>
            <w:right w:val="none" w:sz="0" w:space="0" w:color="auto"/>
          </w:divBdr>
        </w:div>
        <w:div w:id="1896046620">
          <w:marLeft w:val="547"/>
          <w:marRight w:val="0"/>
          <w:marTop w:val="154"/>
          <w:marBottom w:val="0"/>
          <w:divBdr>
            <w:top w:val="none" w:sz="0" w:space="0" w:color="auto"/>
            <w:left w:val="none" w:sz="0" w:space="0" w:color="auto"/>
            <w:bottom w:val="none" w:sz="0" w:space="0" w:color="auto"/>
            <w:right w:val="none" w:sz="0" w:space="0" w:color="auto"/>
          </w:divBdr>
        </w:div>
        <w:div w:id="1838886024">
          <w:marLeft w:val="1166"/>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intqhc/article/15/3/261/1856193?login=true#no-access-message%23no-access-message" TargetMode="External"/><Relationship Id="rId13" Type="http://schemas.openxmlformats.org/officeDocument/2006/relationships/hyperlink" Target="https://openurl-ebsco-com.ezproxy.uwtsd.ac.uk/c/onvpsy/openurl?sid=ebsco:plink:entitlement&amp;id=ebsco:aph:173128441" TargetMode="External"/><Relationship Id="rId18" Type="http://schemas.openxmlformats.org/officeDocument/2006/relationships/hyperlink" Target="https://journals-rcni-com.ezproxy.uwtsd.ac.uk/doi/pdf/10.7748/nr.2018.e1466" TargetMode="External"/><Relationship Id="rId3" Type="http://schemas.openxmlformats.org/officeDocument/2006/relationships/settings" Target="settings.xml"/><Relationship Id="rId21" Type="http://schemas.openxmlformats.org/officeDocument/2006/relationships/hyperlink" Target="https://www.proquest.com/docview/2133411195?accountid=130472&amp;parentSessionId=PK4kkcyj%2F0FCudTZ3gZ1f396uxZTArbfW%2FcoqLq5duQ%3D&amp;pq-origsite=primo&amp;sourcetype=Scholarly%20Journals" TargetMode="External"/><Relationship Id="rId7" Type="http://schemas.openxmlformats.org/officeDocument/2006/relationships/hyperlink" Target="https://link.springer.com/article/10.1057/s41300-024-00204-9#citeas" TargetMode="External"/><Relationship Id="rId12" Type="http://schemas.openxmlformats.org/officeDocument/2006/relationships/hyperlink" Target="https://www.ukri.org/wp-content/uploads/2023/03/Report_Embedding-Diversity-in-Research-Design.pdf" TargetMode="External"/><Relationship Id="rId17" Type="http://schemas.openxmlformats.org/officeDocument/2006/relationships/hyperlink" Target="https://www.nngroup.com/articles/open-ended-questions/#:~:text=Open%2Dended%20questions%20allow%20participants,and%20in%20how%20much%20detai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pro.springeropen.com/articles/10.1186/s41687-018-0043-8#citeas" TargetMode="External"/><Relationship Id="rId20" Type="http://schemas.openxmlformats.org/officeDocument/2006/relationships/hyperlink" Target="https://www.sciencedirect.com/science/article/pii/S2214629623000142" TargetMode="External"/><Relationship Id="rId1" Type="http://schemas.openxmlformats.org/officeDocument/2006/relationships/numbering" Target="numbering.xml"/><Relationship Id="rId6" Type="http://schemas.openxmlformats.org/officeDocument/2006/relationships/hyperlink" Target="https://pmc.ncbi.nlm.nih.gov/articles/PMC9536510/" TargetMode="External"/><Relationship Id="rId11" Type="http://schemas.openxmlformats.org/officeDocument/2006/relationships/hyperlink" Target="https://bmcmedresmethodol.biomedcentral.com/articles/10.1186/s12874-017-0337-1#citeas" TargetMode="External"/><Relationship Id="rId24" Type="http://schemas.openxmlformats.org/officeDocument/2006/relationships/fontTable" Target="fontTable.xml"/><Relationship Id="rId5" Type="http://schemas.openxmlformats.org/officeDocument/2006/relationships/hyperlink" Target="https://www.sciencedirect.com/science/article/abs/pii/S0968090X22000353?via%3Dihub" TargetMode="External"/><Relationship Id="rId15" Type="http://schemas.openxmlformats.org/officeDocument/2006/relationships/hyperlink" Target="https://www.researchgate.net/publication/324486854_A_Review_of_key_paradigms_positivism_interpretivism_and_critical_inquiry" TargetMode="External"/><Relationship Id="rId23" Type="http://schemas.openxmlformats.org/officeDocument/2006/relationships/hyperlink" Target="https://www.sciencedirect.com/science/article/abs/pii/S0167487002001344" TargetMode="External"/><Relationship Id="rId10" Type="http://schemas.openxmlformats.org/officeDocument/2006/relationships/hyperlink" Target="https://journals-sagepub-com.ezproxy.uwtsd.ac.uk/doi/epub/10.3102/0034654307313402" TargetMode="External"/><Relationship Id="rId19" Type="http://schemas.openxmlformats.org/officeDocument/2006/relationships/hyperlink" Target="https://www.researchgate.net/publication/309102603" TargetMode="External"/><Relationship Id="rId4" Type="http://schemas.openxmlformats.org/officeDocument/2006/relationships/webSettings" Target="webSettings.xml"/><Relationship Id="rId9" Type="http://schemas.openxmlformats.org/officeDocument/2006/relationships/hyperlink" Target="https://obgyn.onlinelibrary.wiley.com/doi/epdf/10.1111/aogs.13331" TargetMode="External"/><Relationship Id="rId14" Type="http://schemas.openxmlformats.org/officeDocument/2006/relationships/hyperlink" Target="https://link.springer.com/article/10.1007/s10488-013-0528-y" TargetMode="External"/><Relationship Id="rId22" Type="http://schemas.openxmlformats.org/officeDocument/2006/relationships/hyperlink" Target="https://journal.chestnet.org/action/showPdf?pii=S0012-3692%2820%29304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530</TotalTime>
  <Pages>7</Pages>
  <Words>2897</Words>
  <Characters>16196</Characters>
  <Application>Microsoft Office Word</Application>
  <DocSecurity>0</DocSecurity>
  <Lines>522</Lines>
  <Paragraphs>381</Paragraphs>
  <ScaleCrop>false</ScaleCrop>
  <Company/>
  <LinksUpToDate>false</LinksUpToDate>
  <CharactersWithSpaces>18712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Bowen (2200584)</dc:creator>
  <cp:keywords/>
  <dc:description/>
  <cp:lastModifiedBy>Ellie Bowen (2200584)</cp:lastModifiedBy>
  <cp:revision>664</cp:revision>
  <dcterms:created xsi:type="dcterms:W3CDTF">2025-04-14T09:58:00Z</dcterms:created>
  <dcterms:modified xsi:type="dcterms:W3CDTF">2025-04-16T12:34:00Z</dcterms:modified>
</cp:coreProperties>
</file>