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9ED573" w14:textId="77777777" w:rsidR="002C7E4C" w:rsidRDefault="002C7E4C" w:rsidP="002C7E4C">
      <w:pPr>
        <w:spacing w:after="0" w:line="360" w:lineRule="auto"/>
        <w:jc w:val="center"/>
        <w:rPr>
          <w:rFonts w:ascii="Arial" w:eastAsia="Calibri" w:hAnsi="Arial" w:cs="Arial"/>
          <w:lang w:val="en-US"/>
        </w:rPr>
      </w:pPr>
    </w:p>
    <w:p w14:paraId="3E600E7A" w14:textId="77777777" w:rsidR="00C07E1C" w:rsidRDefault="00C07E1C" w:rsidP="002C7E4C">
      <w:pPr>
        <w:spacing w:after="0" w:line="360" w:lineRule="auto"/>
        <w:jc w:val="center"/>
        <w:rPr>
          <w:rFonts w:ascii="Arial" w:eastAsia="Calibri" w:hAnsi="Arial" w:cs="Arial"/>
          <w:lang w:val="en-US"/>
        </w:rPr>
      </w:pPr>
    </w:p>
    <w:p w14:paraId="67694E82" w14:textId="77777777" w:rsidR="00C07E1C" w:rsidRPr="002C7E4C" w:rsidRDefault="00C07E1C" w:rsidP="002C7E4C">
      <w:pPr>
        <w:spacing w:after="0" w:line="360" w:lineRule="auto"/>
        <w:jc w:val="center"/>
        <w:rPr>
          <w:rFonts w:ascii="Arial" w:eastAsia="Calibri" w:hAnsi="Arial" w:cs="Arial"/>
          <w:lang w:val="en-US"/>
        </w:rPr>
      </w:pPr>
    </w:p>
    <w:p w14:paraId="316F8335" w14:textId="5E510C4E" w:rsidR="002C7E4C" w:rsidRDefault="00D21F63" w:rsidP="002C7E4C">
      <w:pPr>
        <w:spacing w:after="0" w:line="360" w:lineRule="auto"/>
        <w:jc w:val="center"/>
        <w:rPr>
          <w:rFonts w:ascii="Arial" w:eastAsia="Calibri" w:hAnsi="Arial" w:cs="Arial"/>
          <w:b/>
          <w:bCs/>
          <w:sz w:val="36"/>
          <w:szCs w:val="36"/>
          <w:lang w:val="en-US"/>
        </w:rPr>
      </w:pPr>
      <w:r w:rsidRPr="00C07E1C">
        <w:rPr>
          <w:rFonts w:ascii="Arial" w:eastAsia="Calibri" w:hAnsi="Arial" w:cs="Arial"/>
          <w:b/>
          <w:bCs/>
          <w:sz w:val="36"/>
          <w:szCs w:val="36"/>
          <w:lang w:val="en-US"/>
        </w:rPr>
        <w:t>UNIVERSIRY OF WALES TRINITY SAINT DAVID</w:t>
      </w:r>
    </w:p>
    <w:p w14:paraId="25394ACE" w14:textId="0DDE3C6A" w:rsidR="00FC6252" w:rsidRDefault="00FC6252" w:rsidP="002C7E4C">
      <w:pPr>
        <w:spacing w:after="0" w:line="360" w:lineRule="auto"/>
        <w:jc w:val="center"/>
        <w:rPr>
          <w:rFonts w:ascii="Arial" w:eastAsia="Calibri" w:hAnsi="Arial" w:cs="Arial"/>
          <w:b/>
          <w:bCs/>
          <w:sz w:val="36"/>
          <w:szCs w:val="36"/>
          <w:lang w:val="en-US"/>
        </w:rPr>
      </w:pPr>
      <w:r>
        <w:rPr>
          <w:rFonts w:ascii="Arial" w:eastAsia="Calibri" w:hAnsi="Arial" w:cs="Arial"/>
          <w:b/>
          <w:bCs/>
          <w:sz w:val="36"/>
          <w:szCs w:val="36"/>
          <w:lang w:val="en-US"/>
        </w:rPr>
        <w:t>LONDON</w:t>
      </w:r>
    </w:p>
    <w:p w14:paraId="6A8A8897" w14:textId="77777777" w:rsidR="00FC6252" w:rsidRPr="002C7E4C" w:rsidRDefault="00FC6252" w:rsidP="002C7E4C">
      <w:pPr>
        <w:spacing w:after="0" w:line="360" w:lineRule="auto"/>
        <w:jc w:val="center"/>
        <w:rPr>
          <w:rFonts w:ascii="Arial" w:eastAsia="Calibri" w:hAnsi="Arial" w:cs="Arial"/>
          <w:b/>
          <w:bCs/>
          <w:sz w:val="36"/>
          <w:szCs w:val="36"/>
          <w:lang w:val="en-US"/>
        </w:rPr>
      </w:pPr>
    </w:p>
    <w:p w14:paraId="1E0955BB" w14:textId="5B423D00" w:rsidR="002C7E4C" w:rsidRPr="0088228F" w:rsidRDefault="00BA2EAE" w:rsidP="002C7E4C">
      <w:pPr>
        <w:spacing w:after="0" w:line="360" w:lineRule="auto"/>
        <w:jc w:val="center"/>
        <w:rPr>
          <w:rFonts w:ascii="Arial" w:eastAsia="Calibri" w:hAnsi="Arial" w:cs="Arial"/>
          <w:sz w:val="28"/>
          <w:szCs w:val="28"/>
          <w:lang w:val="en-US"/>
        </w:rPr>
      </w:pPr>
      <w:r w:rsidRPr="0088228F">
        <w:rPr>
          <w:rFonts w:ascii="Arial" w:eastAsia="Calibri" w:hAnsi="Arial" w:cs="Arial"/>
          <w:sz w:val="28"/>
          <w:szCs w:val="28"/>
          <w:lang w:val="en-US"/>
        </w:rPr>
        <w:t>MANAGIN</w:t>
      </w:r>
      <w:r w:rsidR="0088228F" w:rsidRPr="0088228F">
        <w:rPr>
          <w:rFonts w:ascii="Arial" w:eastAsia="Calibri" w:hAnsi="Arial" w:cs="Arial"/>
          <w:sz w:val="28"/>
          <w:szCs w:val="28"/>
          <w:lang w:val="en-US"/>
        </w:rPr>
        <w:t>G PEOPLE</w:t>
      </w:r>
    </w:p>
    <w:p w14:paraId="6AED232F" w14:textId="7FB0B352" w:rsidR="0088228F" w:rsidRDefault="0088228F" w:rsidP="002C7E4C">
      <w:pPr>
        <w:spacing w:after="0" w:line="360" w:lineRule="auto"/>
        <w:jc w:val="center"/>
        <w:rPr>
          <w:rFonts w:ascii="Arial" w:eastAsia="Calibri" w:hAnsi="Arial" w:cs="Arial"/>
          <w:sz w:val="28"/>
          <w:szCs w:val="28"/>
          <w:lang w:val="en-US"/>
        </w:rPr>
      </w:pPr>
      <w:r w:rsidRPr="0088228F">
        <w:rPr>
          <w:rFonts w:ascii="Arial" w:eastAsia="Calibri" w:hAnsi="Arial" w:cs="Arial"/>
          <w:sz w:val="28"/>
          <w:szCs w:val="28"/>
          <w:lang w:val="en-US"/>
        </w:rPr>
        <w:t>(LCBB5004)</w:t>
      </w:r>
    </w:p>
    <w:p w14:paraId="06C5E9E7" w14:textId="0C022EE8" w:rsidR="00241C47" w:rsidRDefault="00241C47" w:rsidP="002C7E4C">
      <w:pPr>
        <w:spacing w:after="0" w:line="360" w:lineRule="auto"/>
        <w:jc w:val="center"/>
        <w:rPr>
          <w:rFonts w:ascii="Arial" w:eastAsia="Calibri" w:hAnsi="Arial" w:cs="Arial"/>
          <w:sz w:val="28"/>
          <w:szCs w:val="28"/>
          <w:lang w:val="en-US"/>
        </w:rPr>
      </w:pPr>
      <w:r>
        <w:rPr>
          <w:rFonts w:ascii="Arial" w:eastAsia="Calibri" w:hAnsi="Arial" w:cs="Arial"/>
          <w:sz w:val="28"/>
          <w:szCs w:val="28"/>
          <w:lang w:val="en-US"/>
        </w:rPr>
        <w:t>ASSIGNMENT 2</w:t>
      </w:r>
    </w:p>
    <w:p w14:paraId="64116DE3" w14:textId="77777777" w:rsidR="00241C47" w:rsidRPr="002C7E4C" w:rsidRDefault="00241C47" w:rsidP="002C7E4C">
      <w:pPr>
        <w:spacing w:after="0" w:line="360" w:lineRule="auto"/>
        <w:jc w:val="center"/>
        <w:rPr>
          <w:rFonts w:ascii="Arial" w:eastAsia="Calibri" w:hAnsi="Arial" w:cs="Arial"/>
          <w:sz w:val="28"/>
          <w:szCs w:val="28"/>
          <w:lang w:val="en-US"/>
        </w:rPr>
      </w:pPr>
    </w:p>
    <w:p w14:paraId="672AB9BA" w14:textId="77777777" w:rsidR="002C7E4C" w:rsidRPr="002C7E4C" w:rsidRDefault="002C7E4C" w:rsidP="002C7E4C">
      <w:pPr>
        <w:spacing w:after="0" w:line="360" w:lineRule="auto"/>
        <w:rPr>
          <w:rFonts w:ascii="Arial" w:eastAsia="Calibri" w:hAnsi="Arial" w:cs="Arial"/>
          <w:lang w:val="en-US"/>
        </w:rPr>
      </w:pPr>
    </w:p>
    <w:p w14:paraId="6D2409C1" w14:textId="77777777" w:rsidR="002C7E4C" w:rsidRPr="002C7E4C" w:rsidRDefault="002C7E4C" w:rsidP="002C7E4C">
      <w:pPr>
        <w:spacing w:after="0" w:line="360" w:lineRule="auto"/>
        <w:jc w:val="center"/>
        <w:rPr>
          <w:rFonts w:ascii="Arial" w:eastAsia="Calibri" w:hAnsi="Arial" w:cs="Arial"/>
          <w:lang w:val="en-US"/>
        </w:rPr>
      </w:pPr>
    </w:p>
    <w:p w14:paraId="1A97349D" w14:textId="77777777" w:rsidR="002C7E4C" w:rsidRDefault="002C7E4C" w:rsidP="002C7E4C">
      <w:pPr>
        <w:spacing w:after="0" w:line="360" w:lineRule="auto"/>
        <w:jc w:val="center"/>
        <w:rPr>
          <w:rFonts w:ascii="Arial" w:eastAsia="Calibri" w:hAnsi="Arial" w:cs="Arial"/>
          <w:sz w:val="28"/>
          <w:szCs w:val="28"/>
          <w:lang w:val="en-US"/>
        </w:rPr>
      </w:pPr>
      <w:r w:rsidRPr="002C7E4C">
        <w:rPr>
          <w:rFonts w:ascii="Arial" w:eastAsia="Calibri" w:hAnsi="Arial" w:cs="Arial"/>
          <w:sz w:val="28"/>
          <w:szCs w:val="28"/>
          <w:lang w:val="en-US"/>
        </w:rPr>
        <w:t>REPORT FOR EMPLOYEE ENGAGEMENT AND DIAGNOSTIC TOOLS FOR MEASURING IT</w:t>
      </w:r>
    </w:p>
    <w:p w14:paraId="239DD272" w14:textId="77777777" w:rsidR="00FC6252" w:rsidRDefault="00FC6252" w:rsidP="002C7E4C">
      <w:pPr>
        <w:spacing w:after="0" w:line="360" w:lineRule="auto"/>
        <w:jc w:val="center"/>
        <w:rPr>
          <w:rFonts w:ascii="Arial" w:eastAsia="Calibri" w:hAnsi="Arial" w:cs="Arial"/>
          <w:sz w:val="28"/>
          <w:szCs w:val="28"/>
          <w:lang w:val="en-US"/>
        </w:rPr>
      </w:pPr>
    </w:p>
    <w:p w14:paraId="0C98847E" w14:textId="77777777" w:rsidR="00FC6252" w:rsidRDefault="00FC6252" w:rsidP="002C7E4C">
      <w:pPr>
        <w:spacing w:after="0" w:line="360" w:lineRule="auto"/>
        <w:jc w:val="center"/>
        <w:rPr>
          <w:rFonts w:ascii="Arial" w:eastAsia="Calibri" w:hAnsi="Arial" w:cs="Arial"/>
          <w:sz w:val="28"/>
          <w:szCs w:val="28"/>
          <w:lang w:val="en-US"/>
        </w:rPr>
      </w:pPr>
    </w:p>
    <w:p w14:paraId="1D5FFF41" w14:textId="77777777" w:rsidR="00FC6252" w:rsidRPr="002C7E4C" w:rsidRDefault="00FC6252" w:rsidP="002C7E4C">
      <w:pPr>
        <w:spacing w:after="0" w:line="360" w:lineRule="auto"/>
        <w:jc w:val="center"/>
        <w:rPr>
          <w:rFonts w:ascii="Arial" w:eastAsia="Calibri" w:hAnsi="Arial" w:cs="Arial"/>
          <w:sz w:val="28"/>
          <w:szCs w:val="28"/>
          <w:lang w:val="en-US"/>
        </w:rPr>
      </w:pPr>
    </w:p>
    <w:p w14:paraId="35CA3C7C" w14:textId="77777777" w:rsidR="002C7E4C" w:rsidRPr="002C7E4C" w:rsidRDefault="002C7E4C" w:rsidP="002C7E4C">
      <w:pPr>
        <w:spacing w:after="0" w:line="360" w:lineRule="auto"/>
        <w:jc w:val="center"/>
        <w:rPr>
          <w:rFonts w:ascii="Arial" w:eastAsia="Calibri" w:hAnsi="Arial" w:cs="Arial"/>
          <w:lang w:val="en-US"/>
        </w:rPr>
      </w:pPr>
    </w:p>
    <w:p w14:paraId="2A7F2588" w14:textId="77777777" w:rsidR="002C7E4C" w:rsidRPr="002C7E4C" w:rsidRDefault="002C7E4C" w:rsidP="002C7E4C">
      <w:pPr>
        <w:spacing w:after="0" w:line="360" w:lineRule="auto"/>
        <w:jc w:val="center"/>
        <w:rPr>
          <w:rFonts w:ascii="Arial" w:eastAsia="Calibri" w:hAnsi="Arial" w:cs="Arial"/>
          <w:lang w:val="en-US"/>
        </w:rPr>
      </w:pPr>
    </w:p>
    <w:p w14:paraId="6ACFACFE" w14:textId="77777777" w:rsidR="002C7E4C" w:rsidRPr="002C7E4C" w:rsidRDefault="002C7E4C" w:rsidP="002C7E4C">
      <w:pPr>
        <w:spacing w:after="0" w:line="360" w:lineRule="auto"/>
        <w:jc w:val="center"/>
        <w:rPr>
          <w:rFonts w:ascii="Arial" w:eastAsia="Calibri" w:hAnsi="Arial" w:cs="Arial"/>
          <w:lang w:val="en-US"/>
        </w:rPr>
      </w:pPr>
    </w:p>
    <w:p w14:paraId="70BF11E7" w14:textId="6D1EAD85" w:rsidR="001D48F7" w:rsidRPr="00AB3B9D" w:rsidRDefault="001D48F7" w:rsidP="00C75DB0">
      <w:pPr>
        <w:spacing w:after="0" w:line="360" w:lineRule="auto"/>
        <w:rPr>
          <w:rFonts w:ascii="Arial" w:eastAsia="Calibri" w:hAnsi="Arial" w:cs="Arial"/>
          <w:lang w:val="en-US"/>
        </w:rPr>
      </w:pPr>
      <w:r w:rsidRPr="00AB3B9D">
        <w:rPr>
          <w:rFonts w:ascii="Arial" w:eastAsia="Calibri" w:hAnsi="Arial" w:cs="Arial"/>
          <w:lang w:val="en-US"/>
        </w:rPr>
        <w:t xml:space="preserve"> </w:t>
      </w:r>
      <w:r w:rsidR="004D427E" w:rsidRPr="00AB3B9D">
        <w:rPr>
          <w:rFonts w:ascii="Arial" w:eastAsia="Calibri" w:hAnsi="Arial" w:cs="Arial"/>
          <w:lang w:val="en-US"/>
        </w:rPr>
        <w:t>Submitted to:</w:t>
      </w:r>
      <w:r w:rsidR="00A4586A" w:rsidRPr="00AB3B9D">
        <w:rPr>
          <w:rFonts w:ascii="Arial" w:eastAsia="Calibri" w:hAnsi="Arial" w:cs="Arial"/>
          <w:lang w:val="en-US"/>
        </w:rPr>
        <w:t xml:space="preserve">                                                                                                         Submitted </w:t>
      </w:r>
      <w:r w:rsidR="007D7D2F" w:rsidRPr="00AB3B9D">
        <w:rPr>
          <w:rFonts w:ascii="Arial" w:eastAsia="Calibri" w:hAnsi="Arial" w:cs="Arial"/>
          <w:lang w:val="en-US"/>
        </w:rPr>
        <w:t>by</w:t>
      </w:r>
      <w:r w:rsidR="00A4586A" w:rsidRPr="00AB3B9D">
        <w:rPr>
          <w:rFonts w:ascii="Arial" w:eastAsia="Calibri" w:hAnsi="Arial" w:cs="Arial"/>
          <w:lang w:val="en-US"/>
        </w:rPr>
        <w:t>:</w:t>
      </w:r>
    </w:p>
    <w:p w14:paraId="37B4F2DC" w14:textId="5F0C2A49" w:rsidR="002C7E4C" w:rsidRPr="002C7E4C" w:rsidRDefault="00387EF3" w:rsidP="00C75DB0">
      <w:pPr>
        <w:spacing w:after="0" w:line="360" w:lineRule="auto"/>
        <w:rPr>
          <w:rFonts w:ascii="Arial" w:eastAsia="Calibri" w:hAnsi="Arial" w:cs="Arial"/>
          <w:lang w:val="en-US"/>
        </w:rPr>
      </w:pPr>
      <w:r w:rsidRPr="00AB3B9D">
        <w:rPr>
          <w:rFonts w:ascii="Arial" w:eastAsia="Calibri" w:hAnsi="Arial" w:cs="Arial"/>
          <w:lang w:val="en-US"/>
        </w:rPr>
        <w:t xml:space="preserve"> </w:t>
      </w:r>
      <w:r w:rsidR="00C75DB0" w:rsidRPr="00AB3B9D">
        <w:rPr>
          <w:rFonts w:ascii="Arial" w:eastAsia="Calibri" w:hAnsi="Arial" w:cs="Arial"/>
        </w:rPr>
        <w:t>Dr Olusoyi Richard Ashaye</w:t>
      </w:r>
      <w:r w:rsidRPr="00AB3B9D">
        <w:rPr>
          <w:rFonts w:ascii="Arial" w:eastAsia="Calibri" w:hAnsi="Arial" w:cs="Arial"/>
          <w:lang w:val="en-US"/>
        </w:rPr>
        <w:t xml:space="preserve">                                          </w:t>
      </w:r>
      <w:r w:rsidR="00C75DB0" w:rsidRPr="00AB3B9D">
        <w:rPr>
          <w:rFonts w:ascii="Arial" w:eastAsia="Calibri" w:hAnsi="Arial" w:cs="Arial"/>
          <w:lang w:val="en-US"/>
        </w:rPr>
        <w:t xml:space="preserve">                                      </w:t>
      </w:r>
      <w:r w:rsidRPr="00AB3B9D">
        <w:rPr>
          <w:rFonts w:ascii="Arial" w:eastAsia="Calibri" w:hAnsi="Arial" w:cs="Arial"/>
          <w:lang w:val="en-US"/>
        </w:rPr>
        <w:t xml:space="preserve">  </w:t>
      </w:r>
      <w:r w:rsidR="00C75DB0" w:rsidRPr="00AB3B9D">
        <w:rPr>
          <w:rFonts w:ascii="Arial" w:eastAsia="Calibri" w:hAnsi="Arial" w:cs="Arial"/>
          <w:lang w:val="en-US"/>
        </w:rPr>
        <w:t>Grigor Zarankov</w:t>
      </w:r>
      <w:r w:rsidRPr="00AB3B9D">
        <w:rPr>
          <w:rFonts w:ascii="Arial" w:eastAsia="Calibri" w:hAnsi="Arial" w:cs="Arial"/>
          <w:lang w:val="en-US"/>
        </w:rPr>
        <w:t xml:space="preserve">                                                                </w:t>
      </w:r>
    </w:p>
    <w:p w14:paraId="33D5B0D3" w14:textId="4B5DEACC" w:rsidR="002C7E4C" w:rsidRPr="002C7E4C" w:rsidRDefault="00F639EC" w:rsidP="002C7E4C">
      <w:pPr>
        <w:spacing w:after="0" w:line="360" w:lineRule="auto"/>
        <w:jc w:val="center"/>
        <w:rPr>
          <w:rFonts w:ascii="Arial" w:eastAsia="Calibri" w:hAnsi="Arial" w:cs="Arial"/>
          <w:lang w:val="en-US"/>
        </w:rPr>
      </w:pPr>
      <w:r>
        <w:rPr>
          <w:rFonts w:ascii="Arial" w:eastAsia="Calibri" w:hAnsi="Arial" w:cs="Arial"/>
          <w:lang w:val="en-US"/>
        </w:rPr>
        <w:t xml:space="preserve">                                                                                                                 1914055</w:t>
      </w:r>
    </w:p>
    <w:p w14:paraId="5CB25394" w14:textId="1D3B52D6" w:rsidR="002C7E4C" w:rsidRPr="002C7E4C" w:rsidRDefault="002C7E4C" w:rsidP="007D7D2F">
      <w:pPr>
        <w:spacing w:after="0" w:line="360" w:lineRule="auto"/>
        <w:rPr>
          <w:rFonts w:ascii="Arial" w:eastAsia="Calibri" w:hAnsi="Arial" w:cs="Arial"/>
          <w:lang w:val="en-US"/>
        </w:rPr>
      </w:pPr>
    </w:p>
    <w:p w14:paraId="2CFA8A21" w14:textId="77777777" w:rsidR="006851B0" w:rsidRDefault="006851B0" w:rsidP="002C7E4C">
      <w:pPr>
        <w:rPr>
          <w:rFonts w:ascii="Arial" w:eastAsia="Calibri" w:hAnsi="Arial" w:cs="Arial"/>
          <w:b/>
          <w:lang w:val="en-US"/>
        </w:rPr>
      </w:pPr>
    </w:p>
    <w:p w14:paraId="51F65FDA" w14:textId="77777777" w:rsidR="006851B0" w:rsidRDefault="006851B0" w:rsidP="002C7E4C">
      <w:pPr>
        <w:rPr>
          <w:rFonts w:ascii="Arial" w:eastAsia="Calibri" w:hAnsi="Arial" w:cs="Arial"/>
          <w:b/>
          <w:lang w:val="en-US"/>
        </w:rPr>
      </w:pPr>
    </w:p>
    <w:p w14:paraId="5E4D5765" w14:textId="77777777" w:rsidR="006851B0" w:rsidRDefault="006851B0" w:rsidP="002C7E4C">
      <w:pPr>
        <w:rPr>
          <w:rFonts w:ascii="Arial" w:eastAsia="Calibri" w:hAnsi="Arial" w:cs="Arial"/>
          <w:b/>
          <w:lang w:val="en-US"/>
        </w:rPr>
      </w:pPr>
    </w:p>
    <w:p w14:paraId="72F1FC9C" w14:textId="77777777" w:rsidR="006851B0" w:rsidRDefault="006851B0" w:rsidP="002C7E4C">
      <w:pPr>
        <w:rPr>
          <w:rFonts w:ascii="Arial" w:eastAsia="Calibri" w:hAnsi="Arial" w:cs="Arial"/>
          <w:b/>
          <w:lang w:val="en-US"/>
        </w:rPr>
      </w:pPr>
    </w:p>
    <w:p w14:paraId="2A0DFB31" w14:textId="77777777" w:rsidR="00104791" w:rsidRDefault="00104791" w:rsidP="002C7E4C">
      <w:pPr>
        <w:rPr>
          <w:rFonts w:ascii="Arial" w:eastAsia="Calibri" w:hAnsi="Arial" w:cs="Arial"/>
          <w:b/>
          <w:lang w:val="en-US"/>
        </w:rPr>
      </w:pPr>
    </w:p>
    <w:p w14:paraId="4589F4A0" w14:textId="77777777" w:rsidR="0042454C" w:rsidRPr="00384542" w:rsidRDefault="0042454C" w:rsidP="0042454C">
      <w:pPr>
        <w:rPr>
          <w:rFonts w:ascii="Arial" w:eastAsia="Calibri" w:hAnsi="Arial" w:cs="Arial"/>
          <w:b/>
          <w:lang w:val="en-US"/>
        </w:rPr>
      </w:pPr>
    </w:p>
    <w:p w14:paraId="587A85F9" w14:textId="77777777" w:rsidR="0042454C" w:rsidRPr="00384542" w:rsidRDefault="0042454C" w:rsidP="0042454C">
      <w:pPr>
        <w:rPr>
          <w:rFonts w:ascii="Arial" w:eastAsia="Calibri" w:hAnsi="Arial" w:cs="Arial"/>
          <w:b/>
          <w:lang w:val="en-US"/>
        </w:rPr>
      </w:pPr>
    </w:p>
    <w:p w14:paraId="6F729837" w14:textId="77777777" w:rsidR="0042454C" w:rsidRPr="00384542" w:rsidRDefault="0042454C" w:rsidP="0042454C">
      <w:pPr>
        <w:rPr>
          <w:rFonts w:ascii="Arial" w:eastAsia="Calibri" w:hAnsi="Arial" w:cs="Arial"/>
          <w:b/>
          <w:lang w:val="en-US"/>
        </w:rPr>
      </w:pPr>
    </w:p>
    <w:sdt>
      <w:sdtPr>
        <w:rPr>
          <w:rFonts w:asciiTheme="minorHAnsi" w:eastAsiaTheme="minorHAnsi" w:hAnsiTheme="minorHAnsi" w:cstheme="minorBidi"/>
          <w:color w:val="auto"/>
          <w:sz w:val="22"/>
          <w:szCs w:val="22"/>
          <w:lang w:val="en-GB"/>
        </w:rPr>
        <w:id w:val="1674073420"/>
        <w:docPartObj>
          <w:docPartGallery w:val="Table of Contents"/>
          <w:docPartUnique/>
        </w:docPartObj>
      </w:sdtPr>
      <w:sdtEndPr>
        <w:rPr>
          <w:b/>
          <w:bCs/>
          <w:noProof/>
        </w:rPr>
      </w:sdtEndPr>
      <w:sdtContent>
        <w:p w14:paraId="1A46725D" w14:textId="77777777" w:rsidR="0042454C" w:rsidRPr="00384542" w:rsidRDefault="0042454C" w:rsidP="0042454C">
          <w:pPr>
            <w:pStyle w:val="TOCHeading"/>
          </w:pPr>
          <w:r w:rsidRPr="00384542">
            <w:t>Contents</w:t>
          </w:r>
        </w:p>
        <w:p w14:paraId="41D718AA" w14:textId="6747778D" w:rsidR="00DA4233" w:rsidRDefault="0042454C">
          <w:pPr>
            <w:pStyle w:val="TOC1"/>
            <w:tabs>
              <w:tab w:val="right" w:leader="dot" w:pos="9350"/>
            </w:tabs>
            <w:rPr>
              <w:rFonts w:cstheme="minorBidi"/>
              <w:noProof/>
              <w:lang w:val="en-GB" w:eastAsia="en-GB"/>
            </w:rPr>
          </w:pPr>
          <w:r w:rsidRPr="00384542">
            <w:fldChar w:fldCharType="begin"/>
          </w:r>
          <w:r w:rsidRPr="00384542">
            <w:instrText xml:space="preserve"> TOC \o "1-3" \h \z \u </w:instrText>
          </w:r>
          <w:r w:rsidRPr="00384542">
            <w:fldChar w:fldCharType="separate"/>
          </w:r>
          <w:hyperlink w:anchor="_Toc92201053" w:history="1">
            <w:r w:rsidR="00DA4233" w:rsidRPr="005D3FAD">
              <w:rPr>
                <w:rStyle w:val="Hyperlink"/>
                <w:rFonts w:eastAsia="Calibri"/>
                <w:noProof/>
              </w:rPr>
              <w:t>Introduction</w:t>
            </w:r>
            <w:r w:rsidR="00DA4233">
              <w:rPr>
                <w:noProof/>
                <w:webHidden/>
              </w:rPr>
              <w:tab/>
            </w:r>
            <w:r w:rsidR="00DA4233">
              <w:rPr>
                <w:noProof/>
                <w:webHidden/>
              </w:rPr>
              <w:fldChar w:fldCharType="begin"/>
            </w:r>
            <w:r w:rsidR="00DA4233">
              <w:rPr>
                <w:noProof/>
                <w:webHidden/>
              </w:rPr>
              <w:instrText xml:space="preserve"> PAGEREF _Toc92201053 \h </w:instrText>
            </w:r>
            <w:r w:rsidR="00DA4233">
              <w:rPr>
                <w:noProof/>
                <w:webHidden/>
              </w:rPr>
            </w:r>
            <w:r w:rsidR="00DA4233">
              <w:rPr>
                <w:noProof/>
                <w:webHidden/>
              </w:rPr>
              <w:fldChar w:fldCharType="separate"/>
            </w:r>
            <w:r w:rsidR="00DA4233">
              <w:rPr>
                <w:noProof/>
                <w:webHidden/>
              </w:rPr>
              <w:t>3</w:t>
            </w:r>
            <w:r w:rsidR="00DA4233">
              <w:rPr>
                <w:noProof/>
                <w:webHidden/>
              </w:rPr>
              <w:fldChar w:fldCharType="end"/>
            </w:r>
          </w:hyperlink>
        </w:p>
        <w:p w14:paraId="73D9F6D7" w14:textId="5C57AA29" w:rsidR="00DA4233" w:rsidRDefault="00DA4233">
          <w:pPr>
            <w:pStyle w:val="TOC1"/>
            <w:tabs>
              <w:tab w:val="right" w:leader="dot" w:pos="9350"/>
            </w:tabs>
            <w:rPr>
              <w:rFonts w:cstheme="minorBidi"/>
              <w:noProof/>
              <w:lang w:val="en-GB" w:eastAsia="en-GB"/>
            </w:rPr>
          </w:pPr>
          <w:hyperlink w:anchor="_Toc92201054" w:history="1">
            <w:r w:rsidRPr="005D3FAD">
              <w:rPr>
                <w:rStyle w:val="Hyperlink"/>
                <w:rFonts w:eastAsia="Calibri"/>
                <w:noProof/>
              </w:rPr>
              <w:t>The Concept and Drivers of Employee Engagement</w:t>
            </w:r>
            <w:r>
              <w:rPr>
                <w:noProof/>
                <w:webHidden/>
              </w:rPr>
              <w:tab/>
            </w:r>
            <w:r>
              <w:rPr>
                <w:noProof/>
                <w:webHidden/>
              </w:rPr>
              <w:fldChar w:fldCharType="begin"/>
            </w:r>
            <w:r>
              <w:rPr>
                <w:noProof/>
                <w:webHidden/>
              </w:rPr>
              <w:instrText xml:space="preserve"> PAGEREF _Toc92201054 \h </w:instrText>
            </w:r>
            <w:r>
              <w:rPr>
                <w:noProof/>
                <w:webHidden/>
              </w:rPr>
            </w:r>
            <w:r>
              <w:rPr>
                <w:noProof/>
                <w:webHidden/>
              </w:rPr>
              <w:fldChar w:fldCharType="separate"/>
            </w:r>
            <w:r>
              <w:rPr>
                <w:noProof/>
                <w:webHidden/>
              </w:rPr>
              <w:t>3</w:t>
            </w:r>
            <w:r>
              <w:rPr>
                <w:noProof/>
                <w:webHidden/>
              </w:rPr>
              <w:fldChar w:fldCharType="end"/>
            </w:r>
          </w:hyperlink>
        </w:p>
        <w:p w14:paraId="0BDF8215" w14:textId="2656BA5B" w:rsidR="00DA4233" w:rsidRDefault="00DA4233">
          <w:pPr>
            <w:pStyle w:val="TOC2"/>
            <w:tabs>
              <w:tab w:val="right" w:leader="dot" w:pos="9350"/>
            </w:tabs>
            <w:rPr>
              <w:rFonts w:cstheme="minorBidi"/>
              <w:noProof/>
              <w:lang w:val="en-GB" w:eastAsia="en-GB"/>
            </w:rPr>
          </w:pPr>
          <w:hyperlink w:anchor="_Toc92201055" w:history="1">
            <w:r w:rsidRPr="005D3FAD">
              <w:rPr>
                <w:rStyle w:val="Hyperlink"/>
                <w:rFonts w:eastAsia="Calibri"/>
                <w:noProof/>
              </w:rPr>
              <w:t>Positive Psychological State</w:t>
            </w:r>
            <w:r>
              <w:rPr>
                <w:noProof/>
                <w:webHidden/>
              </w:rPr>
              <w:tab/>
            </w:r>
            <w:r>
              <w:rPr>
                <w:noProof/>
                <w:webHidden/>
              </w:rPr>
              <w:fldChar w:fldCharType="begin"/>
            </w:r>
            <w:r>
              <w:rPr>
                <w:noProof/>
                <w:webHidden/>
              </w:rPr>
              <w:instrText xml:space="preserve"> PAGEREF _Toc92201055 \h </w:instrText>
            </w:r>
            <w:r>
              <w:rPr>
                <w:noProof/>
                <w:webHidden/>
              </w:rPr>
            </w:r>
            <w:r>
              <w:rPr>
                <w:noProof/>
                <w:webHidden/>
              </w:rPr>
              <w:fldChar w:fldCharType="separate"/>
            </w:r>
            <w:r>
              <w:rPr>
                <w:noProof/>
                <w:webHidden/>
              </w:rPr>
              <w:t>4</w:t>
            </w:r>
            <w:r>
              <w:rPr>
                <w:noProof/>
                <w:webHidden/>
              </w:rPr>
              <w:fldChar w:fldCharType="end"/>
            </w:r>
          </w:hyperlink>
        </w:p>
        <w:p w14:paraId="188E095E" w14:textId="727F8418" w:rsidR="00DA4233" w:rsidRDefault="00DA4233">
          <w:pPr>
            <w:pStyle w:val="TOC2"/>
            <w:tabs>
              <w:tab w:val="right" w:leader="dot" w:pos="9350"/>
            </w:tabs>
            <w:rPr>
              <w:rFonts w:cstheme="minorBidi"/>
              <w:noProof/>
              <w:lang w:val="en-GB" w:eastAsia="en-GB"/>
            </w:rPr>
          </w:pPr>
          <w:hyperlink w:anchor="_Toc92201056" w:history="1">
            <w:r w:rsidRPr="005D3FAD">
              <w:rPr>
                <w:rStyle w:val="Hyperlink"/>
                <w:rFonts w:eastAsia="Calibri"/>
                <w:noProof/>
              </w:rPr>
              <w:t>Good Job Design</w:t>
            </w:r>
            <w:r>
              <w:rPr>
                <w:noProof/>
                <w:webHidden/>
              </w:rPr>
              <w:tab/>
            </w:r>
            <w:r>
              <w:rPr>
                <w:noProof/>
                <w:webHidden/>
              </w:rPr>
              <w:fldChar w:fldCharType="begin"/>
            </w:r>
            <w:r>
              <w:rPr>
                <w:noProof/>
                <w:webHidden/>
              </w:rPr>
              <w:instrText xml:space="preserve"> PAGEREF _Toc92201056 \h </w:instrText>
            </w:r>
            <w:r>
              <w:rPr>
                <w:noProof/>
                <w:webHidden/>
              </w:rPr>
            </w:r>
            <w:r>
              <w:rPr>
                <w:noProof/>
                <w:webHidden/>
              </w:rPr>
              <w:fldChar w:fldCharType="separate"/>
            </w:r>
            <w:r>
              <w:rPr>
                <w:noProof/>
                <w:webHidden/>
              </w:rPr>
              <w:t>4</w:t>
            </w:r>
            <w:r>
              <w:rPr>
                <w:noProof/>
                <w:webHidden/>
              </w:rPr>
              <w:fldChar w:fldCharType="end"/>
            </w:r>
          </w:hyperlink>
        </w:p>
        <w:p w14:paraId="1C0A154C" w14:textId="5605BA04" w:rsidR="00DA4233" w:rsidRDefault="00DA4233">
          <w:pPr>
            <w:pStyle w:val="TOC2"/>
            <w:tabs>
              <w:tab w:val="right" w:leader="dot" w:pos="9350"/>
            </w:tabs>
            <w:rPr>
              <w:rFonts w:cstheme="minorBidi"/>
              <w:noProof/>
              <w:lang w:val="en-GB" w:eastAsia="en-GB"/>
            </w:rPr>
          </w:pPr>
          <w:hyperlink w:anchor="_Toc92201057" w:history="1">
            <w:r w:rsidRPr="005D3FAD">
              <w:rPr>
                <w:rStyle w:val="Hyperlink"/>
                <w:rFonts w:eastAsia="Calibri"/>
                <w:noProof/>
              </w:rPr>
              <w:t>Effective Leadership</w:t>
            </w:r>
            <w:r>
              <w:rPr>
                <w:noProof/>
                <w:webHidden/>
              </w:rPr>
              <w:tab/>
            </w:r>
            <w:r>
              <w:rPr>
                <w:noProof/>
                <w:webHidden/>
              </w:rPr>
              <w:fldChar w:fldCharType="begin"/>
            </w:r>
            <w:r>
              <w:rPr>
                <w:noProof/>
                <w:webHidden/>
              </w:rPr>
              <w:instrText xml:space="preserve"> PAGEREF _Toc92201057 \h </w:instrText>
            </w:r>
            <w:r>
              <w:rPr>
                <w:noProof/>
                <w:webHidden/>
              </w:rPr>
            </w:r>
            <w:r>
              <w:rPr>
                <w:noProof/>
                <w:webHidden/>
              </w:rPr>
              <w:fldChar w:fldCharType="separate"/>
            </w:r>
            <w:r>
              <w:rPr>
                <w:noProof/>
                <w:webHidden/>
              </w:rPr>
              <w:t>5</w:t>
            </w:r>
            <w:r>
              <w:rPr>
                <w:noProof/>
                <w:webHidden/>
              </w:rPr>
              <w:fldChar w:fldCharType="end"/>
            </w:r>
          </w:hyperlink>
        </w:p>
        <w:p w14:paraId="49DFB649" w14:textId="693FCBF9" w:rsidR="00DA4233" w:rsidRDefault="00DA4233">
          <w:pPr>
            <w:pStyle w:val="TOC1"/>
            <w:tabs>
              <w:tab w:val="right" w:leader="dot" w:pos="9350"/>
            </w:tabs>
            <w:rPr>
              <w:rFonts w:cstheme="minorBidi"/>
              <w:noProof/>
              <w:lang w:val="en-GB" w:eastAsia="en-GB"/>
            </w:rPr>
          </w:pPr>
          <w:hyperlink w:anchor="_Toc92201058" w:history="1">
            <w:r w:rsidRPr="005D3FAD">
              <w:rPr>
                <w:rStyle w:val="Hyperlink"/>
                <w:rFonts w:eastAsia="Calibri"/>
                <w:noProof/>
              </w:rPr>
              <w:t>Diagnostic Tools to Measure Engagement</w:t>
            </w:r>
            <w:r>
              <w:rPr>
                <w:noProof/>
                <w:webHidden/>
              </w:rPr>
              <w:tab/>
            </w:r>
            <w:r>
              <w:rPr>
                <w:noProof/>
                <w:webHidden/>
              </w:rPr>
              <w:fldChar w:fldCharType="begin"/>
            </w:r>
            <w:r>
              <w:rPr>
                <w:noProof/>
                <w:webHidden/>
              </w:rPr>
              <w:instrText xml:space="preserve"> PAGEREF _Toc92201058 \h </w:instrText>
            </w:r>
            <w:r>
              <w:rPr>
                <w:noProof/>
                <w:webHidden/>
              </w:rPr>
            </w:r>
            <w:r>
              <w:rPr>
                <w:noProof/>
                <w:webHidden/>
              </w:rPr>
              <w:fldChar w:fldCharType="separate"/>
            </w:r>
            <w:r>
              <w:rPr>
                <w:noProof/>
                <w:webHidden/>
              </w:rPr>
              <w:t>5</w:t>
            </w:r>
            <w:r>
              <w:rPr>
                <w:noProof/>
                <w:webHidden/>
              </w:rPr>
              <w:fldChar w:fldCharType="end"/>
            </w:r>
          </w:hyperlink>
        </w:p>
        <w:p w14:paraId="2660F8C5" w14:textId="70E4829F" w:rsidR="00DA4233" w:rsidRDefault="00DA4233">
          <w:pPr>
            <w:pStyle w:val="TOC2"/>
            <w:tabs>
              <w:tab w:val="right" w:leader="dot" w:pos="9350"/>
            </w:tabs>
            <w:rPr>
              <w:rFonts w:cstheme="minorBidi"/>
              <w:noProof/>
              <w:lang w:val="en-GB" w:eastAsia="en-GB"/>
            </w:rPr>
          </w:pPr>
          <w:hyperlink w:anchor="_Toc92201059" w:history="1">
            <w:r w:rsidRPr="005D3FAD">
              <w:rPr>
                <w:rStyle w:val="Hyperlink"/>
                <w:rFonts w:eastAsia="Calibri"/>
                <w:noProof/>
              </w:rPr>
              <w:t>Conducting Staff Appraisal</w:t>
            </w:r>
            <w:r>
              <w:rPr>
                <w:noProof/>
                <w:webHidden/>
              </w:rPr>
              <w:tab/>
            </w:r>
            <w:r>
              <w:rPr>
                <w:noProof/>
                <w:webHidden/>
              </w:rPr>
              <w:fldChar w:fldCharType="begin"/>
            </w:r>
            <w:r>
              <w:rPr>
                <w:noProof/>
                <w:webHidden/>
              </w:rPr>
              <w:instrText xml:space="preserve"> PAGEREF _Toc92201059 \h </w:instrText>
            </w:r>
            <w:r>
              <w:rPr>
                <w:noProof/>
                <w:webHidden/>
              </w:rPr>
            </w:r>
            <w:r>
              <w:rPr>
                <w:noProof/>
                <w:webHidden/>
              </w:rPr>
              <w:fldChar w:fldCharType="separate"/>
            </w:r>
            <w:r>
              <w:rPr>
                <w:noProof/>
                <w:webHidden/>
              </w:rPr>
              <w:t>5</w:t>
            </w:r>
            <w:r>
              <w:rPr>
                <w:noProof/>
                <w:webHidden/>
              </w:rPr>
              <w:fldChar w:fldCharType="end"/>
            </w:r>
          </w:hyperlink>
        </w:p>
        <w:p w14:paraId="713466C5" w14:textId="2514E443" w:rsidR="00DA4233" w:rsidRDefault="00DA4233">
          <w:pPr>
            <w:pStyle w:val="TOC2"/>
            <w:tabs>
              <w:tab w:val="right" w:leader="dot" w:pos="9350"/>
            </w:tabs>
            <w:rPr>
              <w:rFonts w:cstheme="minorBidi"/>
              <w:noProof/>
              <w:lang w:val="en-GB" w:eastAsia="en-GB"/>
            </w:rPr>
          </w:pPr>
          <w:hyperlink w:anchor="_Toc92201060" w:history="1">
            <w:r w:rsidRPr="005D3FAD">
              <w:rPr>
                <w:rStyle w:val="Hyperlink"/>
                <w:rFonts w:eastAsia="Calibri"/>
                <w:noProof/>
              </w:rPr>
              <w:t>Rating Productivity and Retention</w:t>
            </w:r>
            <w:r>
              <w:rPr>
                <w:noProof/>
                <w:webHidden/>
              </w:rPr>
              <w:tab/>
            </w:r>
            <w:r>
              <w:rPr>
                <w:noProof/>
                <w:webHidden/>
              </w:rPr>
              <w:fldChar w:fldCharType="begin"/>
            </w:r>
            <w:r>
              <w:rPr>
                <w:noProof/>
                <w:webHidden/>
              </w:rPr>
              <w:instrText xml:space="preserve"> PAGEREF _Toc92201060 \h </w:instrText>
            </w:r>
            <w:r>
              <w:rPr>
                <w:noProof/>
                <w:webHidden/>
              </w:rPr>
            </w:r>
            <w:r>
              <w:rPr>
                <w:noProof/>
                <w:webHidden/>
              </w:rPr>
              <w:fldChar w:fldCharType="separate"/>
            </w:r>
            <w:r>
              <w:rPr>
                <w:noProof/>
                <w:webHidden/>
              </w:rPr>
              <w:t>6</w:t>
            </w:r>
            <w:r>
              <w:rPr>
                <w:noProof/>
                <w:webHidden/>
              </w:rPr>
              <w:fldChar w:fldCharType="end"/>
            </w:r>
          </w:hyperlink>
        </w:p>
        <w:p w14:paraId="02577F2B" w14:textId="49E3E8FD" w:rsidR="00DA4233" w:rsidRDefault="00DA4233">
          <w:pPr>
            <w:pStyle w:val="TOC2"/>
            <w:tabs>
              <w:tab w:val="right" w:leader="dot" w:pos="9350"/>
            </w:tabs>
            <w:rPr>
              <w:rFonts w:cstheme="minorBidi"/>
              <w:noProof/>
              <w:lang w:val="en-GB" w:eastAsia="en-GB"/>
            </w:rPr>
          </w:pPr>
          <w:hyperlink w:anchor="_Toc92201061" w:history="1">
            <w:r w:rsidRPr="005D3FAD">
              <w:rPr>
                <w:rStyle w:val="Hyperlink"/>
                <w:rFonts w:eastAsia="Calibri"/>
                <w:noProof/>
              </w:rPr>
              <w:t>Conducting Exit and Stay Interviews</w:t>
            </w:r>
            <w:r>
              <w:rPr>
                <w:noProof/>
                <w:webHidden/>
              </w:rPr>
              <w:tab/>
            </w:r>
            <w:r>
              <w:rPr>
                <w:noProof/>
                <w:webHidden/>
              </w:rPr>
              <w:fldChar w:fldCharType="begin"/>
            </w:r>
            <w:r>
              <w:rPr>
                <w:noProof/>
                <w:webHidden/>
              </w:rPr>
              <w:instrText xml:space="preserve"> PAGEREF _Toc92201061 \h </w:instrText>
            </w:r>
            <w:r>
              <w:rPr>
                <w:noProof/>
                <w:webHidden/>
              </w:rPr>
            </w:r>
            <w:r>
              <w:rPr>
                <w:noProof/>
                <w:webHidden/>
              </w:rPr>
              <w:fldChar w:fldCharType="separate"/>
            </w:r>
            <w:r>
              <w:rPr>
                <w:noProof/>
                <w:webHidden/>
              </w:rPr>
              <w:t>6</w:t>
            </w:r>
            <w:r>
              <w:rPr>
                <w:noProof/>
                <w:webHidden/>
              </w:rPr>
              <w:fldChar w:fldCharType="end"/>
            </w:r>
          </w:hyperlink>
        </w:p>
        <w:p w14:paraId="71B641CD" w14:textId="67B04ED4" w:rsidR="00DA4233" w:rsidRDefault="00DA4233">
          <w:pPr>
            <w:pStyle w:val="TOC2"/>
            <w:tabs>
              <w:tab w:val="right" w:leader="dot" w:pos="9350"/>
            </w:tabs>
            <w:rPr>
              <w:rFonts w:cstheme="minorBidi"/>
              <w:noProof/>
              <w:lang w:val="en-GB" w:eastAsia="en-GB"/>
            </w:rPr>
          </w:pPr>
          <w:hyperlink w:anchor="_Toc92201062" w:history="1">
            <w:r w:rsidRPr="005D3FAD">
              <w:rPr>
                <w:rStyle w:val="Hyperlink"/>
                <w:rFonts w:eastAsia="Calibri"/>
                <w:noProof/>
              </w:rPr>
              <w:t>National context</w:t>
            </w:r>
            <w:r>
              <w:rPr>
                <w:noProof/>
                <w:webHidden/>
              </w:rPr>
              <w:tab/>
            </w:r>
            <w:r>
              <w:rPr>
                <w:noProof/>
                <w:webHidden/>
              </w:rPr>
              <w:fldChar w:fldCharType="begin"/>
            </w:r>
            <w:r>
              <w:rPr>
                <w:noProof/>
                <w:webHidden/>
              </w:rPr>
              <w:instrText xml:space="preserve"> PAGEREF _Toc92201062 \h </w:instrText>
            </w:r>
            <w:r>
              <w:rPr>
                <w:noProof/>
                <w:webHidden/>
              </w:rPr>
            </w:r>
            <w:r>
              <w:rPr>
                <w:noProof/>
                <w:webHidden/>
              </w:rPr>
              <w:fldChar w:fldCharType="separate"/>
            </w:r>
            <w:r>
              <w:rPr>
                <w:noProof/>
                <w:webHidden/>
              </w:rPr>
              <w:t>6</w:t>
            </w:r>
            <w:r>
              <w:rPr>
                <w:noProof/>
                <w:webHidden/>
              </w:rPr>
              <w:fldChar w:fldCharType="end"/>
            </w:r>
          </w:hyperlink>
        </w:p>
        <w:p w14:paraId="7807439E" w14:textId="6E675CE3" w:rsidR="00DA4233" w:rsidRDefault="00DA4233">
          <w:pPr>
            <w:pStyle w:val="TOC1"/>
            <w:tabs>
              <w:tab w:val="right" w:leader="dot" w:pos="9350"/>
            </w:tabs>
            <w:rPr>
              <w:rFonts w:cstheme="minorBidi"/>
              <w:noProof/>
              <w:lang w:val="en-GB" w:eastAsia="en-GB"/>
            </w:rPr>
          </w:pPr>
          <w:hyperlink w:anchor="_Toc92201063" w:history="1">
            <w:r w:rsidRPr="005D3FAD">
              <w:rPr>
                <w:rStyle w:val="Hyperlink"/>
                <w:rFonts w:eastAsia="Calibri"/>
                <w:noProof/>
              </w:rPr>
              <w:t>Employee Value Proposition</w:t>
            </w:r>
            <w:r>
              <w:rPr>
                <w:noProof/>
                <w:webHidden/>
              </w:rPr>
              <w:tab/>
            </w:r>
            <w:r>
              <w:rPr>
                <w:noProof/>
                <w:webHidden/>
              </w:rPr>
              <w:fldChar w:fldCharType="begin"/>
            </w:r>
            <w:r>
              <w:rPr>
                <w:noProof/>
                <w:webHidden/>
              </w:rPr>
              <w:instrText xml:space="preserve"> PAGEREF _Toc92201063 \h </w:instrText>
            </w:r>
            <w:r>
              <w:rPr>
                <w:noProof/>
                <w:webHidden/>
              </w:rPr>
            </w:r>
            <w:r>
              <w:rPr>
                <w:noProof/>
                <w:webHidden/>
              </w:rPr>
              <w:fldChar w:fldCharType="separate"/>
            </w:r>
            <w:r>
              <w:rPr>
                <w:noProof/>
                <w:webHidden/>
              </w:rPr>
              <w:t>7</w:t>
            </w:r>
            <w:r>
              <w:rPr>
                <w:noProof/>
                <w:webHidden/>
              </w:rPr>
              <w:fldChar w:fldCharType="end"/>
            </w:r>
          </w:hyperlink>
        </w:p>
        <w:p w14:paraId="49B9F5C4" w14:textId="64D54AD7" w:rsidR="00DA4233" w:rsidRDefault="00DA4233">
          <w:pPr>
            <w:pStyle w:val="TOC2"/>
            <w:tabs>
              <w:tab w:val="right" w:leader="dot" w:pos="9350"/>
            </w:tabs>
            <w:rPr>
              <w:rFonts w:cstheme="minorBidi"/>
              <w:noProof/>
              <w:lang w:val="en-GB" w:eastAsia="en-GB"/>
            </w:rPr>
          </w:pPr>
          <w:hyperlink w:anchor="_Toc92201064" w:history="1">
            <w:r w:rsidRPr="005D3FAD">
              <w:rPr>
                <w:rStyle w:val="Hyperlink"/>
                <w:rFonts w:eastAsia="Calibri"/>
                <w:noProof/>
              </w:rPr>
              <w:t>Rewards</w:t>
            </w:r>
            <w:r>
              <w:rPr>
                <w:noProof/>
                <w:webHidden/>
              </w:rPr>
              <w:tab/>
            </w:r>
            <w:r>
              <w:rPr>
                <w:noProof/>
                <w:webHidden/>
              </w:rPr>
              <w:fldChar w:fldCharType="begin"/>
            </w:r>
            <w:r>
              <w:rPr>
                <w:noProof/>
                <w:webHidden/>
              </w:rPr>
              <w:instrText xml:space="preserve"> PAGEREF _Toc92201064 \h </w:instrText>
            </w:r>
            <w:r>
              <w:rPr>
                <w:noProof/>
                <w:webHidden/>
              </w:rPr>
            </w:r>
            <w:r>
              <w:rPr>
                <w:noProof/>
                <w:webHidden/>
              </w:rPr>
              <w:fldChar w:fldCharType="separate"/>
            </w:r>
            <w:r>
              <w:rPr>
                <w:noProof/>
                <w:webHidden/>
              </w:rPr>
              <w:t>7</w:t>
            </w:r>
            <w:r>
              <w:rPr>
                <w:noProof/>
                <w:webHidden/>
              </w:rPr>
              <w:fldChar w:fldCharType="end"/>
            </w:r>
          </w:hyperlink>
        </w:p>
        <w:p w14:paraId="7E16334C" w14:textId="6A730B59" w:rsidR="00DA4233" w:rsidRDefault="00DA4233">
          <w:pPr>
            <w:pStyle w:val="TOC2"/>
            <w:tabs>
              <w:tab w:val="right" w:leader="dot" w:pos="9350"/>
            </w:tabs>
            <w:rPr>
              <w:rFonts w:cstheme="minorBidi"/>
              <w:noProof/>
              <w:lang w:val="en-GB" w:eastAsia="en-GB"/>
            </w:rPr>
          </w:pPr>
          <w:hyperlink w:anchor="_Toc92201065" w:history="1">
            <w:r w:rsidRPr="005D3FAD">
              <w:rPr>
                <w:rStyle w:val="Hyperlink"/>
                <w:rFonts w:eastAsia="Calibri"/>
                <w:noProof/>
              </w:rPr>
              <w:t>Employment Benefits</w:t>
            </w:r>
            <w:r>
              <w:rPr>
                <w:noProof/>
                <w:webHidden/>
              </w:rPr>
              <w:tab/>
            </w:r>
            <w:r>
              <w:rPr>
                <w:noProof/>
                <w:webHidden/>
              </w:rPr>
              <w:fldChar w:fldCharType="begin"/>
            </w:r>
            <w:r>
              <w:rPr>
                <w:noProof/>
                <w:webHidden/>
              </w:rPr>
              <w:instrText xml:space="preserve"> PAGEREF _Toc92201065 \h </w:instrText>
            </w:r>
            <w:r>
              <w:rPr>
                <w:noProof/>
                <w:webHidden/>
              </w:rPr>
            </w:r>
            <w:r>
              <w:rPr>
                <w:noProof/>
                <w:webHidden/>
              </w:rPr>
              <w:fldChar w:fldCharType="separate"/>
            </w:r>
            <w:r>
              <w:rPr>
                <w:noProof/>
                <w:webHidden/>
              </w:rPr>
              <w:t>7</w:t>
            </w:r>
            <w:r>
              <w:rPr>
                <w:noProof/>
                <w:webHidden/>
              </w:rPr>
              <w:fldChar w:fldCharType="end"/>
            </w:r>
          </w:hyperlink>
        </w:p>
        <w:p w14:paraId="34BAD54F" w14:textId="30625D3D" w:rsidR="00DA4233" w:rsidRDefault="00DA4233">
          <w:pPr>
            <w:pStyle w:val="TOC2"/>
            <w:tabs>
              <w:tab w:val="right" w:leader="dot" w:pos="9350"/>
            </w:tabs>
            <w:rPr>
              <w:rFonts w:cstheme="minorBidi"/>
              <w:noProof/>
              <w:lang w:val="en-GB" w:eastAsia="en-GB"/>
            </w:rPr>
          </w:pPr>
          <w:hyperlink w:anchor="_Toc92201066" w:history="1">
            <w:r w:rsidRPr="005D3FAD">
              <w:rPr>
                <w:rStyle w:val="Hyperlink"/>
                <w:rFonts w:eastAsia="Calibri"/>
                <w:noProof/>
              </w:rPr>
              <w:t>Work-Life Balance</w:t>
            </w:r>
            <w:r>
              <w:rPr>
                <w:noProof/>
                <w:webHidden/>
              </w:rPr>
              <w:tab/>
            </w:r>
            <w:r>
              <w:rPr>
                <w:noProof/>
                <w:webHidden/>
              </w:rPr>
              <w:fldChar w:fldCharType="begin"/>
            </w:r>
            <w:r>
              <w:rPr>
                <w:noProof/>
                <w:webHidden/>
              </w:rPr>
              <w:instrText xml:space="preserve"> PAGEREF _Toc92201066 \h </w:instrText>
            </w:r>
            <w:r>
              <w:rPr>
                <w:noProof/>
                <w:webHidden/>
              </w:rPr>
            </w:r>
            <w:r>
              <w:rPr>
                <w:noProof/>
                <w:webHidden/>
              </w:rPr>
              <w:fldChar w:fldCharType="separate"/>
            </w:r>
            <w:r>
              <w:rPr>
                <w:noProof/>
                <w:webHidden/>
              </w:rPr>
              <w:t>7</w:t>
            </w:r>
            <w:r>
              <w:rPr>
                <w:noProof/>
                <w:webHidden/>
              </w:rPr>
              <w:fldChar w:fldCharType="end"/>
            </w:r>
          </w:hyperlink>
        </w:p>
        <w:p w14:paraId="7E960459" w14:textId="579A72F4" w:rsidR="00DA4233" w:rsidRDefault="00DA4233">
          <w:pPr>
            <w:pStyle w:val="TOC1"/>
            <w:tabs>
              <w:tab w:val="right" w:leader="dot" w:pos="9350"/>
            </w:tabs>
            <w:rPr>
              <w:rFonts w:cstheme="minorBidi"/>
              <w:noProof/>
              <w:lang w:val="en-GB" w:eastAsia="en-GB"/>
            </w:rPr>
          </w:pPr>
          <w:hyperlink w:anchor="_Toc92201067" w:history="1">
            <w:r w:rsidRPr="005D3FAD">
              <w:rPr>
                <w:rStyle w:val="Hyperlink"/>
                <w:rFonts w:eastAsia="Calibri"/>
                <w:noProof/>
              </w:rPr>
              <w:t>Conclusion and Recommendation</w:t>
            </w:r>
            <w:r>
              <w:rPr>
                <w:noProof/>
                <w:webHidden/>
              </w:rPr>
              <w:tab/>
            </w:r>
            <w:r>
              <w:rPr>
                <w:noProof/>
                <w:webHidden/>
              </w:rPr>
              <w:fldChar w:fldCharType="begin"/>
            </w:r>
            <w:r>
              <w:rPr>
                <w:noProof/>
                <w:webHidden/>
              </w:rPr>
              <w:instrText xml:space="preserve"> PAGEREF _Toc92201067 \h </w:instrText>
            </w:r>
            <w:r>
              <w:rPr>
                <w:noProof/>
                <w:webHidden/>
              </w:rPr>
            </w:r>
            <w:r>
              <w:rPr>
                <w:noProof/>
                <w:webHidden/>
              </w:rPr>
              <w:fldChar w:fldCharType="separate"/>
            </w:r>
            <w:r>
              <w:rPr>
                <w:noProof/>
                <w:webHidden/>
              </w:rPr>
              <w:t>8</w:t>
            </w:r>
            <w:r>
              <w:rPr>
                <w:noProof/>
                <w:webHidden/>
              </w:rPr>
              <w:fldChar w:fldCharType="end"/>
            </w:r>
          </w:hyperlink>
        </w:p>
        <w:p w14:paraId="5C31C391" w14:textId="24762CEC" w:rsidR="00DA4233" w:rsidRDefault="00DA4233">
          <w:pPr>
            <w:pStyle w:val="TOC1"/>
            <w:tabs>
              <w:tab w:val="right" w:leader="dot" w:pos="9350"/>
            </w:tabs>
            <w:rPr>
              <w:rFonts w:cstheme="minorBidi"/>
              <w:noProof/>
              <w:lang w:val="en-GB" w:eastAsia="en-GB"/>
            </w:rPr>
          </w:pPr>
          <w:hyperlink w:anchor="_Toc92201068" w:history="1">
            <w:r w:rsidRPr="005D3FAD">
              <w:rPr>
                <w:rStyle w:val="Hyperlink"/>
                <w:rFonts w:eastAsia="Calibri"/>
                <w:noProof/>
              </w:rPr>
              <w:t>Reference List</w:t>
            </w:r>
            <w:r>
              <w:rPr>
                <w:noProof/>
                <w:webHidden/>
              </w:rPr>
              <w:tab/>
            </w:r>
            <w:r>
              <w:rPr>
                <w:noProof/>
                <w:webHidden/>
              </w:rPr>
              <w:fldChar w:fldCharType="begin"/>
            </w:r>
            <w:r>
              <w:rPr>
                <w:noProof/>
                <w:webHidden/>
              </w:rPr>
              <w:instrText xml:space="preserve"> PAGEREF _Toc92201068 \h </w:instrText>
            </w:r>
            <w:r>
              <w:rPr>
                <w:noProof/>
                <w:webHidden/>
              </w:rPr>
            </w:r>
            <w:r>
              <w:rPr>
                <w:noProof/>
                <w:webHidden/>
              </w:rPr>
              <w:fldChar w:fldCharType="separate"/>
            </w:r>
            <w:r>
              <w:rPr>
                <w:noProof/>
                <w:webHidden/>
              </w:rPr>
              <w:t>9</w:t>
            </w:r>
            <w:r>
              <w:rPr>
                <w:noProof/>
                <w:webHidden/>
              </w:rPr>
              <w:fldChar w:fldCharType="end"/>
            </w:r>
          </w:hyperlink>
        </w:p>
        <w:p w14:paraId="1BB79B30" w14:textId="7C28679D" w:rsidR="0042454C" w:rsidRPr="00384542" w:rsidRDefault="0042454C" w:rsidP="0042454C">
          <w:pPr>
            <w:rPr>
              <w:b/>
              <w:bCs/>
              <w:noProof/>
            </w:rPr>
          </w:pPr>
          <w:r w:rsidRPr="00384542">
            <w:rPr>
              <w:b/>
              <w:bCs/>
              <w:noProof/>
            </w:rPr>
            <w:fldChar w:fldCharType="end"/>
          </w:r>
        </w:p>
        <w:p w14:paraId="6DC93A81" w14:textId="77777777" w:rsidR="0042454C" w:rsidRPr="00384542" w:rsidRDefault="0042454C" w:rsidP="0042454C"/>
      </w:sdtContent>
    </w:sdt>
    <w:p w14:paraId="5BD65E4C" w14:textId="77777777" w:rsidR="0042454C" w:rsidRPr="00384542" w:rsidRDefault="0042454C" w:rsidP="0042454C">
      <w:pPr>
        <w:rPr>
          <w:rFonts w:ascii="Arial" w:eastAsia="Calibri" w:hAnsi="Arial" w:cs="Arial"/>
          <w:b/>
          <w:lang w:val="en-US"/>
        </w:rPr>
      </w:pPr>
    </w:p>
    <w:p w14:paraId="49EC7821" w14:textId="77777777" w:rsidR="0042454C" w:rsidRPr="00384542" w:rsidRDefault="0042454C" w:rsidP="0042454C">
      <w:pPr>
        <w:rPr>
          <w:rFonts w:ascii="Arial" w:eastAsia="Calibri" w:hAnsi="Arial" w:cs="Arial"/>
          <w:b/>
          <w:lang w:val="en-US"/>
        </w:rPr>
      </w:pPr>
    </w:p>
    <w:p w14:paraId="0FC960C2" w14:textId="77777777" w:rsidR="0042454C" w:rsidRPr="00384542" w:rsidRDefault="0042454C" w:rsidP="0042454C">
      <w:pPr>
        <w:rPr>
          <w:rFonts w:ascii="Arial" w:eastAsia="Calibri" w:hAnsi="Arial" w:cs="Arial"/>
          <w:b/>
          <w:lang w:val="en-US"/>
        </w:rPr>
      </w:pPr>
    </w:p>
    <w:p w14:paraId="3B91B2FE" w14:textId="77777777" w:rsidR="0042454C" w:rsidRPr="00384542" w:rsidRDefault="0042454C" w:rsidP="0042454C">
      <w:pPr>
        <w:rPr>
          <w:rFonts w:ascii="Arial" w:eastAsia="Calibri" w:hAnsi="Arial" w:cs="Arial"/>
          <w:b/>
          <w:lang w:val="en-US"/>
        </w:rPr>
      </w:pPr>
    </w:p>
    <w:p w14:paraId="5F8C7CCF" w14:textId="77777777" w:rsidR="0042454C" w:rsidRPr="00384542" w:rsidRDefault="0042454C" w:rsidP="0042454C">
      <w:pPr>
        <w:rPr>
          <w:rFonts w:ascii="Arial" w:eastAsia="Calibri" w:hAnsi="Arial" w:cs="Arial"/>
          <w:b/>
          <w:lang w:val="en-US"/>
        </w:rPr>
      </w:pPr>
    </w:p>
    <w:p w14:paraId="2B9CF66E" w14:textId="77777777" w:rsidR="0042454C" w:rsidRPr="00384542" w:rsidRDefault="0042454C" w:rsidP="0042454C">
      <w:pPr>
        <w:rPr>
          <w:rFonts w:ascii="Arial" w:eastAsia="Calibri" w:hAnsi="Arial" w:cs="Arial"/>
          <w:b/>
          <w:lang w:val="en-US"/>
        </w:rPr>
      </w:pPr>
    </w:p>
    <w:p w14:paraId="3FA69CA6" w14:textId="77777777" w:rsidR="0042454C" w:rsidRPr="00384542" w:rsidRDefault="0042454C" w:rsidP="0042454C">
      <w:pPr>
        <w:rPr>
          <w:rFonts w:ascii="Arial" w:eastAsia="Calibri" w:hAnsi="Arial" w:cs="Arial"/>
          <w:b/>
          <w:lang w:val="en-US"/>
        </w:rPr>
      </w:pPr>
    </w:p>
    <w:p w14:paraId="75D4591A" w14:textId="77777777" w:rsidR="0042454C" w:rsidRPr="00384542" w:rsidRDefault="0042454C" w:rsidP="0042454C">
      <w:pPr>
        <w:rPr>
          <w:rFonts w:ascii="Arial" w:eastAsia="Calibri" w:hAnsi="Arial" w:cs="Arial"/>
          <w:b/>
          <w:lang w:val="en-US"/>
        </w:rPr>
      </w:pPr>
    </w:p>
    <w:p w14:paraId="6E6B419D" w14:textId="77777777" w:rsidR="0042454C" w:rsidRPr="00384542" w:rsidRDefault="0042454C" w:rsidP="0042454C">
      <w:pPr>
        <w:rPr>
          <w:rFonts w:ascii="Arial" w:eastAsia="Calibri" w:hAnsi="Arial" w:cs="Arial"/>
          <w:b/>
          <w:lang w:val="en-US"/>
        </w:rPr>
      </w:pPr>
    </w:p>
    <w:p w14:paraId="23C117F4" w14:textId="77777777" w:rsidR="0042454C" w:rsidRPr="00384542" w:rsidRDefault="0042454C" w:rsidP="0042454C">
      <w:pPr>
        <w:rPr>
          <w:rFonts w:ascii="Arial" w:eastAsia="Calibri" w:hAnsi="Arial" w:cs="Arial"/>
          <w:b/>
          <w:lang w:val="en-US"/>
        </w:rPr>
      </w:pPr>
    </w:p>
    <w:p w14:paraId="41C09F1E" w14:textId="77777777" w:rsidR="0042454C" w:rsidRPr="00384542" w:rsidRDefault="0042454C" w:rsidP="0042454C">
      <w:pPr>
        <w:pStyle w:val="Heading1"/>
        <w:rPr>
          <w:rFonts w:eastAsia="Calibri"/>
          <w:lang w:val="en-US"/>
        </w:rPr>
      </w:pPr>
      <w:bookmarkStart w:id="0" w:name="_Toc92201053"/>
      <w:r w:rsidRPr="00384542">
        <w:rPr>
          <w:rFonts w:eastAsia="Calibri"/>
          <w:lang w:val="en-US"/>
        </w:rPr>
        <w:t>Introduction</w:t>
      </w:r>
      <w:bookmarkEnd w:id="0"/>
    </w:p>
    <w:p w14:paraId="15A51393" w14:textId="77777777" w:rsidR="0042454C" w:rsidRPr="00384542" w:rsidRDefault="0042454C" w:rsidP="0042454C">
      <w:pPr>
        <w:spacing w:after="0" w:line="360" w:lineRule="auto"/>
        <w:jc w:val="center"/>
        <w:rPr>
          <w:rFonts w:ascii="Arial" w:eastAsia="Calibri" w:hAnsi="Arial" w:cs="Arial"/>
          <w:lang w:val="en-US"/>
        </w:rPr>
      </w:pPr>
    </w:p>
    <w:p w14:paraId="78ECA16D" w14:textId="77777777" w:rsidR="0042454C" w:rsidRPr="00384542" w:rsidRDefault="0042454C" w:rsidP="0042454C">
      <w:pPr>
        <w:spacing w:after="0" w:line="360" w:lineRule="auto"/>
        <w:ind w:firstLine="720"/>
        <w:jc w:val="both"/>
        <w:rPr>
          <w:rFonts w:ascii="Arial" w:eastAsia="Calibri" w:hAnsi="Arial" w:cs="Arial"/>
          <w:lang w:val="en-US"/>
        </w:rPr>
      </w:pPr>
      <w:r w:rsidRPr="00384542">
        <w:rPr>
          <w:rFonts w:ascii="Arial" w:eastAsia="Calibri" w:hAnsi="Arial" w:cs="Arial"/>
          <w:lang w:val="en-US"/>
        </w:rPr>
        <w:t xml:space="preserve">Employee engagement has become a critical topic of discussion in the post-coronavirus pandemic. Organisations adopted different strategies to mitigate the adverse effects of the coronavirus on business operations. Some employers have maintained the approaches they utilised to overcome the repercussions of the diseases. In this case, such organisations have allowed their employees to work remotely or at home. The strategy enhances business continuity in the post-pandemic era; however, companies have raised concerns over employee engagement. In this case, </w:t>
      </w:r>
      <w:r w:rsidRPr="00384542">
        <w:rPr>
          <w:rFonts w:ascii="Arial" w:eastAsia="Calibri" w:hAnsi="Arial" w:cs="Arial"/>
          <w:shd w:val="clear" w:color="auto" w:fill="FFFFFF"/>
          <w:lang w:val="en-US"/>
        </w:rPr>
        <w:t xml:space="preserve">Antony (2018) </w:t>
      </w:r>
      <w:r w:rsidRPr="00384542">
        <w:rPr>
          <w:rFonts w:ascii="Arial" w:eastAsia="Calibri" w:hAnsi="Arial" w:cs="Arial"/>
          <w:lang w:val="en-US"/>
        </w:rPr>
        <w:t xml:space="preserve">recounted that employee engagement involves the workers' level of commitment, connection, and motivation to meet particular goals. The author recognises that employee engagement plays an essential role in organisational performance by increasing employee retention, productivity, quality of work. Organisations with high employee engagement reduce turnover and retain valuable talent. In this way, those engaged in their work are more likely to realise job satisfaction and keep their positions. Therefore, employee engagement encourages staff to maintain consistent productivity that increases revenue. Accordingly, disengaged employees lack intrinsic motivation to remain committed to their work. The situation leads to unsatisfactory quality of work and high employee turnover. As a result, companies should measure employee engagement to determine strategies to motivate workers to increase their productivity and meet organisational goals. In this case, our organisation has taken various measures to facilitate employee engagement in the post-pandemic era. Therefore, it is significant to review the employee engagement and diagnostic tools for measuring the strategy in light of the company's measures. </w:t>
      </w:r>
    </w:p>
    <w:p w14:paraId="28F9C730" w14:textId="77777777" w:rsidR="0042454C" w:rsidRPr="00384542" w:rsidRDefault="0042454C" w:rsidP="0042454C">
      <w:pPr>
        <w:spacing w:after="0" w:line="360" w:lineRule="auto"/>
        <w:ind w:firstLine="720"/>
        <w:jc w:val="both"/>
        <w:rPr>
          <w:rFonts w:ascii="Arial" w:eastAsia="Calibri" w:hAnsi="Arial" w:cs="Arial"/>
          <w:lang w:val="en-US"/>
        </w:rPr>
      </w:pPr>
    </w:p>
    <w:p w14:paraId="115B4831" w14:textId="77777777" w:rsidR="0042454C" w:rsidRDefault="0042454C" w:rsidP="0042454C">
      <w:pPr>
        <w:pStyle w:val="Heading1"/>
        <w:rPr>
          <w:rFonts w:eastAsia="Calibri"/>
          <w:lang w:val="en-US"/>
        </w:rPr>
      </w:pPr>
      <w:bookmarkStart w:id="1" w:name="_Toc92201054"/>
      <w:r w:rsidRPr="00384542">
        <w:rPr>
          <w:rFonts w:eastAsia="Calibri"/>
          <w:lang w:val="en-US"/>
        </w:rPr>
        <w:t>The Concept and Drivers of Employee Engagement</w:t>
      </w:r>
      <w:bookmarkEnd w:id="1"/>
    </w:p>
    <w:p w14:paraId="75ED4BC6" w14:textId="77777777" w:rsidR="0042454C" w:rsidRPr="00970E4C" w:rsidRDefault="0042454C" w:rsidP="0042454C">
      <w:pPr>
        <w:rPr>
          <w:lang w:val="en-US"/>
        </w:rPr>
      </w:pPr>
    </w:p>
    <w:p w14:paraId="2B80F22D" w14:textId="77777777" w:rsidR="0042454C" w:rsidRPr="00384542" w:rsidRDefault="0042454C" w:rsidP="0042454C">
      <w:pPr>
        <w:spacing w:after="0" w:line="360" w:lineRule="auto"/>
        <w:ind w:firstLine="720"/>
        <w:jc w:val="both"/>
        <w:rPr>
          <w:rFonts w:ascii="Arial" w:eastAsia="Calibri" w:hAnsi="Arial" w:cs="Arial"/>
          <w:lang w:val="en-US"/>
        </w:rPr>
      </w:pPr>
      <w:r w:rsidRPr="00384542">
        <w:rPr>
          <w:rFonts w:ascii="Arial" w:eastAsia="Calibri" w:hAnsi="Arial" w:cs="Arial"/>
          <w:lang w:val="en-US"/>
        </w:rPr>
        <w:t xml:space="preserve">Companies can use different techniques to improve employee engagement. The organisations' processes to promote employees engagement refer to the drivers or survey items that can influence the relationship between staff and employers. In this way, </w:t>
      </w:r>
      <w:r w:rsidRPr="00384542">
        <w:rPr>
          <w:rFonts w:ascii="Arial" w:eastAsia="Calibri" w:hAnsi="Arial" w:cs="Arial"/>
          <w:shd w:val="clear" w:color="auto" w:fill="FFFFFF"/>
          <w:lang w:val="en-US"/>
        </w:rPr>
        <w:t xml:space="preserve">Torrington et al. (2017) </w:t>
      </w:r>
      <w:r w:rsidRPr="00384542">
        <w:rPr>
          <w:rFonts w:ascii="Arial" w:eastAsia="Calibri" w:hAnsi="Arial" w:cs="Arial"/>
          <w:lang w:val="en-US"/>
        </w:rPr>
        <w:t xml:space="preserve">explain that the drivers of employee engagement include factors that can directly determine the engagement outcomes in an organisation. The drivers of employee engagement can comprise any action that enables a company to improve workers' job satisfaction. For example, trust in leadership, effective communication, addressing individual needs, and other </w:t>
      </w:r>
      <w:r w:rsidRPr="00384542">
        <w:rPr>
          <w:rFonts w:ascii="Arial" w:eastAsia="Calibri" w:hAnsi="Arial" w:cs="Arial"/>
          <w:lang w:val="en-US"/>
        </w:rPr>
        <w:lastRenderedPageBreak/>
        <w:t xml:space="preserve">factors motivate employees to deliver quality work. Based on this study, the organisation has improved employee engagement through a positive psychological state, good job design, and effective leadership. </w:t>
      </w:r>
    </w:p>
    <w:p w14:paraId="0CD77CF2" w14:textId="77777777" w:rsidR="0042454C" w:rsidRPr="00384542" w:rsidRDefault="0042454C" w:rsidP="0042454C">
      <w:pPr>
        <w:spacing w:after="0" w:line="360" w:lineRule="auto"/>
        <w:rPr>
          <w:rFonts w:ascii="Arial" w:eastAsia="Calibri" w:hAnsi="Arial" w:cs="Arial"/>
          <w:b/>
          <w:lang w:val="en-US"/>
        </w:rPr>
      </w:pPr>
    </w:p>
    <w:p w14:paraId="41E1062A" w14:textId="77777777" w:rsidR="0042454C" w:rsidRDefault="0042454C" w:rsidP="0042454C">
      <w:pPr>
        <w:pStyle w:val="Heading2"/>
        <w:rPr>
          <w:rFonts w:eastAsia="Calibri"/>
          <w:lang w:val="en-US"/>
        </w:rPr>
      </w:pPr>
      <w:bookmarkStart w:id="2" w:name="_Toc92201055"/>
      <w:r w:rsidRPr="00384542">
        <w:rPr>
          <w:rFonts w:eastAsia="Calibri"/>
          <w:lang w:val="en-US"/>
        </w:rPr>
        <w:t>Positive Psychological State</w:t>
      </w:r>
      <w:bookmarkEnd w:id="2"/>
    </w:p>
    <w:p w14:paraId="70B64036" w14:textId="77777777" w:rsidR="0042454C" w:rsidRPr="00970E4C" w:rsidRDefault="0042454C" w:rsidP="0042454C">
      <w:pPr>
        <w:rPr>
          <w:lang w:val="en-US"/>
        </w:rPr>
      </w:pPr>
    </w:p>
    <w:p w14:paraId="1ACA5859" w14:textId="77777777" w:rsidR="0042454C" w:rsidRPr="00384542" w:rsidRDefault="0042454C" w:rsidP="0042454C">
      <w:pPr>
        <w:spacing w:after="0" w:line="360" w:lineRule="auto"/>
        <w:jc w:val="both"/>
        <w:rPr>
          <w:rFonts w:ascii="Arial" w:eastAsia="Calibri" w:hAnsi="Arial" w:cs="Arial"/>
          <w:lang w:val="en-US"/>
        </w:rPr>
      </w:pPr>
      <w:r w:rsidRPr="00384542">
        <w:rPr>
          <w:rFonts w:ascii="Arial" w:eastAsia="Calibri" w:hAnsi="Arial" w:cs="Arial"/>
          <w:lang w:val="en-US"/>
        </w:rPr>
        <w:tab/>
        <w:t xml:space="preserve">The company has taken adequate measures to improve workers' psychological state. The strategies comprise working from home (WFH) and flexible working time. According to </w:t>
      </w:r>
      <w:r w:rsidRPr="00384542">
        <w:rPr>
          <w:rFonts w:ascii="Arial" w:eastAsia="Calibri" w:hAnsi="Arial" w:cs="Arial"/>
          <w:shd w:val="clear" w:color="auto" w:fill="FFFFFF"/>
          <w:lang w:val="en-US"/>
        </w:rPr>
        <w:t xml:space="preserve">Torrington et al. (2017), </w:t>
      </w:r>
      <w:r w:rsidRPr="00384542">
        <w:rPr>
          <w:rFonts w:ascii="Arial" w:eastAsia="Calibri" w:hAnsi="Arial" w:cs="Arial"/>
          <w:lang w:val="en-US"/>
        </w:rPr>
        <w:t xml:space="preserve">WFH increases employees' autonomy, convenience, and psychosocial safety to work engagement. The author recounts that independence on the job allows workers to determine the time to complete tasks and techniques to utilise to meet organisational goals. In this way, </w:t>
      </w:r>
      <w:r w:rsidRPr="00384542">
        <w:rPr>
          <w:rFonts w:ascii="Arial" w:eastAsia="Calibri" w:hAnsi="Arial" w:cs="Arial"/>
          <w:shd w:val="clear" w:color="auto" w:fill="FFFFFF"/>
          <w:lang w:val="en-US"/>
        </w:rPr>
        <w:t xml:space="preserve">Mehta (2021) </w:t>
      </w:r>
      <w:r w:rsidRPr="00384542">
        <w:rPr>
          <w:rFonts w:ascii="Arial" w:eastAsia="Calibri" w:hAnsi="Arial" w:cs="Arial"/>
          <w:lang w:val="en-US"/>
        </w:rPr>
        <w:t xml:space="preserve">asserts that autonomy leads to work engagement through affective motivation and work-related wellbeing. In addition, WFH allows staff to integrate work and home roles. </w:t>
      </w:r>
      <w:r w:rsidRPr="00384542">
        <w:rPr>
          <w:rFonts w:ascii="Arial" w:eastAsia="Calibri" w:hAnsi="Arial" w:cs="Arial"/>
          <w:shd w:val="clear" w:color="auto" w:fill="FFFFFF"/>
          <w:lang w:val="en-US"/>
        </w:rPr>
        <w:t>Mehta (2021) r</w:t>
      </w:r>
      <w:r w:rsidRPr="00384542">
        <w:rPr>
          <w:rFonts w:ascii="Arial" w:eastAsia="Calibri" w:hAnsi="Arial" w:cs="Arial"/>
          <w:lang w:val="en-US"/>
        </w:rPr>
        <w:t xml:space="preserve">eports that some workers are willing to receive lower salaries in exchange for the convenience of working remotely. At the same time, </w:t>
      </w:r>
      <w:r w:rsidRPr="00384542">
        <w:rPr>
          <w:rFonts w:ascii="Arial" w:eastAsia="Calibri" w:hAnsi="Arial" w:cs="Arial"/>
          <w:shd w:val="clear" w:color="auto" w:fill="FFFFFF"/>
          <w:lang w:val="en-US"/>
        </w:rPr>
        <w:t xml:space="preserve">Mehta (2021) </w:t>
      </w:r>
      <w:r w:rsidRPr="00384542">
        <w:rPr>
          <w:rFonts w:ascii="Arial" w:eastAsia="Calibri" w:hAnsi="Arial" w:cs="Arial"/>
          <w:lang w:val="en-US"/>
        </w:rPr>
        <w:t xml:space="preserve">affirms that flexible working time improves employee engagement and wellbeing. For example, flexible working time allows staff to enjoy a positive work-life balance that reduces work-related stressors. Therefore, WFH and flexible working tome are critical drivers of employee engagement in this organisation. </w:t>
      </w:r>
    </w:p>
    <w:p w14:paraId="5FAC0434" w14:textId="77777777" w:rsidR="0042454C" w:rsidRPr="00384542" w:rsidRDefault="0042454C" w:rsidP="0042454C">
      <w:pPr>
        <w:spacing w:after="0" w:line="360" w:lineRule="auto"/>
        <w:jc w:val="both"/>
        <w:rPr>
          <w:rFonts w:ascii="Arial" w:eastAsia="Calibri" w:hAnsi="Arial" w:cs="Arial"/>
          <w:shd w:val="clear" w:color="auto" w:fill="FFFFFF"/>
          <w:lang w:val="en-US"/>
        </w:rPr>
      </w:pPr>
    </w:p>
    <w:p w14:paraId="652A2FBB" w14:textId="77777777" w:rsidR="0042454C" w:rsidRDefault="0042454C" w:rsidP="0042454C">
      <w:pPr>
        <w:pStyle w:val="Heading2"/>
        <w:rPr>
          <w:rFonts w:eastAsia="Calibri"/>
          <w:lang w:val="en-US"/>
        </w:rPr>
      </w:pPr>
      <w:bookmarkStart w:id="3" w:name="_Toc92201056"/>
      <w:r w:rsidRPr="00384542">
        <w:rPr>
          <w:rFonts w:eastAsia="Calibri"/>
          <w:lang w:val="en-US"/>
        </w:rPr>
        <w:t>Good Job Design</w:t>
      </w:r>
      <w:bookmarkEnd w:id="3"/>
    </w:p>
    <w:p w14:paraId="1E7607E8" w14:textId="77777777" w:rsidR="0042454C" w:rsidRPr="00970E4C" w:rsidRDefault="0042454C" w:rsidP="0042454C">
      <w:pPr>
        <w:rPr>
          <w:lang w:val="en-US"/>
        </w:rPr>
      </w:pPr>
    </w:p>
    <w:p w14:paraId="311A0322" w14:textId="77777777" w:rsidR="0042454C" w:rsidRPr="00384542" w:rsidRDefault="0042454C" w:rsidP="0042454C">
      <w:pPr>
        <w:spacing w:after="0" w:line="360" w:lineRule="auto"/>
        <w:jc w:val="both"/>
        <w:rPr>
          <w:rFonts w:ascii="Arial" w:eastAsia="Calibri" w:hAnsi="Arial" w:cs="Arial"/>
          <w:lang w:val="en-US"/>
        </w:rPr>
      </w:pPr>
      <w:r w:rsidRPr="00384542">
        <w:rPr>
          <w:rFonts w:ascii="Arial" w:eastAsia="Calibri" w:hAnsi="Arial" w:cs="Arial"/>
          <w:b/>
          <w:lang w:val="en-US"/>
        </w:rPr>
        <w:tab/>
      </w:r>
      <w:r w:rsidRPr="00384542">
        <w:rPr>
          <w:rFonts w:ascii="Arial" w:eastAsia="Calibri" w:hAnsi="Arial" w:cs="Arial"/>
          <w:lang w:val="en-US"/>
        </w:rPr>
        <w:t xml:space="preserve">Job design plays an essential role in determining employee engagement. The organisation restructured workers' roles in the post-pandemic to improve employee engagement. </w:t>
      </w:r>
      <w:r w:rsidRPr="00384542">
        <w:rPr>
          <w:rFonts w:ascii="Arial" w:eastAsia="Calibri" w:hAnsi="Arial" w:cs="Arial"/>
          <w:shd w:val="clear" w:color="auto" w:fill="FFFFFF"/>
          <w:lang w:val="en-US"/>
        </w:rPr>
        <w:t xml:space="preserve">Armstrong and Taylor (2020) </w:t>
      </w:r>
      <w:r w:rsidRPr="00384542">
        <w:rPr>
          <w:rFonts w:ascii="Arial" w:eastAsia="Calibri" w:hAnsi="Arial" w:cs="Arial"/>
          <w:lang w:val="en-US"/>
        </w:rPr>
        <w:t xml:space="preserve">recount that restructuring employees' roles increase job satisfaction if the process leads to positive experiences, such as variety, challenge, and end-to-end responsibility. Skill variety allows employees to apply multiple concepts to perform different tasks in this case. Lack of skill variety causes boredom at the workplace and decreases employee engagement. Therefore, </w:t>
      </w:r>
      <w:r w:rsidRPr="00384542">
        <w:rPr>
          <w:rFonts w:ascii="Arial" w:eastAsia="Calibri" w:hAnsi="Arial" w:cs="Arial"/>
          <w:shd w:val="clear" w:color="auto" w:fill="FFFFFF"/>
          <w:lang w:val="en-US"/>
        </w:rPr>
        <w:t xml:space="preserve">Pilbeam and Corbridge (2010) assert that </w:t>
      </w:r>
      <w:r w:rsidRPr="00384542">
        <w:rPr>
          <w:rFonts w:ascii="Arial" w:eastAsia="Calibri" w:hAnsi="Arial" w:cs="Arial"/>
          <w:lang w:val="en-US"/>
        </w:rPr>
        <w:t xml:space="preserve">job restructuring can only drive employee engagement if it supports skill variety for addressing different challenges at work. Besides, the company should consider end-to-end responsibility to ensure cooperation between workers. The strategy encourages employee engagement by sharing ideas to realise a common organisational goal. </w:t>
      </w:r>
    </w:p>
    <w:p w14:paraId="4DF6FD80" w14:textId="77777777" w:rsidR="0042454C" w:rsidRPr="00384542" w:rsidRDefault="0042454C" w:rsidP="0042454C">
      <w:pPr>
        <w:spacing w:after="0" w:line="360" w:lineRule="auto"/>
        <w:jc w:val="both"/>
        <w:rPr>
          <w:rFonts w:ascii="Arial" w:eastAsia="Calibri" w:hAnsi="Arial" w:cs="Arial"/>
          <w:lang w:val="en-US"/>
        </w:rPr>
      </w:pPr>
    </w:p>
    <w:p w14:paraId="176802A6" w14:textId="77777777" w:rsidR="0042454C" w:rsidRDefault="0042454C" w:rsidP="0042454C">
      <w:pPr>
        <w:pStyle w:val="Heading2"/>
        <w:rPr>
          <w:rFonts w:eastAsia="Calibri"/>
          <w:lang w:val="en-US"/>
        </w:rPr>
      </w:pPr>
      <w:bookmarkStart w:id="4" w:name="_Toc92201057"/>
      <w:r w:rsidRPr="00384542">
        <w:rPr>
          <w:rFonts w:eastAsia="Calibri"/>
          <w:lang w:val="en-US"/>
        </w:rPr>
        <w:lastRenderedPageBreak/>
        <w:t>Effective Leadership</w:t>
      </w:r>
      <w:bookmarkEnd w:id="4"/>
      <w:r w:rsidRPr="00384542">
        <w:rPr>
          <w:rFonts w:eastAsia="Calibri"/>
          <w:lang w:val="en-US"/>
        </w:rPr>
        <w:t xml:space="preserve"> </w:t>
      </w:r>
    </w:p>
    <w:p w14:paraId="0C3A6A68" w14:textId="77777777" w:rsidR="0042454C" w:rsidRPr="00970E4C" w:rsidRDefault="0042454C" w:rsidP="0042454C">
      <w:pPr>
        <w:rPr>
          <w:lang w:val="en-US"/>
        </w:rPr>
      </w:pPr>
    </w:p>
    <w:p w14:paraId="3810D1ED" w14:textId="77777777" w:rsidR="0042454C" w:rsidRPr="00384542" w:rsidRDefault="0042454C" w:rsidP="0042454C">
      <w:pPr>
        <w:spacing w:after="0" w:line="360" w:lineRule="auto"/>
        <w:jc w:val="both"/>
        <w:rPr>
          <w:rFonts w:ascii="Arial" w:eastAsia="Calibri" w:hAnsi="Arial" w:cs="Arial"/>
          <w:lang w:val="en-US"/>
        </w:rPr>
      </w:pPr>
      <w:r w:rsidRPr="00384542">
        <w:rPr>
          <w:rFonts w:ascii="Arial" w:eastAsia="Calibri" w:hAnsi="Arial" w:cs="Arial"/>
          <w:b/>
          <w:lang w:val="en-US"/>
        </w:rPr>
        <w:tab/>
      </w:r>
      <w:r w:rsidRPr="00384542">
        <w:rPr>
          <w:rFonts w:ascii="Arial" w:eastAsia="Calibri" w:hAnsi="Arial" w:cs="Arial"/>
          <w:lang w:val="en-US"/>
        </w:rPr>
        <w:t xml:space="preserve">The organisation has shown competent leadership in addressing the crisis by making the workplace "COVID-19 safe." The measure illustrates that the company prioritises the workers' wellbeing. In this case, </w:t>
      </w:r>
      <w:r w:rsidRPr="00384542">
        <w:rPr>
          <w:rFonts w:ascii="Arial" w:eastAsia="Calibri" w:hAnsi="Arial" w:cs="Arial"/>
          <w:shd w:val="clear" w:color="auto" w:fill="FFFFFF"/>
          <w:lang w:val="en-US"/>
        </w:rPr>
        <w:t xml:space="preserve">Antony (2018) </w:t>
      </w:r>
      <w:r w:rsidRPr="00384542">
        <w:rPr>
          <w:rFonts w:ascii="Arial" w:eastAsia="Calibri" w:hAnsi="Arial" w:cs="Arial"/>
          <w:lang w:val="en-US"/>
        </w:rPr>
        <w:t xml:space="preserve">identifies health security in an organisation as a significant driver of employee engagement. Furthermore, the author explain that this measure satisfies staff safety needs. In this way, meeting this need in the post-coronavirus period make employees relax and motivate them to perform their tasks well without fears of contracting the virus. Therefore, a "COVID-19 safe" workplace makes employees feel that they prioritise the Workforce's health. Furthermore, </w:t>
      </w:r>
      <w:r w:rsidRPr="00384542">
        <w:rPr>
          <w:rFonts w:ascii="Arial" w:eastAsia="Calibri" w:hAnsi="Arial" w:cs="Arial"/>
          <w:shd w:val="clear" w:color="auto" w:fill="FFFFFF"/>
          <w:lang w:val="en-US"/>
        </w:rPr>
        <w:t xml:space="preserve">Armstrong and Taylor (2020) </w:t>
      </w:r>
      <w:r w:rsidRPr="00384542">
        <w:rPr>
          <w:rFonts w:ascii="Arial" w:eastAsia="Calibri" w:hAnsi="Arial" w:cs="Arial"/>
          <w:lang w:val="en-US"/>
        </w:rPr>
        <w:t xml:space="preserve">affirm that the process influences workers to become proud of their organisations' measures to manage the coronavirus. As a result, making a workplace "COVID-19 safe" promotes employee engagement. </w:t>
      </w:r>
    </w:p>
    <w:p w14:paraId="78524923" w14:textId="77777777" w:rsidR="0042454C" w:rsidRPr="00384542" w:rsidRDefault="0042454C" w:rsidP="0042454C">
      <w:pPr>
        <w:spacing w:after="0" w:line="360" w:lineRule="auto"/>
        <w:jc w:val="both"/>
        <w:rPr>
          <w:rFonts w:ascii="Arial" w:eastAsia="Calibri" w:hAnsi="Arial" w:cs="Arial"/>
          <w:lang w:val="en-US"/>
        </w:rPr>
      </w:pPr>
    </w:p>
    <w:p w14:paraId="07CCADF8" w14:textId="77777777" w:rsidR="0042454C" w:rsidRPr="00384542" w:rsidRDefault="0042454C" w:rsidP="0042454C">
      <w:pPr>
        <w:pStyle w:val="Heading1"/>
        <w:rPr>
          <w:rFonts w:eastAsia="Calibri"/>
          <w:lang w:val="en-US"/>
        </w:rPr>
      </w:pPr>
      <w:bookmarkStart w:id="5" w:name="_Toc92201058"/>
      <w:r w:rsidRPr="00384542">
        <w:rPr>
          <w:rFonts w:eastAsia="Calibri"/>
          <w:lang w:val="en-US"/>
        </w:rPr>
        <w:t>Diagnostic Tools to Measure Engagement</w:t>
      </w:r>
      <w:bookmarkEnd w:id="5"/>
    </w:p>
    <w:p w14:paraId="523AA616" w14:textId="77777777" w:rsidR="0042454C" w:rsidRPr="00384542" w:rsidRDefault="0042454C" w:rsidP="0042454C">
      <w:pPr>
        <w:rPr>
          <w:lang w:val="en-US"/>
        </w:rPr>
      </w:pPr>
    </w:p>
    <w:p w14:paraId="2F026D2A" w14:textId="77777777" w:rsidR="0042454C" w:rsidRPr="00384542" w:rsidRDefault="0042454C" w:rsidP="0042454C">
      <w:pPr>
        <w:spacing w:after="0" w:line="360" w:lineRule="auto"/>
        <w:ind w:firstLine="720"/>
        <w:jc w:val="both"/>
        <w:rPr>
          <w:rFonts w:ascii="Arial" w:eastAsia="Calibri" w:hAnsi="Arial" w:cs="Arial"/>
          <w:lang w:val="en-US"/>
        </w:rPr>
      </w:pPr>
      <w:r w:rsidRPr="00384542">
        <w:rPr>
          <w:rFonts w:ascii="Arial" w:eastAsia="Calibri" w:hAnsi="Arial" w:cs="Arial"/>
          <w:lang w:val="en-US"/>
        </w:rPr>
        <w:t>While organisations design suitable drivers for employees' engagement, the workers might not maintain the same level of engagement throughout their career in the company. The situation implies that managers should consistently measure employees' engagement to promote high productivity and job satisfaction</w:t>
      </w:r>
      <w:r w:rsidRPr="00384542">
        <w:rPr>
          <w:rFonts w:ascii="Arial" w:eastAsia="Calibri" w:hAnsi="Arial" w:cs="Arial"/>
          <w:color w:val="FF0000"/>
          <w:lang w:val="en-US"/>
        </w:rPr>
        <w:t xml:space="preserve">. </w:t>
      </w:r>
      <w:r w:rsidRPr="00384542">
        <w:rPr>
          <w:rFonts w:ascii="Arial" w:eastAsia="Calibri" w:hAnsi="Arial" w:cs="Arial"/>
          <w:color w:val="000000" w:themeColor="text1"/>
          <w:lang w:val="en-US"/>
        </w:rPr>
        <w:t xml:space="preserve">Some authors </w:t>
      </w:r>
      <w:r w:rsidRPr="00384542">
        <w:rPr>
          <w:rFonts w:ascii="Arial" w:eastAsia="Calibri" w:hAnsi="Arial" w:cs="Arial"/>
          <w:color w:val="000000" w:themeColor="text1"/>
          <w:shd w:val="clear" w:color="auto" w:fill="FFFFFF"/>
          <w:lang w:val="en-US"/>
        </w:rPr>
        <w:t xml:space="preserve">(Beardwell and Thompson, 2017) </w:t>
      </w:r>
      <w:r w:rsidRPr="00384542">
        <w:rPr>
          <w:rFonts w:ascii="Arial" w:eastAsia="Calibri" w:hAnsi="Arial" w:cs="Arial"/>
          <w:lang w:val="en-US"/>
        </w:rPr>
        <w:t xml:space="preserve">recounts that firms can use specific tools for </w:t>
      </w:r>
      <w:r w:rsidRPr="00384542">
        <w:rPr>
          <w:rFonts w:ascii="Arial" w:hAnsi="Arial" w:cs="Arial"/>
        </w:rPr>
        <w:t>performance appraisal Critical incident technique, Checklist approach, Goal-setting, 360-degree appraisal</w:t>
      </w:r>
      <w:r w:rsidRPr="00384542">
        <w:rPr>
          <w:rFonts w:ascii="Arial" w:eastAsia="Calibri" w:hAnsi="Arial" w:cs="Arial"/>
          <w:lang w:val="en-US"/>
        </w:rPr>
        <w:t xml:space="preserve">. Companies should identify the key drivers of engagement for measurement to determine the most suitable diagnostic tool. In this case, the report focuses on the firm's measures, including WFH, flexible working time, job design, and workplace safety. The following diagnostic tools are convenient in measuring engagement. </w:t>
      </w:r>
    </w:p>
    <w:p w14:paraId="0B22AF90" w14:textId="77777777" w:rsidR="0042454C" w:rsidRPr="00384542" w:rsidRDefault="0042454C" w:rsidP="0042454C">
      <w:pPr>
        <w:spacing w:after="0" w:line="360" w:lineRule="auto"/>
        <w:ind w:firstLine="720"/>
        <w:jc w:val="both"/>
        <w:rPr>
          <w:rFonts w:ascii="Arial" w:eastAsia="Calibri" w:hAnsi="Arial" w:cs="Arial"/>
          <w:lang w:val="en-US"/>
        </w:rPr>
      </w:pPr>
    </w:p>
    <w:p w14:paraId="4CB5EFD8" w14:textId="77777777" w:rsidR="0042454C" w:rsidRPr="00384542" w:rsidRDefault="0042454C" w:rsidP="0042454C">
      <w:pPr>
        <w:pStyle w:val="Heading2"/>
        <w:rPr>
          <w:rFonts w:eastAsia="Calibri"/>
          <w:lang w:val="en-US"/>
        </w:rPr>
      </w:pPr>
      <w:bookmarkStart w:id="6" w:name="_Toc92201059"/>
      <w:r w:rsidRPr="00384542">
        <w:rPr>
          <w:rFonts w:eastAsia="Calibri"/>
          <w:lang w:val="en-US"/>
        </w:rPr>
        <w:t>Conducting Staff Appraisal</w:t>
      </w:r>
      <w:bookmarkEnd w:id="6"/>
    </w:p>
    <w:p w14:paraId="7ABF04B6" w14:textId="77777777" w:rsidR="0042454C" w:rsidRPr="00384542" w:rsidRDefault="0042454C" w:rsidP="0042454C">
      <w:pPr>
        <w:rPr>
          <w:lang w:val="en-US"/>
        </w:rPr>
      </w:pPr>
    </w:p>
    <w:p w14:paraId="0D24B2C1" w14:textId="77777777" w:rsidR="0042454C" w:rsidRPr="00384542" w:rsidRDefault="0042454C" w:rsidP="0042454C">
      <w:pPr>
        <w:spacing w:after="0" w:line="360" w:lineRule="auto"/>
        <w:jc w:val="both"/>
        <w:rPr>
          <w:rFonts w:ascii="Arial" w:eastAsia="Calibri" w:hAnsi="Arial" w:cs="Arial"/>
        </w:rPr>
      </w:pPr>
      <w:r w:rsidRPr="00384542">
        <w:rPr>
          <w:rFonts w:ascii="Arial" w:eastAsia="Calibri" w:hAnsi="Arial" w:cs="Arial"/>
          <w:b/>
          <w:lang w:val="en-US"/>
        </w:rPr>
        <w:tab/>
      </w:r>
      <w:r w:rsidRPr="00384542">
        <w:rPr>
          <w:rFonts w:ascii="Arial" w:eastAsia="Calibri" w:hAnsi="Arial" w:cs="Arial"/>
          <w:lang w:val="en-US"/>
        </w:rPr>
        <w:t xml:space="preserve">According to </w:t>
      </w:r>
      <w:r w:rsidRPr="00384542">
        <w:rPr>
          <w:rFonts w:ascii="Arial" w:eastAsia="Calibri" w:hAnsi="Arial" w:cs="Arial"/>
          <w:color w:val="000000" w:themeColor="text1"/>
          <w:shd w:val="clear" w:color="auto" w:fill="FFFFFF"/>
          <w:lang w:val="en-US"/>
        </w:rPr>
        <w:t xml:space="preserve">Beardwell and Thompson (2017) </w:t>
      </w:r>
      <w:r w:rsidRPr="00384542">
        <w:rPr>
          <w:rFonts w:ascii="Arial" w:eastAsia="Calibri" w:hAnsi="Arial" w:cs="Arial"/>
          <w:lang w:val="en-US"/>
        </w:rPr>
        <w:t xml:space="preserve">360-degree is the most reliable diagnostic tools for measuring employee engagement. </w:t>
      </w:r>
      <w:r w:rsidRPr="00384542">
        <w:rPr>
          <w:rFonts w:ascii="Arial" w:eastAsia="Calibri" w:hAnsi="Arial" w:cs="Arial"/>
          <w:color w:val="000000" w:themeColor="text1"/>
          <w:shd w:val="clear" w:color="auto" w:fill="FFFFFF"/>
          <w:lang w:val="en-US"/>
        </w:rPr>
        <w:t xml:space="preserve">Beardwell and Thompson </w:t>
      </w:r>
      <w:r>
        <w:rPr>
          <w:rFonts w:ascii="Arial" w:eastAsia="Calibri" w:hAnsi="Arial" w:cs="Arial"/>
          <w:color w:val="000000" w:themeColor="text1"/>
          <w:shd w:val="clear" w:color="auto" w:fill="FFFFFF"/>
          <w:lang w:val="en-US"/>
        </w:rPr>
        <w:t>(</w:t>
      </w:r>
      <w:r w:rsidRPr="00384542">
        <w:rPr>
          <w:rFonts w:ascii="Arial" w:eastAsia="Calibri" w:hAnsi="Arial" w:cs="Arial"/>
          <w:color w:val="000000" w:themeColor="text1"/>
          <w:shd w:val="clear" w:color="auto" w:fill="FFFFFF"/>
          <w:lang w:val="en-US"/>
        </w:rPr>
        <w:t xml:space="preserve">2017) </w:t>
      </w:r>
      <w:r w:rsidRPr="00384542">
        <w:rPr>
          <w:rFonts w:ascii="Arial" w:eastAsia="Calibri" w:hAnsi="Arial" w:cs="Arial"/>
          <w:lang w:val="en-US"/>
        </w:rPr>
        <w:t>insists that the method covers a huge range of information sources. These information resources can be collected by various colleagues, managers, friends, clients, even by the workers themselves. The information provided reveals to the highest degree the technology of work of the evaluated worker and gives completeness in the possibility of motivation</w:t>
      </w:r>
      <w:r w:rsidRPr="00384542">
        <w:rPr>
          <w:rFonts w:ascii="Arial" w:eastAsia="Calibri" w:hAnsi="Arial" w:cs="Arial"/>
          <w:lang w:val="bg-BG"/>
        </w:rPr>
        <w:t xml:space="preserve"> </w:t>
      </w:r>
      <w:r w:rsidRPr="00384542">
        <w:rPr>
          <w:rFonts w:ascii="Arial" w:eastAsia="Calibri" w:hAnsi="Arial" w:cs="Arial"/>
        </w:rPr>
        <w:t xml:space="preserve">or reward. </w:t>
      </w:r>
    </w:p>
    <w:p w14:paraId="53EA5AAC" w14:textId="77777777" w:rsidR="0042454C" w:rsidRPr="00384542" w:rsidRDefault="0042454C" w:rsidP="0042454C">
      <w:pPr>
        <w:spacing w:after="0" w:line="360" w:lineRule="auto"/>
        <w:jc w:val="both"/>
        <w:rPr>
          <w:rFonts w:ascii="Arial" w:eastAsia="Calibri" w:hAnsi="Arial" w:cs="Arial"/>
          <w:lang w:val="en-US"/>
        </w:rPr>
      </w:pPr>
    </w:p>
    <w:p w14:paraId="60A55A0A" w14:textId="77777777" w:rsidR="0042454C" w:rsidRPr="00384542" w:rsidRDefault="0042454C" w:rsidP="0042454C">
      <w:pPr>
        <w:pStyle w:val="Heading2"/>
        <w:rPr>
          <w:rFonts w:eastAsia="Calibri"/>
          <w:lang w:val="en-US"/>
        </w:rPr>
      </w:pPr>
      <w:bookmarkStart w:id="7" w:name="_Toc92201060"/>
      <w:r w:rsidRPr="00384542">
        <w:rPr>
          <w:rFonts w:eastAsia="Calibri"/>
          <w:lang w:val="en-US"/>
        </w:rPr>
        <w:t>Rating Productivity and Retention</w:t>
      </w:r>
      <w:bookmarkEnd w:id="7"/>
    </w:p>
    <w:p w14:paraId="427C1E81" w14:textId="77777777" w:rsidR="0042454C" w:rsidRPr="00384542" w:rsidRDefault="0042454C" w:rsidP="0042454C">
      <w:pPr>
        <w:rPr>
          <w:lang w:val="en-US"/>
        </w:rPr>
      </w:pPr>
    </w:p>
    <w:p w14:paraId="2EAB11C8" w14:textId="77777777" w:rsidR="0042454C" w:rsidRPr="00384542" w:rsidRDefault="0042454C" w:rsidP="0042454C">
      <w:pPr>
        <w:spacing w:after="0" w:line="360" w:lineRule="auto"/>
        <w:jc w:val="both"/>
        <w:rPr>
          <w:rFonts w:ascii="Arial" w:eastAsia="Calibri" w:hAnsi="Arial" w:cs="Arial"/>
          <w:lang w:val="en-US"/>
        </w:rPr>
      </w:pPr>
      <w:r w:rsidRPr="00384542">
        <w:rPr>
          <w:rFonts w:ascii="Arial" w:eastAsia="Calibri" w:hAnsi="Arial" w:cs="Arial"/>
          <w:b/>
          <w:lang w:val="en-US"/>
        </w:rPr>
        <w:tab/>
      </w:r>
      <w:r w:rsidRPr="00384542">
        <w:rPr>
          <w:rFonts w:ascii="Arial" w:eastAsia="Calibri" w:hAnsi="Arial" w:cs="Arial"/>
          <w:lang w:val="en-US"/>
        </w:rPr>
        <w:t xml:space="preserve">The productivity and retention rate can help show employee engagement in an organisation. </w:t>
      </w:r>
      <w:r w:rsidRPr="00384542">
        <w:rPr>
          <w:rFonts w:ascii="Arial" w:eastAsia="Calibri" w:hAnsi="Arial" w:cs="Arial"/>
          <w:shd w:val="clear" w:color="auto" w:fill="FFFFFF"/>
          <w:lang w:val="en-US"/>
        </w:rPr>
        <w:t xml:space="preserve">Torrington et al. (2017) </w:t>
      </w:r>
      <w:r w:rsidRPr="00384542">
        <w:rPr>
          <w:rFonts w:ascii="Arial" w:eastAsia="Calibri" w:hAnsi="Arial" w:cs="Arial"/>
          <w:lang w:val="en-US"/>
        </w:rPr>
        <w:t xml:space="preserve">affirm that employees' engagement improves workers' motivation to produce quality work and reduce turnover. In this way, the author shows that employee engagement directly impacts a firm's retention and productivity metrics. Therefore, measuring these variables provide outcomes that reflect employee engagement. For example, an increase in productivity in the post-coronavirus era implies that the organisation engaged its employees well during this period. However, the opposite of this statement is true because disengaged employees reduce their productivity due to low job satisfaction. In such cases, employee disengagement increases the workers' turnover due to a lack of motivation. Therefore, retention and productivity rates have a positive correlation with employee engagement. </w:t>
      </w:r>
    </w:p>
    <w:p w14:paraId="73D5F41A" w14:textId="77777777" w:rsidR="0042454C" w:rsidRPr="00384542" w:rsidRDefault="0042454C" w:rsidP="0042454C">
      <w:pPr>
        <w:spacing w:after="0" w:line="360" w:lineRule="auto"/>
        <w:jc w:val="both"/>
        <w:rPr>
          <w:rFonts w:ascii="Arial" w:eastAsia="Calibri" w:hAnsi="Arial" w:cs="Arial"/>
          <w:lang w:val="en-US"/>
        </w:rPr>
      </w:pPr>
    </w:p>
    <w:p w14:paraId="72029077" w14:textId="77777777" w:rsidR="0042454C" w:rsidRPr="00384542" w:rsidRDefault="0042454C" w:rsidP="0042454C">
      <w:pPr>
        <w:pStyle w:val="Heading2"/>
        <w:rPr>
          <w:rFonts w:eastAsia="Calibri"/>
          <w:lang w:val="en-US"/>
        </w:rPr>
      </w:pPr>
      <w:bookmarkStart w:id="8" w:name="_Toc92201061"/>
      <w:r w:rsidRPr="00384542">
        <w:rPr>
          <w:rFonts w:eastAsia="Calibri"/>
          <w:lang w:val="en-US"/>
        </w:rPr>
        <w:t>Conducting Exit and Stay Interviews</w:t>
      </w:r>
      <w:bookmarkEnd w:id="8"/>
      <w:r w:rsidRPr="00384542">
        <w:rPr>
          <w:rFonts w:eastAsia="Calibri"/>
          <w:lang w:val="en-US"/>
        </w:rPr>
        <w:t xml:space="preserve"> </w:t>
      </w:r>
    </w:p>
    <w:p w14:paraId="676D0B5B" w14:textId="77777777" w:rsidR="0042454C" w:rsidRPr="00384542" w:rsidRDefault="0042454C" w:rsidP="0042454C">
      <w:pPr>
        <w:rPr>
          <w:lang w:val="en-US"/>
        </w:rPr>
      </w:pPr>
    </w:p>
    <w:p w14:paraId="5D599213" w14:textId="77777777" w:rsidR="0042454C" w:rsidRPr="00384542" w:rsidRDefault="0042454C" w:rsidP="0042454C">
      <w:pPr>
        <w:spacing w:after="0" w:line="360" w:lineRule="auto"/>
        <w:ind w:firstLine="720"/>
        <w:jc w:val="both"/>
        <w:rPr>
          <w:rFonts w:ascii="Arial" w:eastAsia="Calibri" w:hAnsi="Arial" w:cs="Arial"/>
          <w:lang w:val="en-US"/>
        </w:rPr>
      </w:pPr>
      <w:r w:rsidRPr="00384542">
        <w:rPr>
          <w:rFonts w:ascii="Arial" w:eastAsia="Calibri" w:hAnsi="Arial" w:cs="Arial"/>
          <w:lang w:val="en-US"/>
        </w:rPr>
        <w:t xml:space="preserve">Employees have different reasons that make them leave their organisations. The coronavirus outbreak affected the employment sector to an extent some workers exited their companies for better opportunities. Therefore, </w:t>
      </w:r>
      <w:r w:rsidRPr="00384542">
        <w:rPr>
          <w:rFonts w:ascii="Arial" w:eastAsia="Calibri" w:hAnsi="Arial" w:cs="Arial"/>
          <w:shd w:val="clear" w:color="auto" w:fill="FFFFFF"/>
          <w:lang w:val="en-US"/>
        </w:rPr>
        <w:t xml:space="preserve">Armstrong and Taylor (2020) </w:t>
      </w:r>
      <w:r w:rsidRPr="00384542">
        <w:rPr>
          <w:rFonts w:ascii="Arial" w:eastAsia="Calibri" w:hAnsi="Arial" w:cs="Arial"/>
          <w:lang w:val="en-US"/>
        </w:rPr>
        <w:t xml:space="preserve">recount that organisations face challenges in restructuring their workplace to reflect the post-coronavirus demands. In this way, </w:t>
      </w:r>
      <w:r w:rsidRPr="00384542">
        <w:rPr>
          <w:rFonts w:ascii="Arial" w:eastAsia="Calibri" w:hAnsi="Arial" w:cs="Arial"/>
          <w:shd w:val="clear" w:color="auto" w:fill="FFFFFF"/>
          <w:lang w:val="en-US"/>
        </w:rPr>
        <w:t xml:space="preserve">Pandita and Ray (2018) </w:t>
      </w:r>
      <w:r w:rsidRPr="00384542">
        <w:rPr>
          <w:rFonts w:ascii="Arial" w:eastAsia="Calibri" w:hAnsi="Arial" w:cs="Arial"/>
          <w:lang w:val="en-US"/>
        </w:rPr>
        <w:t xml:space="preserve">affirm that conducting exit and stay interviews help human resource managers to identify factors that influence individuals to exit their workplaces. Employees mostly leave their organisations due to disengagement with their roles or leadership (or both). Therefore, an exit and stay interview can assist the company in identifying specific areas to focus on during future designs. </w:t>
      </w:r>
    </w:p>
    <w:p w14:paraId="5045D1F2" w14:textId="77777777" w:rsidR="0042454C" w:rsidRPr="00384542" w:rsidRDefault="0042454C" w:rsidP="0042454C">
      <w:pPr>
        <w:spacing w:after="0" w:line="360" w:lineRule="auto"/>
        <w:jc w:val="both"/>
        <w:rPr>
          <w:rFonts w:ascii="Arial" w:eastAsia="Calibri" w:hAnsi="Arial" w:cs="Arial"/>
          <w:lang w:val="bg-BG"/>
        </w:rPr>
      </w:pPr>
    </w:p>
    <w:p w14:paraId="21941219" w14:textId="77777777" w:rsidR="0042454C" w:rsidRPr="00384542" w:rsidRDefault="0042454C" w:rsidP="0042454C">
      <w:pPr>
        <w:pStyle w:val="Heading2"/>
        <w:rPr>
          <w:rFonts w:eastAsia="Calibri"/>
          <w:lang w:val="en-US"/>
        </w:rPr>
      </w:pPr>
      <w:bookmarkStart w:id="9" w:name="_Toc92201062"/>
      <w:r w:rsidRPr="00384542">
        <w:rPr>
          <w:rFonts w:eastAsia="Calibri"/>
          <w:lang w:val="en-US"/>
        </w:rPr>
        <w:t>National context</w:t>
      </w:r>
      <w:bookmarkEnd w:id="9"/>
    </w:p>
    <w:p w14:paraId="4887131C" w14:textId="77777777" w:rsidR="0042454C" w:rsidRPr="00384542" w:rsidRDefault="0042454C" w:rsidP="0042454C">
      <w:pPr>
        <w:rPr>
          <w:lang w:val="en-US"/>
        </w:rPr>
      </w:pPr>
    </w:p>
    <w:p w14:paraId="00F504B3" w14:textId="77777777" w:rsidR="0042454C" w:rsidRPr="00384542" w:rsidRDefault="0042454C" w:rsidP="0042454C">
      <w:pPr>
        <w:spacing w:after="0" w:line="360" w:lineRule="auto"/>
        <w:ind w:firstLine="720"/>
        <w:jc w:val="both"/>
        <w:rPr>
          <w:rFonts w:ascii="Arial" w:eastAsia="Calibri" w:hAnsi="Arial" w:cs="Arial"/>
          <w:lang w:val="en-US"/>
        </w:rPr>
      </w:pPr>
      <w:r w:rsidRPr="00384542">
        <w:rPr>
          <w:rFonts w:ascii="Arial" w:eastAsia="Calibri" w:hAnsi="Arial" w:cs="Arial"/>
          <w:lang w:val="en-US"/>
        </w:rPr>
        <w:t>It is important to note that many of the methods that are perceived as universal work more than successfully in some countries but in others due to the specifics of the population simply do not work</w:t>
      </w:r>
      <w:r w:rsidRPr="00384542">
        <w:rPr>
          <w:rFonts w:ascii="Arial" w:eastAsia="Calibri" w:hAnsi="Arial" w:cs="Arial"/>
          <w:lang w:val="bg-BG"/>
        </w:rPr>
        <w:t xml:space="preserve"> </w:t>
      </w:r>
      <w:r w:rsidRPr="00384542">
        <w:rPr>
          <w:rFonts w:ascii="Arial" w:eastAsia="Calibri" w:hAnsi="Arial" w:cs="Arial"/>
          <w:shd w:val="clear" w:color="auto" w:fill="FFFFFF"/>
          <w:lang w:val="en-US"/>
        </w:rPr>
        <w:t>Torrington</w:t>
      </w:r>
      <w:r w:rsidRPr="00384542">
        <w:rPr>
          <w:rFonts w:ascii="Arial" w:eastAsia="Calibri" w:hAnsi="Arial" w:cs="Arial"/>
          <w:lang w:val="en-US"/>
        </w:rPr>
        <w:t xml:space="preserve"> et al. (2017). This is the situation in China and India, where performance measurement methods are directly linked to direct monitoring by line managers.</w:t>
      </w:r>
    </w:p>
    <w:p w14:paraId="52C1ED3D" w14:textId="77777777" w:rsidR="0042454C" w:rsidRPr="00384542" w:rsidRDefault="0042454C" w:rsidP="0042454C">
      <w:pPr>
        <w:pStyle w:val="Heading1"/>
        <w:rPr>
          <w:rFonts w:eastAsia="Calibri"/>
          <w:lang w:val="en-US"/>
        </w:rPr>
      </w:pPr>
      <w:bookmarkStart w:id="10" w:name="_Toc92201063"/>
      <w:r w:rsidRPr="00384542">
        <w:rPr>
          <w:rFonts w:eastAsia="Calibri"/>
          <w:lang w:val="en-US"/>
        </w:rPr>
        <w:lastRenderedPageBreak/>
        <w:t>Employee Value Proposition</w:t>
      </w:r>
      <w:bookmarkEnd w:id="10"/>
    </w:p>
    <w:p w14:paraId="74B72F6D" w14:textId="77777777" w:rsidR="0042454C" w:rsidRPr="00384542" w:rsidRDefault="0042454C" w:rsidP="0042454C">
      <w:pPr>
        <w:rPr>
          <w:lang w:val="en-US"/>
        </w:rPr>
      </w:pPr>
    </w:p>
    <w:p w14:paraId="32A34DFA" w14:textId="77777777" w:rsidR="0042454C" w:rsidRPr="00384542" w:rsidRDefault="0042454C" w:rsidP="0042454C">
      <w:pPr>
        <w:spacing w:after="0" w:line="360" w:lineRule="auto"/>
        <w:jc w:val="both"/>
        <w:rPr>
          <w:rFonts w:ascii="Arial" w:eastAsia="Calibri" w:hAnsi="Arial" w:cs="Arial"/>
          <w:lang w:val="en-US"/>
        </w:rPr>
      </w:pPr>
      <w:r w:rsidRPr="00384542">
        <w:rPr>
          <w:rFonts w:ascii="Arial" w:eastAsia="Calibri" w:hAnsi="Arial" w:cs="Arial"/>
          <w:lang w:val="en-US"/>
        </w:rPr>
        <w:tab/>
      </w:r>
      <w:r w:rsidRPr="00384542">
        <w:rPr>
          <w:rFonts w:ascii="Arial" w:eastAsia="Calibri" w:hAnsi="Arial" w:cs="Arial"/>
          <w:shd w:val="clear" w:color="auto" w:fill="FFFFFF"/>
          <w:lang w:val="en-US"/>
        </w:rPr>
        <w:t>Torrington</w:t>
      </w:r>
      <w:r w:rsidRPr="00384542">
        <w:rPr>
          <w:rFonts w:ascii="Arial" w:eastAsia="Calibri" w:hAnsi="Arial" w:cs="Arial"/>
          <w:lang w:val="en-US"/>
        </w:rPr>
        <w:t xml:space="preserve"> et al. (2017) describe employee value proposition (EVP) as a set of strategies that employers use to influence workers to realise the most significant potential at work. EVP allows companies to attract and retain top talents in a competitive employment market. In this way, creating a compelling EVP involves considering factors that improve levels of employee engagement. Therefore, the organisation should understand the existing perceptions of employees regarding WFH, flexible working time, job design, and workplace safety. In this case, the management should obtain employee data to determine if the current drivers for engagement are effective. After understanding the existing perceptions, the firm should identify the critical areas that align with the employee engagement goals. Finally, the organisation should include the following factors in developing EVP. </w:t>
      </w:r>
    </w:p>
    <w:p w14:paraId="3DF34085" w14:textId="77777777" w:rsidR="0042454C" w:rsidRPr="00384542" w:rsidRDefault="0042454C" w:rsidP="0042454C">
      <w:pPr>
        <w:pStyle w:val="Heading2"/>
        <w:rPr>
          <w:rFonts w:eastAsia="Calibri"/>
          <w:lang w:val="en-US"/>
        </w:rPr>
      </w:pPr>
      <w:bookmarkStart w:id="11" w:name="_Toc92201064"/>
      <w:r w:rsidRPr="00384542">
        <w:rPr>
          <w:rFonts w:eastAsia="Calibri"/>
          <w:lang w:val="en-US"/>
        </w:rPr>
        <w:t>Rewards</w:t>
      </w:r>
      <w:bookmarkEnd w:id="11"/>
    </w:p>
    <w:p w14:paraId="37FEF9D8" w14:textId="77777777" w:rsidR="0042454C" w:rsidRPr="00384542" w:rsidRDefault="0042454C" w:rsidP="0042454C">
      <w:pPr>
        <w:spacing w:after="0" w:line="360" w:lineRule="auto"/>
        <w:ind w:firstLine="720"/>
        <w:jc w:val="both"/>
        <w:rPr>
          <w:rFonts w:ascii="Arial" w:eastAsia="Calibri" w:hAnsi="Arial" w:cs="Arial"/>
          <w:lang w:val="en-US"/>
        </w:rPr>
      </w:pPr>
      <w:r w:rsidRPr="00384542">
        <w:rPr>
          <w:rFonts w:ascii="Arial" w:eastAsia="Calibri" w:hAnsi="Arial" w:cs="Arial"/>
          <w:lang w:val="en-US"/>
        </w:rPr>
        <w:t xml:space="preserve">The company can use rewards to improve employee engagement. </w:t>
      </w:r>
      <w:r w:rsidRPr="00384542">
        <w:rPr>
          <w:rFonts w:ascii="Arial" w:eastAsia="Calibri" w:hAnsi="Arial" w:cs="Arial"/>
          <w:shd w:val="clear" w:color="auto" w:fill="FFFFFF"/>
          <w:lang w:val="en-US"/>
        </w:rPr>
        <w:t xml:space="preserve">Cotton (2011) </w:t>
      </w:r>
      <w:r w:rsidRPr="00384542">
        <w:rPr>
          <w:rFonts w:ascii="Arial" w:eastAsia="Calibri" w:hAnsi="Arial" w:cs="Arial"/>
          <w:lang w:val="en-US"/>
        </w:rPr>
        <w:t xml:space="preserve">recognises that the pay and reward system recognises workers' contribution to organisational success. The approach can involve monetary and non-financial elements that enhance workers' morale to achieve organisational goals. </w:t>
      </w:r>
      <w:r w:rsidRPr="00384542">
        <w:rPr>
          <w:rFonts w:ascii="Arial" w:eastAsia="Calibri" w:hAnsi="Arial" w:cs="Arial"/>
          <w:shd w:val="clear" w:color="auto" w:fill="FFFFFF"/>
          <w:lang w:val="en-US"/>
        </w:rPr>
        <w:t xml:space="preserve">Cotton (2011) and Pond (2020) </w:t>
      </w:r>
      <w:r w:rsidRPr="00384542">
        <w:rPr>
          <w:rFonts w:ascii="Arial" w:eastAsia="Calibri" w:hAnsi="Arial" w:cs="Arial"/>
          <w:lang w:val="en-US"/>
        </w:rPr>
        <w:t xml:space="preserve">assert that companies should combine financial offerings with non-financial benefits to realise the best results. For example, career development practices can improve employee engagement, such as sponsored courses and promotion opportunities. An appropriate EVP should contain monetary and non-monetary rewards. </w:t>
      </w:r>
    </w:p>
    <w:p w14:paraId="4BC3B0E7" w14:textId="77777777" w:rsidR="0042454C" w:rsidRPr="00384542" w:rsidRDefault="0042454C" w:rsidP="0042454C">
      <w:pPr>
        <w:pStyle w:val="Heading2"/>
        <w:rPr>
          <w:rFonts w:eastAsia="Calibri"/>
          <w:lang w:val="en-US"/>
        </w:rPr>
      </w:pPr>
      <w:bookmarkStart w:id="12" w:name="_Toc92201065"/>
      <w:r w:rsidRPr="00384542">
        <w:rPr>
          <w:rFonts w:eastAsia="Calibri"/>
          <w:lang w:val="en-US"/>
        </w:rPr>
        <w:t>Employment Benefits</w:t>
      </w:r>
      <w:bookmarkEnd w:id="12"/>
    </w:p>
    <w:p w14:paraId="2D667B2A" w14:textId="77777777" w:rsidR="0042454C" w:rsidRPr="00384542" w:rsidRDefault="0042454C" w:rsidP="0042454C">
      <w:pPr>
        <w:spacing w:after="0" w:line="360" w:lineRule="auto"/>
        <w:ind w:firstLine="720"/>
        <w:jc w:val="both"/>
        <w:rPr>
          <w:rFonts w:ascii="Arial" w:eastAsia="Calibri" w:hAnsi="Arial" w:cs="Arial"/>
          <w:lang w:val="en-US"/>
        </w:rPr>
      </w:pPr>
      <w:r w:rsidRPr="00384542">
        <w:rPr>
          <w:rFonts w:ascii="Arial" w:eastAsia="Calibri" w:hAnsi="Arial" w:cs="Arial"/>
          <w:lang w:val="en-US"/>
        </w:rPr>
        <w:t>Companies that offer employment benefits attract and maintain top talents in competitive markets. Workers look for employers that provide compelling employment benefits (</w:t>
      </w:r>
      <w:r w:rsidRPr="00384542">
        <w:rPr>
          <w:rFonts w:ascii="Arial" w:eastAsia="Calibri" w:hAnsi="Arial" w:cs="Arial"/>
          <w:shd w:val="clear" w:color="auto" w:fill="FFFFFF"/>
          <w:lang w:val="en-US"/>
        </w:rPr>
        <w:t>Generation F: Women in the Workforce, 2010)</w:t>
      </w:r>
      <w:r w:rsidRPr="00384542">
        <w:rPr>
          <w:rFonts w:ascii="Arial" w:eastAsia="Calibri" w:hAnsi="Arial" w:cs="Arial"/>
          <w:lang w:val="en-US"/>
        </w:rPr>
        <w:t xml:space="preserve">. The essential employment benefits that the organisation should include in its EVP comprise health insurance, paid leaves, and retirement benefits. In this way, the firm attracts employees who value particular job benefits. </w:t>
      </w:r>
      <w:r w:rsidRPr="00384542">
        <w:rPr>
          <w:rFonts w:ascii="Arial" w:eastAsia="Calibri" w:hAnsi="Arial" w:cs="Arial"/>
          <w:shd w:val="clear" w:color="auto" w:fill="FFFFFF"/>
          <w:lang w:val="en-US"/>
        </w:rPr>
        <w:t xml:space="preserve">Orti (2021) </w:t>
      </w:r>
      <w:r w:rsidRPr="00384542">
        <w:rPr>
          <w:rFonts w:ascii="Arial" w:eastAsia="Calibri" w:hAnsi="Arial" w:cs="Arial"/>
          <w:lang w:val="en-US"/>
        </w:rPr>
        <w:t xml:space="preserve">adds that the company can create competitive EVP by customising the industry's benefits and organisational culture. As a result, the company can modify the employment benefits according to the workers' needs. </w:t>
      </w:r>
    </w:p>
    <w:p w14:paraId="4F8FCDA7" w14:textId="77777777" w:rsidR="0042454C" w:rsidRPr="00384542" w:rsidRDefault="0042454C" w:rsidP="0042454C">
      <w:pPr>
        <w:pStyle w:val="Heading2"/>
        <w:rPr>
          <w:rFonts w:eastAsia="Calibri"/>
          <w:lang w:val="en-US"/>
        </w:rPr>
      </w:pPr>
      <w:bookmarkStart w:id="13" w:name="_Toc92201066"/>
      <w:r w:rsidRPr="00384542">
        <w:rPr>
          <w:rFonts w:eastAsia="Calibri"/>
          <w:lang w:val="en-US"/>
        </w:rPr>
        <w:t>Work-Life Balance</w:t>
      </w:r>
      <w:bookmarkEnd w:id="13"/>
      <w:r w:rsidRPr="00384542">
        <w:rPr>
          <w:rFonts w:eastAsia="Calibri"/>
          <w:lang w:val="en-US"/>
        </w:rPr>
        <w:t xml:space="preserve"> </w:t>
      </w:r>
    </w:p>
    <w:p w14:paraId="5AD15FE0" w14:textId="77777777" w:rsidR="0042454C" w:rsidRPr="00384542" w:rsidRDefault="0042454C" w:rsidP="0042454C">
      <w:pPr>
        <w:spacing w:after="0" w:line="360" w:lineRule="auto"/>
        <w:ind w:firstLine="720"/>
        <w:jc w:val="both"/>
        <w:rPr>
          <w:rFonts w:ascii="Arial" w:eastAsia="Calibri" w:hAnsi="Arial" w:cs="Arial"/>
          <w:lang w:val="en-US"/>
        </w:rPr>
      </w:pPr>
      <w:r w:rsidRPr="00384542">
        <w:rPr>
          <w:rFonts w:ascii="Arial" w:eastAsia="Calibri" w:hAnsi="Arial" w:cs="Arial"/>
          <w:lang w:val="en-US"/>
        </w:rPr>
        <w:t xml:space="preserve">Work-life balance has become one of the leading factors attracting and retaining employees in specific organisations. Therefore, </w:t>
      </w:r>
      <w:r w:rsidRPr="00384542">
        <w:rPr>
          <w:rFonts w:ascii="Arial" w:eastAsia="Calibri" w:hAnsi="Arial" w:cs="Arial"/>
          <w:shd w:val="clear" w:color="auto" w:fill="FFFFFF"/>
          <w:lang w:val="en-US"/>
        </w:rPr>
        <w:t xml:space="preserve">Orti (2021) </w:t>
      </w:r>
      <w:r w:rsidRPr="00384542">
        <w:rPr>
          <w:rFonts w:ascii="Arial" w:eastAsia="Calibri" w:hAnsi="Arial" w:cs="Arial"/>
          <w:lang w:val="en-US"/>
        </w:rPr>
        <w:t xml:space="preserve">affirms that a suitable EVP should contain flexible working hours and an appropriate workspace design. In this case, the organisation </w:t>
      </w:r>
      <w:r w:rsidRPr="00384542">
        <w:rPr>
          <w:rFonts w:ascii="Arial" w:eastAsia="Calibri" w:hAnsi="Arial" w:cs="Arial"/>
          <w:lang w:val="en-US"/>
        </w:rPr>
        <w:lastRenderedPageBreak/>
        <w:t xml:space="preserve">offers WFH, flexible working time, and job design. Offering flexible working hours and WFH allows employees to manage their time and achieve a work-life balance. Besides, job design ensures that all workers handle tasks that they can complete and save time for non-work-related issues. </w:t>
      </w:r>
    </w:p>
    <w:p w14:paraId="2D57F6E8" w14:textId="77777777" w:rsidR="0042454C" w:rsidRPr="00384542" w:rsidRDefault="0042454C" w:rsidP="0042454C">
      <w:pPr>
        <w:spacing w:after="0" w:line="360" w:lineRule="auto"/>
        <w:jc w:val="both"/>
        <w:rPr>
          <w:rFonts w:ascii="Arial" w:eastAsia="Calibri" w:hAnsi="Arial" w:cs="Arial"/>
          <w:lang w:val="en-US"/>
        </w:rPr>
      </w:pPr>
    </w:p>
    <w:p w14:paraId="22A7F6A7" w14:textId="77777777" w:rsidR="0042454C" w:rsidRPr="00384542" w:rsidRDefault="0042454C" w:rsidP="0042454C">
      <w:pPr>
        <w:pStyle w:val="Heading1"/>
        <w:rPr>
          <w:rFonts w:eastAsia="Calibri"/>
          <w:lang w:val="en-US"/>
        </w:rPr>
      </w:pPr>
      <w:bookmarkStart w:id="14" w:name="_Toc92201067"/>
      <w:r w:rsidRPr="00384542">
        <w:rPr>
          <w:rFonts w:eastAsia="Calibri"/>
          <w:lang w:val="en-US"/>
        </w:rPr>
        <w:t>Conclusion and Recommendation</w:t>
      </w:r>
      <w:bookmarkEnd w:id="14"/>
    </w:p>
    <w:p w14:paraId="20AE2C60" w14:textId="77777777" w:rsidR="0042454C" w:rsidRPr="00384542" w:rsidRDefault="0042454C" w:rsidP="0042454C">
      <w:pPr>
        <w:spacing w:after="0" w:line="360" w:lineRule="auto"/>
        <w:jc w:val="center"/>
        <w:rPr>
          <w:rFonts w:ascii="Arial" w:eastAsia="Calibri" w:hAnsi="Arial" w:cs="Arial"/>
          <w:b/>
          <w:lang w:val="en-US"/>
        </w:rPr>
      </w:pPr>
    </w:p>
    <w:p w14:paraId="54E93232" w14:textId="77777777" w:rsidR="0042454C" w:rsidRPr="00384542" w:rsidRDefault="0042454C" w:rsidP="0042454C">
      <w:pPr>
        <w:spacing w:after="0" w:line="360" w:lineRule="auto"/>
        <w:ind w:firstLine="720"/>
        <w:jc w:val="both"/>
        <w:rPr>
          <w:rFonts w:ascii="Arial" w:eastAsia="Calibri" w:hAnsi="Arial" w:cs="Arial"/>
          <w:lang w:val="en-US"/>
        </w:rPr>
      </w:pPr>
      <w:r w:rsidRPr="00384542">
        <w:rPr>
          <w:rFonts w:ascii="Arial" w:eastAsia="Calibri" w:hAnsi="Arial" w:cs="Arial"/>
          <w:lang w:val="en-US"/>
        </w:rPr>
        <w:t xml:space="preserve">Employee engagement is the most significant factor influencing job satisfaction and organisational performance. Companies promote employee engagement to motivate workers to realise specific goals. However, the COVID-19 pandemic changed strategies for ensuring engagement due to the effects of the disease on the employment sector. In response to these changes, our organisation introduced WFH, flexible working time, job design, and workplace safety to support employee engagement. However, the firm failed to measure employee engagement in the post-coronavirus era. In this way, this report has reviewed the concept of employee engagement and established that the organisation's measures are effective. The firm can confirm the suitability of WFH, flexible working time, job design, and workplace safety through different diagnostic tools to measure engagement. The report uses surveys as the most appropriate diagnostic tool to assess engagement. The organisation can utilise this technique online to include both office and remote workers in measuring the effectiveness of employee engagement. Besides, the report has identified that the firm can use the concepts and drivers of employee engagement to create a competent EVP. The EVP should comprise monetary and non-monetary benefits to attract top talents in the market. In this case, the report recommends appropriate resourcing to recruit the right individuals for the organisation and provide EVP to retain top skills. In this way, the EVP should include critical strategies to improve the employee engagement levels in the organisation. </w:t>
      </w:r>
    </w:p>
    <w:p w14:paraId="11378168" w14:textId="77777777" w:rsidR="0042454C" w:rsidRPr="00384542" w:rsidRDefault="0042454C" w:rsidP="0042454C">
      <w:pPr>
        <w:spacing w:line="360" w:lineRule="auto"/>
        <w:rPr>
          <w:rFonts w:ascii="Arial" w:eastAsia="Calibri" w:hAnsi="Arial" w:cs="Arial"/>
          <w:lang w:val="en-US"/>
        </w:rPr>
      </w:pPr>
      <w:r w:rsidRPr="00384542">
        <w:rPr>
          <w:rFonts w:ascii="Arial" w:eastAsia="Calibri" w:hAnsi="Arial" w:cs="Arial"/>
          <w:lang w:val="en-US"/>
        </w:rPr>
        <w:br w:type="page"/>
      </w:r>
    </w:p>
    <w:p w14:paraId="196C3313" w14:textId="77777777" w:rsidR="0042454C" w:rsidRPr="00384542" w:rsidRDefault="0042454C" w:rsidP="0042454C">
      <w:pPr>
        <w:pStyle w:val="Heading1"/>
        <w:rPr>
          <w:rFonts w:eastAsia="Calibri"/>
          <w:lang w:val="en-US"/>
        </w:rPr>
      </w:pPr>
      <w:bookmarkStart w:id="15" w:name="_Toc92201068"/>
      <w:r w:rsidRPr="00384542">
        <w:rPr>
          <w:rFonts w:eastAsia="Calibri"/>
          <w:lang w:val="en-US"/>
        </w:rPr>
        <w:lastRenderedPageBreak/>
        <w:t>Reference List</w:t>
      </w:r>
      <w:bookmarkEnd w:id="15"/>
    </w:p>
    <w:p w14:paraId="66F00D88" w14:textId="77777777" w:rsidR="0042454C" w:rsidRPr="00384542" w:rsidRDefault="0042454C" w:rsidP="0042454C">
      <w:pPr>
        <w:spacing w:after="0" w:line="360" w:lineRule="auto"/>
        <w:jc w:val="center"/>
        <w:rPr>
          <w:rFonts w:ascii="Arial" w:eastAsia="Calibri" w:hAnsi="Arial" w:cs="Arial"/>
          <w:lang w:val="en-US"/>
        </w:rPr>
      </w:pPr>
    </w:p>
    <w:p w14:paraId="22440C00" w14:textId="77777777" w:rsidR="0042454C" w:rsidRPr="00384542" w:rsidRDefault="0042454C" w:rsidP="0042454C">
      <w:pPr>
        <w:spacing w:after="0" w:line="360" w:lineRule="auto"/>
        <w:jc w:val="center"/>
        <w:rPr>
          <w:rFonts w:ascii="Arial" w:eastAsia="Calibri" w:hAnsi="Arial" w:cs="Arial"/>
          <w:lang w:val="en-US"/>
        </w:rPr>
      </w:pPr>
    </w:p>
    <w:p w14:paraId="278D1D90" w14:textId="77777777" w:rsidR="0042454C" w:rsidRPr="00384542" w:rsidRDefault="0042454C" w:rsidP="0042454C">
      <w:pPr>
        <w:spacing w:after="0" w:line="360" w:lineRule="auto"/>
        <w:ind w:left="720" w:hanging="720"/>
        <w:rPr>
          <w:rFonts w:ascii="Arial" w:eastAsia="Calibri" w:hAnsi="Arial" w:cs="Arial"/>
          <w:shd w:val="clear" w:color="auto" w:fill="FFFFFF"/>
          <w:lang w:val="en-US"/>
        </w:rPr>
      </w:pPr>
      <w:r w:rsidRPr="00384542">
        <w:rPr>
          <w:rFonts w:ascii="Arial" w:eastAsia="Calibri" w:hAnsi="Arial" w:cs="Arial"/>
          <w:shd w:val="clear" w:color="auto" w:fill="FFFFFF"/>
          <w:lang w:val="en-US"/>
        </w:rPr>
        <w:t>Antony, M.R. (2018). Paradigm shift in employee engagement–A critical analysis on the drivers of employee engagement. </w:t>
      </w:r>
      <w:r w:rsidRPr="00384542">
        <w:rPr>
          <w:rFonts w:ascii="Arial" w:eastAsia="Calibri" w:hAnsi="Arial" w:cs="Arial"/>
          <w:i/>
          <w:iCs/>
          <w:shd w:val="clear" w:color="auto" w:fill="FFFFFF"/>
          <w:lang w:val="en-US"/>
        </w:rPr>
        <w:t>International Journal of Information, Business, and Management</w:t>
      </w:r>
      <w:r w:rsidRPr="00384542">
        <w:rPr>
          <w:rFonts w:ascii="Arial" w:eastAsia="Calibri" w:hAnsi="Arial" w:cs="Arial"/>
          <w:shd w:val="clear" w:color="auto" w:fill="FFFFFF"/>
          <w:lang w:val="en-US"/>
        </w:rPr>
        <w:t>, </w:t>
      </w:r>
      <w:r w:rsidRPr="00384542">
        <w:rPr>
          <w:rFonts w:ascii="Arial" w:eastAsia="Calibri" w:hAnsi="Arial" w:cs="Arial"/>
          <w:i/>
          <w:iCs/>
          <w:shd w:val="clear" w:color="auto" w:fill="FFFFFF"/>
          <w:lang w:val="en-US"/>
        </w:rPr>
        <w:t>10</w:t>
      </w:r>
      <w:r w:rsidRPr="00384542">
        <w:rPr>
          <w:rFonts w:ascii="Arial" w:eastAsia="Calibri" w:hAnsi="Arial" w:cs="Arial"/>
          <w:shd w:val="clear" w:color="auto" w:fill="FFFFFF"/>
          <w:lang w:val="en-US"/>
        </w:rPr>
        <w:t xml:space="preserve">(2), </w:t>
      </w:r>
      <w:r w:rsidRPr="005C64A8">
        <w:rPr>
          <w:rFonts w:ascii="Arial" w:eastAsia="Calibri" w:hAnsi="Arial" w:cs="Arial"/>
          <w:i/>
          <w:iCs/>
          <w:shd w:val="clear" w:color="auto" w:fill="FFFFFF"/>
          <w:lang w:val="en-US"/>
        </w:rPr>
        <w:t>pp.32-46.</w:t>
      </w:r>
    </w:p>
    <w:p w14:paraId="6BB3F4AD" w14:textId="77777777" w:rsidR="0042454C" w:rsidRDefault="0042454C" w:rsidP="0042454C">
      <w:pPr>
        <w:spacing w:after="0" w:line="360" w:lineRule="auto"/>
        <w:ind w:left="720" w:hanging="720"/>
        <w:rPr>
          <w:rFonts w:ascii="Arial" w:eastAsia="Calibri" w:hAnsi="Arial" w:cs="Arial"/>
          <w:shd w:val="clear" w:color="auto" w:fill="FFFFFF"/>
          <w:lang w:val="en-US"/>
        </w:rPr>
      </w:pPr>
      <w:r w:rsidRPr="00384542">
        <w:rPr>
          <w:rFonts w:ascii="Arial" w:eastAsia="Calibri" w:hAnsi="Arial" w:cs="Arial"/>
          <w:shd w:val="clear" w:color="auto" w:fill="FFFFFF"/>
          <w:lang w:val="en-US"/>
        </w:rPr>
        <w:t xml:space="preserve">Armstrong, M. and Taylor, S. (2020). Armstrong's handbook of human resource management practice. Fifteen edition. Kogan Page. </w:t>
      </w:r>
    </w:p>
    <w:p w14:paraId="71BE891B" w14:textId="77777777" w:rsidR="0042454C" w:rsidRPr="009222BA" w:rsidRDefault="0042454C" w:rsidP="0042454C">
      <w:pPr>
        <w:spacing w:after="0" w:line="360" w:lineRule="auto"/>
        <w:ind w:left="720" w:hanging="720"/>
        <w:rPr>
          <w:rFonts w:ascii="Arial" w:eastAsia="Calibri" w:hAnsi="Arial" w:cs="Arial"/>
          <w:shd w:val="clear" w:color="auto" w:fill="FFFFFF"/>
        </w:rPr>
      </w:pPr>
      <w:r>
        <w:rPr>
          <w:rFonts w:ascii="Arial" w:eastAsia="Calibri" w:hAnsi="Arial" w:cs="Arial"/>
          <w:shd w:val="clear" w:color="auto" w:fill="FFFFFF"/>
        </w:rPr>
        <w:t xml:space="preserve">Beardwell, J. and Thompson, A. (2017) Human Resource Management. Eight edition. London: Pearson. </w:t>
      </w:r>
    </w:p>
    <w:p w14:paraId="359EBF2E" w14:textId="77777777" w:rsidR="0042454C" w:rsidRPr="00384542" w:rsidRDefault="0042454C" w:rsidP="0042454C">
      <w:pPr>
        <w:spacing w:after="0" w:line="360" w:lineRule="auto"/>
        <w:ind w:left="720" w:hanging="720"/>
        <w:rPr>
          <w:rFonts w:ascii="Arial" w:eastAsia="Calibri" w:hAnsi="Arial" w:cs="Arial"/>
          <w:shd w:val="clear" w:color="auto" w:fill="FFFFFF"/>
          <w:lang w:val="en-US"/>
        </w:rPr>
      </w:pPr>
      <w:r w:rsidRPr="00384542">
        <w:rPr>
          <w:rFonts w:ascii="Arial" w:eastAsia="Calibri" w:hAnsi="Arial" w:cs="Arial"/>
          <w:shd w:val="clear" w:color="auto" w:fill="FFFFFF"/>
          <w:lang w:val="en-US"/>
        </w:rPr>
        <w:t>Cotton, C. (2011). </w:t>
      </w:r>
      <w:r w:rsidRPr="00384542">
        <w:rPr>
          <w:rFonts w:ascii="Arial" w:eastAsia="Calibri" w:hAnsi="Arial" w:cs="Arial"/>
          <w:i/>
          <w:iCs/>
          <w:shd w:val="clear" w:color="auto" w:fill="FFFFFF"/>
          <w:lang w:val="en-US"/>
        </w:rPr>
        <w:t>Pay and reward</w:t>
      </w:r>
      <w:r w:rsidRPr="00384542">
        <w:rPr>
          <w:rFonts w:ascii="Arial" w:eastAsia="Calibri" w:hAnsi="Arial" w:cs="Arial"/>
          <w:shd w:val="clear" w:color="auto" w:fill="FFFFFF"/>
          <w:lang w:val="en-US"/>
        </w:rPr>
        <w:t xml:space="preserve">. [online] HSTalks. Available at: </w:t>
      </w:r>
    </w:p>
    <w:p w14:paraId="2619109E" w14:textId="77777777" w:rsidR="0042454C" w:rsidRPr="00384542" w:rsidRDefault="0042454C" w:rsidP="0042454C">
      <w:pPr>
        <w:spacing w:after="0" w:line="360" w:lineRule="auto"/>
        <w:ind w:left="720" w:hanging="720"/>
        <w:rPr>
          <w:rFonts w:ascii="Arial" w:eastAsia="Calibri" w:hAnsi="Arial" w:cs="Arial"/>
          <w:shd w:val="clear" w:color="auto" w:fill="FFFFFF"/>
          <w:lang w:val="en-US"/>
        </w:rPr>
      </w:pPr>
      <w:r w:rsidRPr="00384542">
        <w:rPr>
          <w:rFonts w:ascii="Arial" w:eastAsia="Calibri" w:hAnsi="Arial" w:cs="Arial"/>
          <w:shd w:val="clear" w:color="auto" w:fill="FFFFFF"/>
          <w:lang w:val="en-US"/>
        </w:rPr>
        <w:t>&lt;</w:t>
      </w:r>
      <w:r w:rsidRPr="00384542">
        <w:t xml:space="preserve"> </w:t>
      </w:r>
      <w:hyperlink r:id="rId8" w:history="1">
        <w:r w:rsidRPr="00384542">
          <w:rPr>
            <w:rStyle w:val="Hyperlink"/>
            <w:rFonts w:ascii="Arial" w:eastAsia="Calibri" w:hAnsi="Arial" w:cs="Arial"/>
            <w:color w:val="auto"/>
            <w:shd w:val="clear" w:color="auto" w:fill="FFFFFF"/>
            <w:lang w:val="en-US"/>
          </w:rPr>
          <w:t>https://hstalks-com.ezproxy.uwtsd.ac.uk/t/2043/pay-and-reward/?business</w:t>
        </w:r>
      </w:hyperlink>
      <w:r w:rsidRPr="00384542">
        <w:rPr>
          <w:rFonts w:ascii="Arial" w:eastAsia="Calibri" w:hAnsi="Arial" w:cs="Arial"/>
          <w:shd w:val="clear" w:color="auto" w:fill="FFFFFF"/>
          <w:lang w:val="en-US"/>
        </w:rPr>
        <w:t xml:space="preserve">&gt; </w:t>
      </w:r>
    </w:p>
    <w:p w14:paraId="2A9F4D20" w14:textId="77777777" w:rsidR="0042454C" w:rsidRPr="00384542" w:rsidRDefault="0042454C" w:rsidP="0042454C">
      <w:pPr>
        <w:spacing w:after="0" w:line="360" w:lineRule="auto"/>
        <w:ind w:left="720" w:hanging="720"/>
        <w:rPr>
          <w:rFonts w:ascii="Arial" w:eastAsia="Calibri" w:hAnsi="Arial" w:cs="Arial"/>
          <w:shd w:val="clear" w:color="auto" w:fill="FFFFFF"/>
          <w:lang w:val="en-US"/>
        </w:rPr>
      </w:pPr>
      <w:r w:rsidRPr="00384542">
        <w:rPr>
          <w:rFonts w:ascii="Arial" w:eastAsia="Calibri" w:hAnsi="Arial" w:cs="Arial"/>
          <w:shd w:val="clear" w:color="auto" w:fill="FFFFFF"/>
          <w:lang w:val="en-US"/>
        </w:rPr>
        <w:t>[Accessed 21 December 2021].</w:t>
      </w:r>
    </w:p>
    <w:p w14:paraId="3C5E824B" w14:textId="77777777" w:rsidR="0042454C" w:rsidRPr="00384542" w:rsidRDefault="0042454C" w:rsidP="0042454C">
      <w:pPr>
        <w:spacing w:after="0" w:line="360" w:lineRule="auto"/>
        <w:ind w:left="720" w:hanging="720"/>
        <w:rPr>
          <w:rFonts w:ascii="Arial" w:eastAsia="Calibri" w:hAnsi="Arial" w:cs="Arial"/>
          <w:shd w:val="clear" w:color="auto" w:fill="FFFFFF"/>
          <w:lang w:val="en-US"/>
        </w:rPr>
      </w:pPr>
      <w:r w:rsidRPr="00384542">
        <w:rPr>
          <w:rFonts w:ascii="Arial" w:eastAsia="Calibri" w:hAnsi="Arial" w:cs="Arial"/>
          <w:shd w:val="clear" w:color="auto" w:fill="FFFFFF"/>
          <w:lang w:val="en-US"/>
        </w:rPr>
        <w:t xml:space="preserve">Generation F: Women in the Workforce. (2010). Academic Video. [online] Available at: </w:t>
      </w:r>
    </w:p>
    <w:p w14:paraId="10B93D88" w14:textId="77777777" w:rsidR="0042454C" w:rsidRPr="00384542" w:rsidRDefault="0042454C" w:rsidP="0042454C">
      <w:r w:rsidRPr="00384542">
        <w:rPr>
          <w:rFonts w:ascii="Arial" w:eastAsia="Calibri" w:hAnsi="Arial" w:cs="Arial"/>
          <w:shd w:val="clear" w:color="auto" w:fill="FFFFFF"/>
          <w:lang w:val="en-US"/>
        </w:rPr>
        <w:t>&lt;</w:t>
      </w:r>
      <w:hyperlink r:id="rId9" w:history="1">
        <w:r w:rsidRPr="00384542">
          <w:rPr>
            <w:rStyle w:val="Hyperlink"/>
            <w:rFonts w:ascii="Arial" w:hAnsi="Arial" w:cs="Arial"/>
            <w:color w:val="auto"/>
          </w:rPr>
          <w:t>https://www.proquest.com/docview/1822713391?parentSessionId=1RWDPoaK9lbMu48W%2BfEBlHY2OkCUjBLf45I90uYWWyo%3D&amp;pq-origsite=summon&amp;accountid=130472</w:t>
        </w:r>
      </w:hyperlink>
      <w:r w:rsidRPr="00384542">
        <w:t xml:space="preserve">  &gt; </w:t>
      </w:r>
    </w:p>
    <w:p w14:paraId="2D7A4C6B" w14:textId="77777777" w:rsidR="0042454C" w:rsidRPr="00384542" w:rsidRDefault="0042454C" w:rsidP="0042454C">
      <w:pPr>
        <w:spacing w:after="0" w:line="360" w:lineRule="auto"/>
        <w:rPr>
          <w:rFonts w:ascii="Arial" w:eastAsia="Calibri" w:hAnsi="Arial" w:cs="Arial"/>
          <w:shd w:val="clear" w:color="auto" w:fill="FFFFFF"/>
          <w:lang w:val="en-US"/>
        </w:rPr>
      </w:pPr>
      <w:r w:rsidRPr="00384542">
        <w:rPr>
          <w:rFonts w:ascii="Arial" w:eastAsia="Calibri" w:hAnsi="Arial" w:cs="Arial"/>
          <w:shd w:val="clear" w:color="auto" w:fill="FFFFFF"/>
          <w:lang w:val="en-US"/>
        </w:rPr>
        <w:t xml:space="preserve"> [Accessed 21 December 2021].</w:t>
      </w:r>
    </w:p>
    <w:p w14:paraId="47D27FAF" w14:textId="77777777" w:rsidR="0042454C" w:rsidRPr="00384542" w:rsidRDefault="0042454C" w:rsidP="0042454C">
      <w:pPr>
        <w:spacing w:after="0" w:line="360" w:lineRule="auto"/>
        <w:ind w:left="720" w:hanging="720"/>
        <w:rPr>
          <w:rFonts w:ascii="Arial" w:eastAsia="Calibri" w:hAnsi="Arial" w:cs="Arial"/>
          <w:shd w:val="clear" w:color="auto" w:fill="FFFFFF"/>
          <w:lang w:val="en-US"/>
        </w:rPr>
      </w:pPr>
      <w:r w:rsidRPr="00384542">
        <w:rPr>
          <w:rFonts w:ascii="Arial" w:eastAsia="Calibri" w:hAnsi="Arial" w:cs="Arial"/>
          <w:shd w:val="clear" w:color="auto" w:fill="FFFFFF"/>
          <w:lang w:val="en-US"/>
        </w:rPr>
        <w:t>Mehta, P. (2021). Work from home—Work engagement amid COVID</w:t>
      </w:r>
      <w:r w:rsidRPr="00384542">
        <w:rPr>
          <w:rFonts w:ascii="Cambria Math" w:eastAsia="Calibri" w:hAnsi="Cambria Math" w:cs="Cambria Math"/>
          <w:shd w:val="clear" w:color="auto" w:fill="FFFFFF"/>
          <w:lang w:val="en-US"/>
        </w:rPr>
        <w:t>‐</w:t>
      </w:r>
      <w:r w:rsidRPr="00384542">
        <w:rPr>
          <w:rFonts w:ascii="Arial" w:eastAsia="Calibri" w:hAnsi="Arial" w:cs="Arial"/>
          <w:shd w:val="clear" w:color="auto" w:fill="FFFFFF"/>
          <w:lang w:val="en-US"/>
        </w:rPr>
        <w:t>19 lockdown and employee happiness. </w:t>
      </w:r>
      <w:r w:rsidRPr="00384542">
        <w:rPr>
          <w:rFonts w:ascii="Arial" w:eastAsia="Calibri" w:hAnsi="Arial" w:cs="Arial"/>
          <w:i/>
          <w:iCs/>
          <w:shd w:val="clear" w:color="auto" w:fill="FFFFFF"/>
          <w:lang w:val="en-US"/>
        </w:rPr>
        <w:t>Journal of Public Affairs</w:t>
      </w:r>
      <w:r w:rsidRPr="00384542">
        <w:rPr>
          <w:rFonts w:ascii="Arial" w:eastAsia="Calibri" w:hAnsi="Arial" w:cs="Arial"/>
          <w:shd w:val="clear" w:color="auto" w:fill="FFFFFF"/>
          <w:lang w:val="en-US"/>
        </w:rPr>
        <w:t>, </w:t>
      </w:r>
      <w:r w:rsidRPr="005C64A8">
        <w:rPr>
          <w:rFonts w:ascii="Arial" w:eastAsia="Calibri" w:hAnsi="Arial" w:cs="Arial"/>
          <w:i/>
          <w:iCs/>
          <w:shd w:val="clear" w:color="auto" w:fill="FFFFFF"/>
          <w:lang w:val="en-US"/>
        </w:rPr>
        <w:t>21(4).</w:t>
      </w:r>
    </w:p>
    <w:p w14:paraId="71793C1B" w14:textId="77777777" w:rsidR="0042454C" w:rsidRPr="00384542" w:rsidRDefault="0042454C" w:rsidP="0042454C">
      <w:pPr>
        <w:spacing w:after="0" w:line="360" w:lineRule="auto"/>
        <w:ind w:left="720" w:hanging="720"/>
        <w:rPr>
          <w:rFonts w:ascii="Arial" w:eastAsia="Calibri" w:hAnsi="Arial" w:cs="Arial"/>
          <w:shd w:val="clear" w:color="auto" w:fill="FFFFFF"/>
          <w:lang w:val="en-US"/>
        </w:rPr>
      </w:pPr>
      <w:r w:rsidRPr="00384542">
        <w:rPr>
          <w:rFonts w:ascii="Arial" w:eastAsia="Calibri" w:hAnsi="Arial" w:cs="Arial"/>
          <w:shd w:val="clear" w:color="auto" w:fill="FFFFFF"/>
          <w:lang w:val="en-US"/>
        </w:rPr>
        <w:t>Orti, P. (2021). </w:t>
      </w:r>
      <w:r w:rsidRPr="00384542">
        <w:rPr>
          <w:rFonts w:ascii="Arial" w:eastAsia="Calibri" w:hAnsi="Arial" w:cs="Arial"/>
          <w:i/>
          <w:iCs/>
          <w:shd w:val="clear" w:color="auto" w:fill="FFFFFF"/>
          <w:lang w:val="en-US"/>
        </w:rPr>
        <w:t>Visible teamwork: asynchronous communication that fuels motivation</w:t>
      </w:r>
      <w:r w:rsidRPr="00384542">
        <w:rPr>
          <w:rFonts w:ascii="Arial" w:eastAsia="Calibri" w:hAnsi="Arial" w:cs="Arial"/>
          <w:shd w:val="clear" w:color="auto" w:fill="FFFFFF"/>
          <w:lang w:val="en-US"/>
        </w:rPr>
        <w:t>. [online] HSTalks. Available at: &lt;</w:t>
      </w:r>
      <w:r w:rsidRPr="00384542">
        <w:t xml:space="preserve"> </w:t>
      </w:r>
      <w:hyperlink r:id="rId10" w:history="1">
        <w:r w:rsidRPr="00384542">
          <w:rPr>
            <w:rStyle w:val="Hyperlink"/>
            <w:rFonts w:ascii="Arial" w:eastAsia="Calibri" w:hAnsi="Arial" w:cs="Arial"/>
            <w:color w:val="auto"/>
            <w:shd w:val="clear" w:color="auto" w:fill="FFFFFF"/>
            <w:lang w:val="en-US"/>
          </w:rPr>
          <w:t>https://hstalks-com.ezproxy.uwtsd.ac.uk/t/4577/visible-teamwork-asynchronous-communication-that-f/?business</w:t>
        </w:r>
      </w:hyperlink>
      <w:r w:rsidRPr="00384542">
        <w:rPr>
          <w:rFonts w:ascii="Arial" w:eastAsia="Calibri" w:hAnsi="Arial" w:cs="Arial"/>
          <w:shd w:val="clear" w:color="auto" w:fill="FFFFFF"/>
          <w:lang w:val="en-US"/>
        </w:rPr>
        <w:t>&gt;</w:t>
      </w:r>
    </w:p>
    <w:p w14:paraId="5303C85A" w14:textId="77777777" w:rsidR="0042454C" w:rsidRPr="00384542" w:rsidRDefault="0042454C" w:rsidP="0042454C">
      <w:pPr>
        <w:spacing w:after="0" w:line="360" w:lineRule="auto"/>
        <w:ind w:left="720" w:hanging="720"/>
        <w:rPr>
          <w:rFonts w:ascii="Arial" w:eastAsia="Calibri" w:hAnsi="Arial" w:cs="Arial"/>
          <w:shd w:val="clear" w:color="auto" w:fill="FFFFFF"/>
          <w:lang w:val="en-US"/>
        </w:rPr>
      </w:pPr>
      <w:r w:rsidRPr="00384542">
        <w:rPr>
          <w:rFonts w:ascii="Arial" w:eastAsia="Calibri" w:hAnsi="Arial" w:cs="Arial"/>
          <w:shd w:val="clear" w:color="auto" w:fill="FFFFFF"/>
          <w:lang w:val="en-US"/>
        </w:rPr>
        <w:t xml:space="preserve"> [Accessed 21 December 2021].</w:t>
      </w:r>
    </w:p>
    <w:p w14:paraId="5329F7F1" w14:textId="77777777" w:rsidR="0042454C" w:rsidRPr="00384542" w:rsidRDefault="0042454C" w:rsidP="0042454C">
      <w:pPr>
        <w:spacing w:after="0" w:line="360" w:lineRule="auto"/>
        <w:ind w:left="720" w:hanging="720"/>
        <w:rPr>
          <w:rFonts w:ascii="Arial" w:eastAsia="Calibri" w:hAnsi="Arial" w:cs="Arial"/>
          <w:shd w:val="clear" w:color="auto" w:fill="FFFFFF"/>
          <w:lang w:val="en-US"/>
        </w:rPr>
      </w:pPr>
      <w:r w:rsidRPr="00384542">
        <w:rPr>
          <w:rFonts w:ascii="Arial" w:eastAsia="Calibri" w:hAnsi="Arial" w:cs="Arial"/>
          <w:shd w:val="clear" w:color="auto" w:fill="FFFFFF"/>
          <w:lang w:val="en-US"/>
        </w:rPr>
        <w:t>Pandita, D. and Ray, S. (2018). Talent management and employee engagement–a meta-analysis of their impact on talent retention. </w:t>
      </w:r>
      <w:r w:rsidRPr="00384542">
        <w:rPr>
          <w:rFonts w:ascii="Arial" w:eastAsia="Calibri" w:hAnsi="Arial" w:cs="Arial"/>
          <w:i/>
          <w:iCs/>
          <w:shd w:val="clear" w:color="auto" w:fill="FFFFFF"/>
          <w:lang w:val="en-US"/>
        </w:rPr>
        <w:t>Industrial and Commercial Training</w:t>
      </w:r>
      <w:r w:rsidRPr="00384542">
        <w:rPr>
          <w:rFonts w:ascii="Arial" w:eastAsia="Calibri" w:hAnsi="Arial" w:cs="Arial"/>
          <w:shd w:val="clear" w:color="auto" w:fill="FFFFFF"/>
          <w:lang w:val="en-US"/>
        </w:rPr>
        <w:t>,</w:t>
      </w:r>
      <w:r w:rsidRPr="005C64A8">
        <w:rPr>
          <w:rFonts w:ascii="Arial" w:eastAsia="Calibri" w:hAnsi="Arial" w:cs="Arial"/>
          <w:i/>
          <w:iCs/>
          <w:shd w:val="clear" w:color="auto" w:fill="FFFFFF"/>
          <w:lang w:val="en-US"/>
        </w:rPr>
        <w:t xml:space="preserve"> 50(4), pp. 185-199.</w:t>
      </w:r>
      <w:r w:rsidRPr="00384542">
        <w:rPr>
          <w:rFonts w:ascii="Arial" w:eastAsia="Calibri" w:hAnsi="Arial" w:cs="Arial"/>
          <w:shd w:val="clear" w:color="auto" w:fill="FFFFFF"/>
          <w:lang w:val="en-US"/>
        </w:rPr>
        <w:t xml:space="preserve"> </w:t>
      </w:r>
    </w:p>
    <w:p w14:paraId="0C19AAD3" w14:textId="77777777" w:rsidR="0042454C" w:rsidRPr="00384542" w:rsidRDefault="0042454C" w:rsidP="0042454C">
      <w:pPr>
        <w:spacing w:after="0" w:line="360" w:lineRule="auto"/>
        <w:ind w:left="720" w:hanging="720"/>
        <w:rPr>
          <w:rFonts w:ascii="Arial" w:eastAsia="Calibri" w:hAnsi="Arial" w:cs="Arial"/>
          <w:shd w:val="clear" w:color="auto" w:fill="FFFFFF"/>
          <w:lang w:val="en-US"/>
        </w:rPr>
      </w:pPr>
      <w:r w:rsidRPr="00384542">
        <w:rPr>
          <w:rFonts w:ascii="Arial" w:eastAsia="Calibri" w:hAnsi="Arial" w:cs="Arial"/>
          <w:shd w:val="clear" w:color="auto" w:fill="FFFFFF"/>
          <w:lang w:val="en-US"/>
        </w:rPr>
        <w:t>Pilbeam, S. and Corbridge, M. (2010). </w:t>
      </w:r>
      <w:r w:rsidRPr="00384542">
        <w:rPr>
          <w:rFonts w:ascii="Arial" w:eastAsia="Calibri" w:hAnsi="Arial" w:cs="Arial"/>
          <w:i/>
          <w:iCs/>
          <w:shd w:val="clear" w:color="auto" w:fill="FFFFFF"/>
          <w:lang w:val="en-US"/>
        </w:rPr>
        <w:t>People resourcing and talent planning: HRM in practice</w:t>
      </w:r>
      <w:r w:rsidRPr="00384542">
        <w:rPr>
          <w:rFonts w:ascii="Arial" w:eastAsia="Calibri" w:hAnsi="Arial" w:cs="Arial"/>
          <w:shd w:val="clear" w:color="auto" w:fill="FFFFFF"/>
          <w:lang w:val="en-US"/>
        </w:rPr>
        <w:t xml:space="preserve">. Fourth edition. FT Prentice Hall. </w:t>
      </w:r>
    </w:p>
    <w:p w14:paraId="4FBB2510" w14:textId="77777777" w:rsidR="0042454C" w:rsidRPr="00384542" w:rsidRDefault="0042454C" w:rsidP="0042454C">
      <w:pPr>
        <w:spacing w:after="0" w:line="360" w:lineRule="auto"/>
        <w:ind w:left="720" w:hanging="720"/>
        <w:rPr>
          <w:rFonts w:ascii="Arial" w:eastAsia="Calibri" w:hAnsi="Arial" w:cs="Arial"/>
          <w:shd w:val="clear" w:color="auto" w:fill="FFFFFF"/>
          <w:lang w:val="en-US"/>
        </w:rPr>
      </w:pPr>
      <w:r w:rsidRPr="00384542">
        <w:rPr>
          <w:rFonts w:ascii="Arial" w:eastAsia="Calibri" w:hAnsi="Arial" w:cs="Arial"/>
          <w:shd w:val="clear" w:color="auto" w:fill="FFFFFF"/>
          <w:lang w:val="en-US"/>
        </w:rPr>
        <w:t>Pond, K. (2020). </w:t>
      </w:r>
      <w:r w:rsidRPr="00384542">
        <w:rPr>
          <w:rFonts w:ascii="Arial" w:eastAsia="Calibri" w:hAnsi="Arial" w:cs="Arial"/>
          <w:i/>
          <w:iCs/>
          <w:shd w:val="clear" w:color="auto" w:fill="FFFFFF"/>
          <w:lang w:val="en-US"/>
        </w:rPr>
        <w:t>Insolvencies in the era of COVID-19</w:t>
      </w:r>
      <w:r w:rsidRPr="00384542">
        <w:rPr>
          <w:rFonts w:ascii="Arial" w:eastAsia="Calibri" w:hAnsi="Arial" w:cs="Arial"/>
          <w:shd w:val="clear" w:color="auto" w:fill="FFFFFF"/>
          <w:lang w:val="en-US"/>
        </w:rPr>
        <w:t xml:space="preserve">. [online] HSTalks. Available at: </w:t>
      </w:r>
    </w:p>
    <w:p w14:paraId="5989AA6E" w14:textId="77777777" w:rsidR="0042454C" w:rsidRPr="00384542" w:rsidRDefault="0042454C" w:rsidP="0042454C">
      <w:pPr>
        <w:spacing w:after="0" w:line="360" w:lineRule="auto"/>
        <w:ind w:left="720" w:hanging="720"/>
        <w:rPr>
          <w:rFonts w:ascii="Arial" w:eastAsia="Calibri" w:hAnsi="Arial" w:cs="Arial"/>
          <w:shd w:val="clear" w:color="auto" w:fill="FFFFFF"/>
          <w:lang w:val="en-US"/>
        </w:rPr>
      </w:pPr>
      <w:r w:rsidRPr="00384542">
        <w:rPr>
          <w:rFonts w:ascii="Arial" w:eastAsia="Calibri" w:hAnsi="Arial" w:cs="Arial"/>
          <w:shd w:val="clear" w:color="auto" w:fill="FFFFFF"/>
          <w:lang w:val="en-US"/>
        </w:rPr>
        <w:t>&lt;</w:t>
      </w:r>
      <w:r w:rsidRPr="00384542">
        <w:t xml:space="preserve"> </w:t>
      </w:r>
      <w:hyperlink r:id="rId11" w:history="1">
        <w:r w:rsidRPr="00384542">
          <w:rPr>
            <w:rStyle w:val="Hyperlink"/>
            <w:rFonts w:ascii="Arial" w:eastAsia="Calibri" w:hAnsi="Arial" w:cs="Arial"/>
            <w:color w:val="auto"/>
            <w:shd w:val="clear" w:color="auto" w:fill="FFFFFF"/>
            <w:lang w:val="en-US"/>
          </w:rPr>
          <w:t>https://hstalks-com.ezproxy.uwtsd.ac.uk/t/4239/insolvencies-in-the-era-of-covid-19/?business</w:t>
        </w:r>
      </w:hyperlink>
      <w:r w:rsidRPr="00384542">
        <w:rPr>
          <w:rFonts w:ascii="Arial" w:eastAsia="Calibri" w:hAnsi="Arial" w:cs="Arial"/>
          <w:shd w:val="clear" w:color="auto" w:fill="FFFFFF"/>
          <w:lang w:val="en-US"/>
        </w:rPr>
        <w:t>&gt; [Accessed 21 December 2021].</w:t>
      </w:r>
    </w:p>
    <w:p w14:paraId="115C3314" w14:textId="77777777" w:rsidR="0042454C" w:rsidRPr="00384542" w:rsidRDefault="0042454C" w:rsidP="0042454C">
      <w:pPr>
        <w:spacing w:after="0" w:line="360" w:lineRule="auto"/>
        <w:ind w:left="720" w:hanging="720"/>
        <w:rPr>
          <w:rFonts w:ascii="Arial" w:eastAsia="Calibri" w:hAnsi="Arial" w:cs="Arial"/>
          <w:i/>
          <w:iCs/>
          <w:shd w:val="clear" w:color="auto" w:fill="FFFFFF"/>
          <w:lang w:val="en-US"/>
        </w:rPr>
      </w:pPr>
      <w:r w:rsidRPr="00384542">
        <w:rPr>
          <w:rFonts w:ascii="Arial" w:eastAsia="Calibri" w:hAnsi="Arial" w:cs="Arial"/>
          <w:shd w:val="clear" w:color="auto" w:fill="FFFFFF"/>
          <w:lang w:val="en-US"/>
        </w:rPr>
        <w:t>Torrington, D., Hall, L., Atkinson, C., and Taylor, S. (2017). Human resource management. Tenth edition. UK. Pearson.</w:t>
      </w:r>
    </w:p>
    <w:p w14:paraId="186C92E2" w14:textId="77777777" w:rsidR="00927CE3" w:rsidRDefault="00BB42B0"/>
    <w:sectPr w:rsidR="00927CE3" w:rsidSect="00F003F0">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58728D" w14:textId="77777777" w:rsidR="00BB42B0" w:rsidRDefault="00BB42B0">
      <w:pPr>
        <w:spacing w:after="0" w:line="240" w:lineRule="auto"/>
      </w:pPr>
      <w:r>
        <w:separator/>
      </w:r>
    </w:p>
  </w:endnote>
  <w:endnote w:type="continuationSeparator" w:id="0">
    <w:p w14:paraId="38199EEA" w14:textId="77777777" w:rsidR="00BB42B0" w:rsidRDefault="00BB42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Math">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2180285"/>
      <w:docPartObj>
        <w:docPartGallery w:val="Page Numbers (Bottom of Page)"/>
        <w:docPartUnique/>
      </w:docPartObj>
    </w:sdtPr>
    <w:sdtEndPr>
      <w:rPr>
        <w:noProof/>
      </w:rPr>
    </w:sdtEndPr>
    <w:sdtContent>
      <w:p w14:paraId="4C279383" w14:textId="7ADEC3F0" w:rsidR="00F003F0" w:rsidRDefault="00F003F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5C18C3" w14:textId="77777777" w:rsidR="0054705D" w:rsidRDefault="005470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ECE960" w14:textId="77777777" w:rsidR="00BB42B0" w:rsidRDefault="00BB42B0">
      <w:pPr>
        <w:spacing w:after="0" w:line="240" w:lineRule="auto"/>
      </w:pPr>
      <w:r>
        <w:separator/>
      </w:r>
    </w:p>
  </w:footnote>
  <w:footnote w:type="continuationSeparator" w:id="0">
    <w:p w14:paraId="05B2958A" w14:textId="77777777" w:rsidR="00BB42B0" w:rsidRDefault="00BB42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3D2478"/>
    <w:multiLevelType w:val="hybridMultilevel"/>
    <w:tmpl w:val="17F432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987"/>
    <w:rsid w:val="00050BBD"/>
    <w:rsid w:val="0005608C"/>
    <w:rsid w:val="000B351D"/>
    <w:rsid w:val="000D58B2"/>
    <w:rsid w:val="000F7C19"/>
    <w:rsid w:val="00104791"/>
    <w:rsid w:val="001406E4"/>
    <w:rsid w:val="001448E4"/>
    <w:rsid w:val="00166198"/>
    <w:rsid w:val="0017103A"/>
    <w:rsid w:val="001C706F"/>
    <w:rsid w:val="001C7480"/>
    <w:rsid w:val="001C7F22"/>
    <w:rsid w:val="001D48F7"/>
    <w:rsid w:val="001D6EBD"/>
    <w:rsid w:val="001F0F44"/>
    <w:rsid w:val="001F4017"/>
    <w:rsid w:val="00230937"/>
    <w:rsid w:val="00241C47"/>
    <w:rsid w:val="00270E67"/>
    <w:rsid w:val="0029203A"/>
    <w:rsid w:val="002B2515"/>
    <w:rsid w:val="002C2F4D"/>
    <w:rsid w:val="002C311F"/>
    <w:rsid w:val="002C7E4C"/>
    <w:rsid w:val="002F639E"/>
    <w:rsid w:val="00301225"/>
    <w:rsid w:val="00327BA6"/>
    <w:rsid w:val="00387EF3"/>
    <w:rsid w:val="0040371F"/>
    <w:rsid w:val="00414129"/>
    <w:rsid w:val="0042454C"/>
    <w:rsid w:val="00435C7F"/>
    <w:rsid w:val="0047250C"/>
    <w:rsid w:val="004B1B0E"/>
    <w:rsid w:val="004D0D87"/>
    <w:rsid w:val="004D427E"/>
    <w:rsid w:val="004F523A"/>
    <w:rsid w:val="00540F6B"/>
    <w:rsid w:val="0054705D"/>
    <w:rsid w:val="005D63BE"/>
    <w:rsid w:val="00647D1D"/>
    <w:rsid w:val="006851B0"/>
    <w:rsid w:val="00691767"/>
    <w:rsid w:val="00693317"/>
    <w:rsid w:val="006C324A"/>
    <w:rsid w:val="00731376"/>
    <w:rsid w:val="0074697D"/>
    <w:rsid w:val="00753BCF"/>
    <w:rsid w:val="007733ED"/>
    <w:rsid w:val="00776D4E"/>
    <w:rsid w:val="007C1987"/>
    <w:rsid w:val="007D28D3"/>
    <w:rsid w:val="007D7D2F"/>
    <w:rsid w:val="007F77B0"/>
    <w:rsid w:val="00806B9E"/>
    <w:rsid w:val="008112EA"/>
    <w:rsid w:val="0088228F"/>
    <w:rsid w:val="00890827"/>
    <w:rsid w:val="008C2E07"/>
    <w:rsid w:val="00914D8F"/>
    <w:rsid w:val="009D3080"/>
    <w:rsid w:val="00A36C51"/>
    <w:rsid w:val="00A40720"/>
    <w:rsid w:val="00A4586A"/>
    <w:rsid w:val="00A641BA"/>
    <w:rsid w:val="00AB3B9D"/>
    <w:rsid w:val="00B10981"/>
    <w:rsid w:val="00B221F8"/>
    <w:rsid w:val="00B416D5"/>
    <w:rsid w:val="00B86918"/>
    <w:rsid w:val="00BA2EAE"/>
    <w:rsid w:val="00BB42B0"/>
    <w:rsid w:val="00BC4ECD"/>
    <w:rsid w:val="00BE5D51"/>
    <w:rsid w:val="00C07E1C"/>
    <w:rsid w:val="00C158E7"/>
    <w:rsid w:val="00C23FAC"/>
    <w:rsid w:val="00C40F17"/>
    <w:rsid w:val="00C654A1"/>
    <w:rsid w:val="00C75DB0"/>
    <w:rsid w:val="00CC37B2"/>
    <w:rsid w:val="00D21F63"/>
    <w:rsid w:val="00D5187D"/>
    <w:rsid w:val="00DA4233"/>
    <w:rsid w:val="00DA429A"/>
    <w:rsid w:val="00E44388"/>
    <w:rsid w:val="00E5515E"/>
    <w:rsid w:val="00E56223"/>
    <w:rsid w:val="00EB270C"/>
    <w:rsid w:val="00F003F0"/>
    <w:rsid w:val="00F318F5"/>
    <w:rsid w:val="00F639EC"/>
    <w:rsid w:val="00F814B6"/>
    <w:rsid w:val="00FB23AC"/>
    <w:rsid w:val="00FC3D2F"/>
    <w:rsid w:val="00FC62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D5199"/>
  <w15:chartTrackingRefBased/>
  <w15:docId w15:val="{58B2F5D6-2189-478C-835E-1840FFDC5D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25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63B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C7E4C"/>
    <w:pPr>
      <w:tabs>
        <w:tab w:val="center" w:pos="4536"/>
        <w:tab w:val="right" w:pos="9072"/>
      </w:tabs>
      <w:spacing w:after="0" w:line="240" w:lineRule="auto"/>
    </w:pPr>
  </w:style>
  <w:style w:type="character" w:customStyle="1" w:styleId="HeaderChar">
    <w:name w:val="Header Char"/>
    <w:basedOn w:val="DefaultParagraphFont"/>
    <w:link w:val="Header"/>
    <w:uiPriority w:val="99"/>
    <w:rsid w:val="002C7E4C"/>
  </w:style>
  <w:style w:type="paragraph" w:styleId="Footer">
    <w:name w:val="footer"/>
    <w:basedOn w:val="Normal"/>
    <w:link w:val="FooterChar"/>
    <w:uiPriority w:val="99"/>
    <w:unhideWhenUsed/>
    <w:rsid w:val="002C7E4C"/>
    <w:pPr>
      <w:tabs>
        <w:tab w:val="center" w:pos="4536"/>
        <w:tab w:val="right" w:pos="9072"/>
      </w:tabs>
      <w:spacing w:after="0" w:line="240" w:lineRule="auto"/>
    </w:pPr>
  </w:style>
  <w:style w:type="character" w:customStyle="1" w:styleId="FooterChar">
    <w:name w:val="Footer Char"/>
    <w:basedOn w:val="DefaultParagraphFont"/>
    <w:link w:val="Footer"/>
    <w:uiPriority w:val="99"/>
    <w:rsid w:val="002C7E4C"/>
  </w:style>
  <w:style w:type="character" w:customStyle="1" w:styleId="Heading1Char">
    <w:name w:val="Heading 1 Char"/>
    <w:basedOn w:val="DefaultParagraphFont"/>
    <w:link w:val="Heading1"/>
    <w:uiPriority w:val="9"/>
    <w:rsid w:val="0047250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D63B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90827"/>
    <w:pPr>
      <w:outlineLvl w:val="9"/>
    </w:pPr>
    <w:rPr>
      <w:lang w:val="en-US"/>
    </w:rPr>
  </w:style>
  <w:style w:type="paragraph" w:styleId="TOC2">
    <w:name w:val="toc 2"/>
    <w:basedOn w:val="Normal"/>
    <w:next w:val="Normal"/>
    <w:autoRedefine/>
    <w:uiPriority w:val="39"/>
    <w:unhideWhenUsed/>
    <w:rsid w:val="00890827"/>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90827"/>
    <w:pPr>
      <w:spacing w:after="100"/>
    </w:pPr>
    <w:rPr>
      <w:rFonts w:eastAsiaTheme="minorEastAsia" w:cs="Times New Roman"/>
      <w:lang w:val="en-US"/>
    </w:rPr>
  </w:style>
  <w:style w:type="paragraph" w:styleId="TOC3">
    <w:name w:val="toc 3"/>
    <w:basedOn w:val="Normal"/>
    <w:next w:val="Normal"/>
    <w:autoRedefine/>
    <w:uiPriority w:val="39"/>
    <w:unhideWhenUsed/>
    <w:rsid w:val="00890827"/>
    <w:pPr>
      <w:spacing w:after="100"/>
      <w:ind w:left="440"/>
    </w:pPr>
    <w:rPr>
      <w:rFonts w:eastAsiaTheme="minorEastAsia" w:cs="Times New Roman"/>
      <w:lang w:val="en-US"/>
    </w:rPr>
  </w:style>
  <w:style w:type="character" w:styleId="Hyperlink">
    <w:name w:val="Hyperlink"/>
    <w:basedOn w:val="DefaultParagraphFont"/>
    <w:uiPriority w:val="99"/>
    <w:unhideWhenUsed/>
    <w:rsid w:val="008C2E07"/>
    <w:rPr>
      <w:color w:val="0563C1" w:themeColor="hyperlink"/>
      <w:u w:val="single"/>
    </w:rPr>
  </w:style>
  <w:style w:type="character" w:styleId="UnresolvedMention">
    <w:name w:val="Unresolved Mention"/>
    <w:basedOn w:val="DefaultParagraphFont"/>
    <w:uiPriority w:val="99"/>
    <w:semiHidden/>
    <w:unhideWhenUsed/>
    <w:rsid w:val="007733ED"/>
    <w:rPr>
      <w:color w:val="605E5C"/>
      <w:shd w:val="clear" w:color="auto" w:fill="E1DFDD"/>
    </w:rPr>
  </w:style>
  <w:style w:type="character" w:styleId="FollowedHyperlink">
    <w:name w:val="FollowedHyperlink"/>
    <w:basedOn w:val="DefaultParagraphFont"/>
    <w:uiPriority w:val="99"/>
    <w:semiHidden/>
    <w:unhideWhenUsed/>
    <w:rsid w:val="00914D8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stalks-com.ezproxy.uwtsd.ac.uk/t/2043/pay-and-reward/?busines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stalks-com.ezproxy.uwtsd.ac.uk/t/4239/insolvencies-in-the-era-of-covid-19/?business" TargetMode="External"/><Relationship Id="rId5" Type="http://schemas.openxmlformats.org/officeDocument/2006/relationships/webSettings" Target="webSettings.xml"/><Relationship Id="rId10" Type="http://schemas.openxmlformats.org/officeDocument/2006/relationships/hyperlink" Target="https://hstalks-com.ezproxy.uwtsd.ac.uk/t/4577/visible-teamwork-asynchronous-communication-that-f/?business" TargetMode="External"/><Relationship Id="rId4" Type="http://schemas.openxmlformats.org/officeDocument/2006/relationships/settings" Target="settings.xml"/><Relationship Id="rId9" Type="http://schemas.openxmlformats.org/officeDocument/2006/relationships/hyperlink" Target="https://www.proquest.com/docview/1822713391?parentSessionId=1RWDPoaK9lbMu48W%2BfEBlHY2OkCUjBLf45I90uYWWyo%3D&amp;pq-origsite=summon&amp;accountid=13047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243C6BC-DD96-4E67-9E4F-1A6CA94391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2719</Words>
  <Characters>15504</Characters>
  <Application>Microsoft Office Word</Application>
  <DocSecurity>0</DocSecurity>
  <Lines>129</Lines>
  <Paragraphs>36</Paragraphs>
  <ScaleCrop>false</ScaleCrop>
  <Company/>
  <LinksUpToDate>false</LinksUpToDate>
  <CharactersWithSpaces>18187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Grigor Zarankov</dc:creator>
  <cp:keywords/>
  <dc:description/>
  <cp:lastModifiedBy>Grigor Zarankov</cp:lastModifiedBy>
  <cp:revision>93</cp:revision>
  <dcterms:created xsi:type="dcterms:W3CDTF">2021-12-22T18:15:00Z</dcterms:created>
  <dcterms:modified xsi:type="dcterms:W3CDTF">2022-01-04T15:04:00Z</dcterms:modified>
</cp:coreProperties>
</file>