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D77CDA" w14:textId="3D42A2BA" w:rsidR="00026672" w:rsidRDefault="00026672" w:rsidP="00375EBE">
      <w:pPr>
        <w:rPr>
          <w:b/>
          <w:bCs/>
          <w:u w:val="single"/>
        </w:rPr>
      </w:pPr>
    </w:p>
    <w:p w14:paraId="2A42334A" w14:textId="2DFAF729" w:rsidR="00026672" w:rsidRDefault="00026672" w:rsidP="00375EBE">
      <w:pPr>
        <w:rPr>
          <w:b/>
          <w:bCs/>
          <w:u w:val="single"/>
        </w:rPr>
      </w:pPr>
    </w:p>
    <w:p w14:paraId="192A7C41" w14:textId="40698852" w:rsidR="00026672" w:rsidRDefault="00DC6F2A" w:rsidP="00375EBE">
      <w:pPr>
        <w:rPr>
          <w:b/>
          <w:bCs/>
          <w:u w:val="single"/>
        </w:rPr>
      </w:pPr>
      <w:r>
        <w:rPr>
          <w:b/>
          <w:bCs/>
          <w:noProof/>
          <w:u w:val="single"/>
        </w:rPr>
        <w:drawing>
          <wp:anchor distT="0" distB="0" distL="114300" distR="114300" simplePos="0" relativeHeight="251658240" behindDoc="1" locked="0" layoutInCell="1" allowOverlap="1" wp14:anchorId="5759E23D" wp14:editId="3E03BAC2">
            <wp:simplePos x="0" y="0"/>
            <wp:positionH relativeFrom="column">
              <wp:posOffset>4078438</wp:posOffset>
            </wp:positionH>
            <wp:positionV relativeFrom="paragraph">
              <wp:posOffset>72190</wp:posOffset>
            </wp:positionV>
            <wp:extent cx="2229736" cy="679249"/>
            <wp:effectExtent l="0" t="0" r="0" b="6985"/>
            <wp:wrapTight wrapText="bothSides">
              <wp:wrapPolygon edited="0">
                <wp:start x="0" y="0"/>
                <wp:lineTo x="0" y="21216"/>
                <wp:lineTo x="21409" y="21216"/>
                <wp:lineTo x="21409" y="0"/>
                <wp:lineTo x="0" y="0"/>
              </wp:wrapPolygon>
            </wp:wrapTight>
            <wp:docPr id="797158077"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58077" name="Picture 1" descr="A close-up of a logo&#10;&#10;AI-generated content may be incorrect."/>
                    <pic:cNvPicPr>
                      <a:picLocks noChangeAspect="1" noChangeArrowheads="1"/>
                    </pic:cNvPicPr>
                  </pic:nvPicPr>
                  <pic:blipFill rotWithShape="1">
                    <a:blip r:embed="rId6">
                      <a:extLst>
                        <a:ext uri="{28A0092B-C50C-407E-A947-70E740481C1C}">
                          <a14:useLocalDpi xmlns:a14="http://schemas.microsoft.com/office/drawing/2010/main" val="0"/>
                        </a:ext>
                      </a:extLst>
                    </a:blip>
                    <a:srcRect t="5399" b="7499"/>
                    <a:stretch>
                      <a:fillRect/>
                    </a:stretch>
                  </pic:blipFill>
                  <pic:spPr bwMode="auto">
                    <a:xfrm>
                      <a:off x="0" y="0"/>
                      <a:ext cx="2229736" cy="679249"/>
                    </a:xfrm>
                    <a:prstGeom prst="rect">
                      <a:avLst/>
                    </a:prstGeom>
                    <a:noFill/>
                    <a:ln>
                      <a:noFill/>
                    </a:ln>
                    <a:extLst>
                      <a:ext uri="{53640926-AAD7-44D8-BBD7-CCE9431645EC}">
                        <a14:shadowObscured xmlns:a14="http://schemas.microsoft.com/office/drawing/2010/main"/>
                      </a:ext>
                    </a:extLst>
                  </pic:spPr>
                </pic:pic>
              </a:graphicData>
            </a:graphic>
          </wp:anchor>
        </w:drawing>
      </w:r>
    </w:p>
    <w:p w14:paraId="2C5F1688" w14:textId="77777777" w:rsidR="00DC6F2A" w:rsidRDefault="00DC6F2A" w:rsidP="00FC2FE4">
      <w:pPr>
        <w:jc w:val="center"/>
        <w:rPr>
          <w:sz w:val="36"/>
          <w:szCs w:val="36"/>
        </w:rPr>
      </w:pPr>
    </w:p>
    <w:p w14:paraId="563055D2" w14:textId="77777777" w:rsidR="00DC6F2A" w:rsidRDefault="00DC6F2A" w:rsidP="00FC2FE4">
      <w:pPr>
        <w:jc w:val="center"/>
        <w:rPr>
          <w:sz w:val="36"/>
          <w:szCs w:val="36"/>
        </w:rPr>
      </w:pPr>
    </w:p>
    <w:p w14:paraId="0F11B780" w14:textId="56F027B6" w:rsidR="00D07468" w:rsidRPr="00D07468" w:rsidRDefault="00D07468" w:rsidP="00FC2FE4">
      <w:pPr>
        <w:jc w:val="center"/>
        <w:rPr>
          <w:sz w:val="36"/>
          <w:szCs w:val="36"/>
        </w:rPr>
      </w:pPr>
      <w:r w:rsidRPr="00D07468">
        <w:rPr>
          <w:sz w:val="36"/>
          <w:szCs w:val="36"/>
        </w:rPr>
        <w:t>Student Name: Nusrat Bi</w:t>
      </w:r>
    </w:p>
    <w:p w14:paraId="35B97015" w14:textId="77777777" w:rsidR="00D07468" w:rsidRPr="00D07468" w:rsidRDefault="00D07468" w:rsidP="00FC2FE4">
      <w:pPr>
        <w:jc w:val="center"/>
        <w:rPr>
          <w:sz w:val="36"/>
          <w:szCs w:val="36"/>
        </w:rPr>
      </w:pPr>
      <w:r w:rsidRPr="00D07468">
        <w:rPr>
          <w:sz w:val="36"/>
          <w:szCs w:val="36"/>
        </w:rPr>
        <w:t>Student ID: 2433266</w:t>
      </w:r>
    </w:p>
    <w:p w14:paraId="260DB384" w14:textId="25D8AF04" w:rsidR="00D07468" w:rsidRPr="00D07468" w:rsidRDefault="00D07468" w:rsidP="00FC2FE4">
      <w:pPr>
        <w:jc w:val="center"/>
        <w:rPr>
          <w:sz w:val="36"/>
          <w:szCs w:val="36"/>
        </w:rPr>
      </w:pPr>
      <w:r w:rsidRPr="00D07468">
        <w:rPr>
          <w:sz w:val="36"/>
          <w:szCs w:val="36"/>
        </w:rPr>
        <w:t>Module Code: L</w:t>
      </w:r>
      <w:r w:rsidR="0032210C">
        <w:rPr>
          <w:sz w:val="36"/>
          <w:szCs w:val="36"/>
        </w:rPr>
        <w:t>CHS4003</w:t>
      </w:r>
    </w:p>
    <w:p w14:paraId="76AC9947" w14:textId="7401748D" w:rsidR="00D07468" w:rsidRPr="00D07468" w:rsidRDefault="00D07468" w:rsidP="00FC2FE4">
      <w:pPr>
        <w:jc w:val="center"/>
        <w:rPr>
          <w:sz w:val="36"/>
          <w:szCs w:val="36"/>
        </w:rPr>
      </w:pPr>
      <w:r w:rsidRPr="00D07468">
        <w:rPr>
          <w:sz w:val="36"/>
          <w:szCs w:val="36"/>
        </w:rPr>
        <w:t xml:space="preserve">Assignment Title: </w:t>
      </w:r>
      <w:r w:rsidR="0032210C">
        <w:rPr>
          <w:sz w:val="36"/>
          <w:szCs w:val="36"/>
        </w:rPr>
        <w:t>Health and Social Care</w:t>
      </w:r>
    </w:p>
    <w:p w14:paraId="78BB025E" w14:textId="16AE31BD" w:rsidR="00026672" w:rsidRPr="00D07468" w:rsidRDefault="00D07468" w:rsidP="00FC2FE4">
      <w:pPr>
        <w:jc w:val="center"/>
        <w:rPr>
          <w:sz w:val="36"/>
          <w:szCs w:val="36"/>
        </w:rPr>
      </w:pPr>
      <w:r w:rsidRPr="00D07468">
        <w:rPr>
          <w:sz w:val="36"/>
          <w:szCs w:val="36"/>
        </w:rPr>
        <w:t xml:space="preserve">Lecturers Name: </w:t>
      </w:r>
      <w:r w:rsidR="00E37334">
        <w:rPr>
          <w:sz w:val="36"/>
          <w:szCs w:val="36"/>
        </w:rPr>
        <w:t>Dr Aishat Bakre</w:t>
      </w:r>
    </w:p>
    <w:p w14:paraId="519DE8CA" w14:textId="77777777" w:rsidR="00026672" w:rsidRDefault="00026672" w:rsidP="00375EBE">
      <w:pPr>
        <w:rPr>
          <w:b/>
          <w:bCs/>
          <w:u w:val="single"/>
        </w:rPr>
      </w:pPr>
    </w:p>
    <w:p w14:paraId="2040F708" w14:textId="77777777" w:rsidR="00026672" w:rsidRDefault="00026672" w:rsidP="00375EBE">
      <w:pPr>
        <w:rPr>
          <w:b/>
          <w:bCs/>
          <w:u w:val="single"/>
        </w:rPr>
      </w:pPr>
    </w:p>
    <w:p w14:paraId="1194DF2F" w14:textId="77777777" w:rsidR="00026672" w:rsidRDefault="00026672" w:rsidP="00375EBE">
      <w:pPr>
        <w:rPr>
          <w:b/>
          <w:bCs/>
          <w:u w:val="single"/>
        </w:rPr>
      </w:pPr>
    </w:p>
    <w:p w14:paraId="758CA0F6" w14:textId="77777777" w:rsidR="00026672" w:rsidRDefault="00026672" w:rsidP="00375EBE">
      <w:pPr>
        <w:rPr>
          <w:b/>
          <w:bCs/>
          <w:u w:val="single"/>
        </w:rPr>
      </w:pPr>
    </w:p>
    <w:p w14:paraId="618ED0A9" w14:textId="77777777" w:rsidR="00026672" w:rsidRDefault="00026672" w:rsidP="00375EBE">
      <w:pPr>
        <w:rPr>
          <w:b/>
          <w:bCs/>
          <w:u w:val="single"/>
        </w:rPr>
      </w:pPr>
    </w:p>
    <w:p w14:paraId="60AE9AC7" w14:textId="77777777" w:rsidR="00026672" w:rsidRDefault="00026672" w:rsidP="00375EBE">
      <w:pPr>
        <w:rPr>
          <w:b/>
          <w:bCs/>
          <w:u w:val="single"/>
        </w:rPr>
      </w:pPr>
    </w:p>
    <w:p w14:paraId="0A303E7F" w14:textId="77777777" w:rsidR="00026672" w:rsidRDefault="00026672" w:rsidP="00375EBE">
      <w:pPr>
        <w:rPr>
          <w:b/>
          <w:bCs/>
          <w:u w:val="single"/>
        </w:rPr>
      </w:pPr>
    </w:p>
    <w:p w14:paraId="0A30DFED" w14:textId="77777777" w:rsidR="00026672" w:rsidRDefault="00026672" w:rsidP="00375EBE">
      <w:pPr>
        <w:rPr>
          <w:b/>
          <w:bCs/>
          <w:u w:val="single"/>
        </w:rPr>
      </w:pPr>
    </w:p>
    <w:p w14:paraId="1C904B85" w14:textId="77777777" w:rsidR="00026672" w:rsidRDefault="00026672" w:rsidP="00375EBE">
      <w:pPr>
        <w:rPr>
          <w:b/>
          <w:bCs/>
          <w:u w:val="single"/>
        </w:rPr>
      </w:pPr>
    </w:p>
    <w:p w14:paraId="3C0DA9F2" w14:textId="77777777" w:rsidR="00026672" w:rsidRDefault="00026672" w:rsidP="00375EBE">
      <w:pPr>
        <w:rPr>
          <w:b/>
          <w:bCs/>
          <w:u w:val="single"/>
        </w:rPr>
      </w:pPr>
    </w:p>
    <w:p w14:paraId="44CD8FE6" w14:textId="77777777" w:rsidR="00026672" w:rsidRDefault="00026672" w:rsidP="00375EBE">
      <w:pPr>
        <w:rPr>
          <w:b/>
          <w:bCs/>
          <w:u w:val="single"/>
        </w:rPr>
      </w:pPr>
    </w:p>
    <w:p w14:paraId="7B83FA43" w14:textId="77777777" w:rsidR="00026672" w:rsidRDefault="00026672" w:rsidP="00375EBE">
      <w:pPr>
        <w:rPr>
          <w:b/>
          <w:bCs/>
          <w:u w:val="single"/>
        </w:rPr>
      </w:pPr>
    </w:p>
    <w:p w14:paraId="4FC89FD3" w14:textId="77777777" w:rsidR="00026672" w:rsidRDefault="00026672" w:rsidP="00375EBE">
      <w:pPr>
        <w:rPr>
          <w:b/>
          <w:bCs/>
          <w:u w:val="single"/>
        </w:rPr>
      </w:pPr>
    </w:p>
    <w:p w14:paraId="76F0C317" w14:textId="77777777" w:rsidR="00026672" w:rsidRDefault="00026672" w:rsidP="00375EBE">
      <w:pPr>
        <w:rPr>
          <w:b/>
          <w:bCs/>
          <w:u w:val="single"/>
        </w:rPr>
      </w:pPr>
    </w:p>
    <w:p w14:paraId="7E4D440B" w14:textId="77777777" w:rsidR="00026672" w:rsidRDefault="00026672" w:rsidP="00375EBE">
      <w:pPr>
        <w:rPr>
          <w:b/>
          <w:bCs/>
          <w:u w:val="single"/>
        </w:rPr>
      </w:pPr>
    </w:p>
    <w:p w14:paraId="0E704246" w14:textId="77777777" w:rsidR="00026672" w:rsidRDefault="00026672" w:rsidP="00375EBE">
      <w:pPr>
        <w:rPr>
          <w:b/>
          <w:bCs/>
          <w:u w:val="single"/>
        </w:rPr>
      </w:pPr>
    </w:p>
    <w:p w14:paraId="5A5A43C7" w14:textId="77777777" w:rsidR="00026672" w:rsidRDefault="00026672" w:rsidP="00375EBE">
      <w:pPr>
        <w:rPr>
          <w:b/>
          <w:bCs/>
          <w:u w:val="single"/>
        </w:rPr>
      </w:pPr>
    </w:p>
    <w:p w14:paraId="61C331C3" w14:textId="77777777" w:rsidR="00026672" w:rsidRDefault="00026672" w:rsidP="00375EBE">
      <w:pPr>
        <w:rPr>
          <w:b/>
          <w:bCs/>
          <w:u w:val="single"/>
        </w:rPr>
      </w:pPr>
    </w:p>
    <w:sdt>
      <w:sdtPr>
        <w:rPr>
          <w:rFonts w:asciiTheme="minorHAnsi" w:eastAsiaTheme="minorHAnsi" w:hAnsiTheme="minorHAnsi" w:cstheme="minorBidi"/>
          <w:color w:val="auto"/>
          <w:kern w:val="2"/>
          <w:sz w:val="22"/>
          <w:szCs w:val="22"/>
          <w:lang w:val="en-GB"/>
          <w14:ligatures w14:val="standardContextual"/>
        </w:rPr>
        <w:id w:val="-398367003"/>
        <w:docPartObj>
          <w:docPartGallery w:val="Table of Contents"/>
          <w:docPartUnique/>
        </w:docPartObj>
      </w:sdtPr>
      <w:sdtEndPr>
        <w:rPr>
          <w:b/>
          <w:bCs/>
          <w:noProof/>
          <w:sz w:val="24"/>
          <w:szCs w:val="24"/>
        </w:rPr>
      </w:sdtEndPr>
      <w:sdtContent>
        <w:p w14:paraId="4ED17C76" w14:textId="7A6F6F32" w:rsidR="002541A6" w:rsidRDefault="002541A6">
          <w:pPr>
            <w:pStyle w:val="TOCHeading"/>
          </w:pPr>
          <w:r>
            <w:t>Table of Contents</w:t>
          </w:r>
        </w:p>
        <w:p w14:paraId="166802F9" w14:textId="09F0A6A4" w:rsidR="003D191F" w:rsidRPr="004E0116" w:rsidRDefault="002541A6" w:rsidP="00ED45A9">
          <w:pPr>
            <w:pStyle w:val="TOC1"/>
            <w:tabs>
              <w:tab w:val="right" w:leader="dot" w:pos="9016"/>
            </w:tabs>
            <w:spacing w:line="360" w:lineRule="auto"/>
            <w:rPr>
              <w:b/>
              <w:bCs/>
              <w:noProof/>
              <w:color w:val="0563C1" w:themeColor="hyperlink"/>
              <w:sz w:val="24"/>
              <w:szCs w:val="24"/>
              <w:u w:val="single"/>
            </w:rPr>
          </w:pPr>
          <w:r w:rsidRPr="004E0116">
            <w:rPr>
              <w:b/>
              <w:bCs/>
              <w:sz w:val="24"/>
              <w:szCs w:val="24"/>
            </w:rPr>
            <w:fldChar w:fldCharType="begin"/>
          </w:r>
          <w:r w:rsidRPr="004E0116">
            <w:rPr>
              <w:b/>
              <w:bCs/>
              <w:sz w:val="24"/>
              <w:szCs w:val="24"/>
            </w:rPr>
            <w:instrText xml:space="preserve"> TOC \o "1-3" \h \z \u </w:instrText>
          </w:r>
          <w:r w:rsidRPr="004E0116">
            <w:rPr>
              <w:b/>
              <w:bCs/>
              <w:sz w:val="24"/>
              <w:szCs w:val="24"/>
            </w:rPr>
            <w:fldChar w:fldCharType="separate"/>
          </w:r>
          <w:hyperlink w:anchor="_Toc213433689" w:history="1">
            <w:r w:rsidR="004A2BB7" w:rsidRPr="004E0116">
              <w:rPr>
                <w:rStyle w:val="Hyperlink"/>
                <w:b/>
                <w:bCs/>
                <w:noProof/>
                <w:sz w:val="24"/>
                <w:szCs w:val="24"/>
              </w:rPr>
              <w:t>Introduction</w:t>
            </w:r>
            <w:bookmarkStart w:id="0" w:name="_Hlk213519586"/>
            <w:r w:rsidR="004A2BB7" w:rsidRPr="004E0116">
              <w:rPr>
                <w:b/>
                <w:bCs/>
                <w:noProof/>
                <w:webHidden/>
                <w:sz w:val="24"/>
                <w:szCs w:val="24"/>
              </w:rPr>
              <w:tab/>
            </w:r>
            <w:bookmarkEnd w:id="0"/>
            <w:r w:rsidR="004A2BB7" w:rsidRPr="004E0116">
              <w:rPr>
                <w:b/>
                <w:bCs/>
                <w:noProof/>
                <w:webHidden/>
                <w:sz w:val="24"/>
                <w:szCs w:val="24"/>
              </w:rPr>
              <w:fldChar w:fldCharType="begin"/>
            </w:r>
            <w:r w:rsidR="004A2BB7" w:rsidRPr="004E0116">
              <w:rPr>
                <w:b/>
                <w:bCs/>
                <w:noProof/>
                <w:webHidden/>
                <w:sz w:val="24"/>
                <w:szCs w:val="24"/>
              </w:rPr>
              <w:instrText xml:space="preserve"> PAGEREF _Toc213433689 \h </w:instrText>
            </w:r>
            <w:r w:rsidR="004A2BB7" w:rsidRPr="004E0116">
              <w:rPr>
                <w:b/>
                <w:bCs/>
                <w:noProof/>
                <w:webHidden/>
                <w:sz w:val="24"/>
                <w:szCs w:val="24"/>
              </w:rPr>
            </w:r>
            <w:r w:rsidR="004A2BB7" w:rsidRPr="004E0116">
              <w:rPr>
                <w:b/>
                <w:bCs/>
                <w:noProof/>
                <w:webHidden/>
                <w:sz w:val="24"/>
                <w:szCs w:val="24"/>
              </w:rPr>
              <w:fldChar w:fldCharType="separate"/>
            </w:r>
            <w:r w:rsidR="004A2BB7" w:rsidRPr="004E0116">
              <w:rPr>
                <w:b/>
                <w:bCs/>
                <w:noProof/>
                <w:webHidden/>
                <w:sz w:val="24"/>
                <w:szCs w:val="24"/>
              </w:rPr>
              <w:t>3</w:t>
            </w:r>
            <w:r w:rsidR="004A2BB7" w:rsidRPr="004E0116">
              <w:rPr>
                <w:b/>
                <w:bCs/>
                <w:noProof/>
                <w:webHidden/>
                <w:sz w:val="24"/>
                <w:szCs w:val="24"/>
              </w:rPr>
              <w:fldChar w:fldCharType="end"/>
            </w:r>
          </w:hyperlink>
        </w:p>
        <w:p w14:paraId="368B6D14" w14:textId="78F8DC4F" w:rsidR="004A2BB7" w:rsidRPr="004E0116" w:rsidRDefault="004A2BB7" w:rsidP="00ED45A9">
          <w:pPr>
            <w:pStyle w:val="TOC2"/>
            <w:tabs>
              <w:tab w:val="right" w:leader="dot" w:pos="9016"/>
            </w:tabs>
            <w:spacing w:line="360" w:lineRule="auto"/>
            <w:rPr>
              <w:rFonts w:eastAsiaTheme="minorEastAsia"/>
              <w:b/>
              <w:bCs/>
              <w:noProof/>
              <w:sz w:val="28"/>
              <w:szCs w:val="28"/>
              <w:lang w:eastAsia="en-GB"/>
            </w:rPr>
          </w:pPr>
          <w:hyperlink w:anchor="_Toc213433690" w:history="1">
            <w:r w:rsidRPr="004E0116">
              <w:rPr>
                <w:rStyle w:val="Hyperlink"/>
                <w:b/>
                <w:bCs/>
                <w:noProof/>
                <w:sz w:val="24"/>
                <w:szCs w:val="24"/>
              </w:rPr>
              <w:t>The Importance of Effective Communication within the Context of Mrs Mann’s Care</w:t>
            </w:r>
            <w:r w:rsidRPr="004E0116">
              <w:rPr>
                <w:b/>
                <w:bCs/>
                <w:noProof/>
                <w:webHidden/>
                <w:sz w:val="24"/>
                <w:szCs w:val="24"/>
              </w:rPr>
              <w:tab/>
            </w:r>
            <w:r w:rsidRPr="004E0116">
              <w:rPr>
                <w:b/>
                <w:bCs/>
                <w:noProof/>
                <w:webHidden/>
                <w:sz w:val="24"/>
                <w:szCs w:val="24"/>
              </w:rPr>
              <w:fldChar w:fldCharType="begin"/>
            </w:r>
            <w:r w:rsidRPr="004E0116">
              <w:rPr>
                <w:b/>
                <w:bCs/>
                <w:noProof/>
                <w:webHidden/>
                <w:sz w:val="24"/>
                <w:szCs w:val="24"/>
              </w:rPr>
              <w:instrText xml:space="preserve"> PAGEREF _Toc213433690 \h </w:instrText>
            </w:r>
            <w:r w:rsidRPr="004E0116">
              <w:rPr>
                <w:b/>
                <w:bCs/>
                <w:noProof/>
                <w:webHidden/>
                <w:sz w:val="24"/>
                <w:szCs w:val="24"/>
              </w:rPr>
            </w:r>
            <w:r w:rsidRPr="004E0116">
              <w:rPr>
                <w:b/>
                <w:bCs/>
                <w:noProof/>
                <w:webHidden/>
                <w:sz w:val="24"/>
                <w:szCs w:val="24"/>
              </w:rPr>
              <w:fldChar w:fldCharType="separate"/>
            </w:r>
            <w:r w:rsidRPr="004E0116">
              <w:rPr>
                <w:b/>
                <w:bCs/>
                <w:noProof/>
                <w:webHidden/>
                <w:sz w:val="24"/>
                <w:szCs w:val="24"/>
              </w:rPr>
              <w:t>3</w:t>
            </w:r>
            <w:r w:rsidRPr="004E0116">
              <w:rPr>
                <w:b/>
                <w:bCs/>
                <w:noProof/>
                <w:webHidden/>
                <w:sz w:val="24"/>
                <w:szCs w:val="24"/>
              </w:rPr>
              <w:fldChar w:fldCharType="end"/>
            </w:r>
          </w:hyperlink>
        </w:p>
        <w:p w14:paraId="1DE45A21" w14:textId="7D1A660A" w:rsidR="004A2BB7" w:rsidRPr="004E0116" w:rsidRDefault="004A2BB7" w:rsidP="00ED45A9">
          <w:pPr>
            <w:pStyle w:val="TOC3"/>
            <w:tabs>
              <w:tab w:val="right" w:leader="dot" w:pos="9016"/>
            </w:tabs>
            <w:spacing w:line="360" w:lineRule="auto"/>
            <w:rPr>
              <w:rFonts w:eastAsiaTheme="minorEastAsia"/>
              <w:b/>
              <w:bCs/>
              <w:noProof/>
              <w:sz w:val="28"/>
              <w:szCs w:val="28"/>
              <w:lang w:eastAsia="en-GB"/>
            </w:rPr>
          </w:pPr>
          <w:hyperlink w:anchor="_Toc213433691" w:history="1">
            <w:r w:rsidRPr="004E0116">
              <w:rPr>
                <w:rStyle w:val="Hyperlink"/>
                <w:b/>
                <w:bCs/>
                <w:noProof/>
                <w:sz w:val="24"/>
                <w:szCs w:val="24"/>
              </w:rPr>
              <w:t>The Importance of Good Administrative Skills within Professional Practice</w:t>
            </w:r>
            <w:r w:rsidRPr="004E0116">
              <w:rPr>
                <w:b/>
                <w:bCs/>
                <w:noProof/>
                <w:webHidden/>
                <w:sz w:val="24"/>
                <w:szCs w:val="24"/>
              </w:rPr>
              <w:tab/>
            </w:r>
            <w:r w:rsidRPr="004E0116">
              <w:rPr>
                <w:b/>
                <w:bCs/>
                <w:noProof/>
                <w:webHidden/>
                <w:sz w:val="24"/>
                <w:szCs w:val="24"/>
              </w:rPr>
              <w:fldChar w:fldCharType="begin"/>
            </w:r>
            <w:r w:rsidRPr="004E0116">
              <w:rPr>
                <w:b/>
                <w:bCs/>
                <w:noProof/>
                <w:webHidden/>
                <w:sz w:val="24"/>
                <w:szCs w:val="24"/>
              </w:rPr>
              <w:instrText xml:space="preserve"> PAGEREF _Toc213433691 \h </w:instrText>
            </w:r>
            <w:r w:rsidRPr="004E0116">
              <w:rPr>
                <w:b/>
                <w:bCs/>
                <w:noProof/>
                <w:webHidden/>
                <w:sz w:val="24"/>
                <w:szCs w:val="24"/>
              </w:rPr>
            </w:r>
            <w:r w:rsidRPr="004E0116">
              <w:rPr>
                <w:b/>
                <w:bCs/>
                <w:noProof/>
                <w:webHidden/>
                <w:sz w:val="24"/>
                <w:szCs w:val="24"/>
              </w:rPr>
              <w:fldChar w:fldCharType="separate"/>
            </w:r>
            <w:r w:rsidRPr="004E0116">
              <w:rPr>
                <w:b/>
                <w:bCs/>
                <w:noProof/>
                <w:webHidden/>
                <w:sz w:val="24"/>
                <w:szCs w:val="24"/>
              </w:rPr>
              <w:t>4</w:t>
            </w:r>
            <w:r w:rsidRPr="004E0116">
              <w:rPr>
                <w:b/>
                <w:bCs/>
                <w:noProof/>
                <w:webHidden/>
                <w:sz w:val="24"/>
                <w:szCs w:val="24"/>
              </w:rPr>
              <w:fldChar w:fldCharType="end"/>
            </w:r>
          </w:hyperlink>
        </w:p>
        <w:p w14:paraId="5C6270DD" w14:textId="684491A0" w:rsidR="004A2BB7" w:rsidRPr="004E0116" w:rsidRDefault="004A2BB7" w:rsidP="00ED45A9">
          <w:pPr>
            <w:pStyle w:val="TOC3"/>
            <w:tabs>
              <w:tab w:val="right" w:leader="dot" w:pos="9016"/>
            </w:tabs>
            <w:spacing w:line="360" w:lineRule="auto"/>
            <w:rPr>
              <w:rFonts w:eastAsiaTheme="minorEastAsia"/>
              <w:b/>
              <w:bCs/>
              <w:noProof/>
              <w:sz w:val="28"/>
              <w:szCs w:val="28"/>
              <w:lang w:eastAsia="en-GB"/>
            </w:rPr>
          </w:pPr>
          <w:hyperlink w:anchor="_Toc213433692" w:history="1">
            <w:r w:rsidRPr="004E0116">
              <w:rPr>
                <w:rStyle w:val="Hyperlink"/>
                <w:b/>
                <w:bCs/>
                <w:noProof/>
                <w:sz w:val="24"/>
                <w:szCs w:val="24"/>
              </w:rPr>
              <w:t>The Importance of Working Collaboratively with Other Professionals</w:t>
            </w:r>
            <w:r w:rsidRPr="004E0116">
              <w:rPr>
                <w:b/>
                <w:bCs/>
                <w:noProof/>
                <w:webHidden/>
                <w:sz w:val="24"/>
                <w:szCs w:val="24"/>
              </w:rPr>
              <w:tab/>
            </w:r>
            <w:r w:rsidRPr="004E0116">
              <w:rPr>
                <w:b/>
                <w:bCs/>
                <w:noProof/>
                <w:webHidden/>
                <w:sz w:val="24"/>
                <w:szCs w:val="24"/>
              </w:rPr>
              <w:fldChar w:fldCharType="begin"/>
            </w:r>
            <w:r w:rsidRPr="004E0116">
              <w:rPr>
                <w:b/>
                <w:bCs/>
                <w:noProof/>
                <w:webHidden/>
                <w:sz w:val="24"/>
                <w:szCs w:val="24"/>
              </w:rPr>
              <w:instrText xml:space="preserve"> PAGEREF _Toc213433692 \h </w:instrText>
            </w:r>
            <w:r w:rsidRPr="004E0116">
              <w:rPr>
                <w:b/>
                <w:bCs/>
                <w:noProof/>
                <w:webHidden/>
                <w:sz w:val="24"/>
                <w:szCs w:val="24"/>
              </w:rPr>
            </w:r>
            <w:r w:rsidRPr="004E0116">
              <w:rPr>
                <w:b/>
                <w:bCs/>
                <w:noProof/>
                <w:webHidden/>
                <w:sz w:val="24"/>
                <w:szCs w:val="24"/>
              </w:rPr>
              <w:fldChar w:fldCharType="separate"/>
            </w:r>
            <w:r w:rsidRPr="004E0116">
              <w:rPr>
                <w:b/>
                <w:bCs/>
                <w:noProof/>
                <w:webHidden/>
                <w:sz w:val="24"/>
                <w:szCs w:val="24"/>
              </w:rPr>
              <w:t>5</w:t>
            </w:r>
            <w:r w:rsidRPr="004E0116">
              <w:rPr>
                <w:b/>
                <w:bCs/>
                <w:noProof/>
                <w:webHidden/>
                <w:sz w:val="24"/>
                <w:szCs w:val="24"/>
              </w:rPr>
              <w:fldChar w:fldCharType="end"/>
            </w:r>
          </w:hyperlink>
        </w:p>
        <w:p w14:paraId="55A09096" w14:textId="591CE049" w:rsidR="002541A6" w:rsidRPr="00EC2D67" w:rsidRDefault="002541A6" w:rsidP="00ED45A9">
          <w:pPr>
            <w:tabs>
              <w:tab w:val="center" w:pos="4513"/>
            </w:tabs>
            <w:spacing w:line="360" w:lineRule="auto"/>
            <w:rPr>
              <w:b/>
              <w:bCs/>
              <w:noProof/>
              <w:sz w:val="24"/>
              <w:szCs w:val="24"/>
            </w:rPr>
          </w:pPr>
          <w:r w:rsidRPr="004E0116">
            <w:rPr>
              <w:b/>
              <w:bCs/>
              <w:noProof/>
              <w:sz w:val="24"/>
              <w:szCs w:val="24"/>
            </w:rPr>
            <w:fldChar w:fldCharType="end"/>
          </w:r>
          <w:r w:rsidR="008711BC" w:rsidRPr="004E0116">
            <w:rPr>
              <w:b/>
              <w:bCs/>
              <w:noProof/>
              <w:sz w:val="24"/>
              <w:szCs w:val="24"/>
            </w:rPr>
            <w:t>Refrences</w:t>
          </w:r>
          <w:r w:rsidR="005B30BB">
            <w:rPr>
              <w:b/>
              <w:bCs/>
              <w:noProof/>
              <w:sz w:val="24"/>
              <w:szCs w:val="24"/>
            </w:rPr>
            <w:t xml:space="preserve"> </w:t>
          </w:r>
          <w:r w:rsidR="008E0CDF">
            <w:rPr>
              <w:b/>
              <w:bCs/>
              <w:noProof/>
              <w:sz w:val="24"/>
              <w:szCs w:val="24"/>
            </w:rPr>
            <w:t>……………………………………………………………………………………………………………………….. 6</w:t>
          </w:r>
        </w:p>
      </w:sdtContent>
    </w:sdt>
    <w:p w14:paraId="1B26E845" w14:textId="77777777" w:rsidR="00026672" w:rsidRDefault="00026672" w:rsidP="00375EBE">
      <w:pPr>
        <w:rPr>
          <w:b/>
          <w:bCs/>
          <w:u w:val="single"/>
        </w:rPr>
      </w:pPr>
    </w:p>
    <w:p w14:paraId="33627033" w14:textId="77777777" w:rsidR="008313F2" w:rsidRDefault="008313F2" w:rsidP="00375EBE">
      <w:pPr>
        <w:rPr>
          <w:b/>
          <w:bCs/>
          <w:u w:val="single"/>
        </w:rPr>
      </w:pPr>
    </w:p>
    <w:p w14:paraId="54B2D709" w14:textId="77777777" w:rsidR="00026672" w:rsidRDefault="00026672" w:rsidP="00375EBE">
      <w:pPr>
        <w:rPr>
          <w:b/>
          <w:bCs/>
          <w:u w:val="single"/>
        </w:rPr>
      </w:pPr>
    </w:p>
    <w:p w14:paraId="7E97E6D4" w14:textId="77777777" w:rsidR="00026672" w:rsidRDefault="00026672" w:rsidP="00375EBE">
      <w:pPr>
        <w:rPr>
          <w:b/>
          <w:bCs/>
          <w:u w:val="single"/>
        </w:rPr>
      </w:pPr>
    </w:p>
    <w:p w14:paraId="222F9780" w14:textId="77777777" w:rsidR="00DC6F2A" w:rsidRDefault="00DC6F2A" w:rsidP="00375EBE">
      <w:pPr>
        <w:rPr>
          <w:b/>
          <w:bCs/>
          <w:u w:val="single"/>
        </w:rPr>
      </w:pPr>
    </w:p>
    <w:p w14:paraId="557863CF" w14:textId="77777777" w:rsidR="00DC6F2A" w:rsidRDefault="00DC6F2A" w:rsidP="00375EBE">
      <w:pPr>
        <w:rPr>
          <w:b/>
          <w:bCs/>
          <w:u w:val="single"/>
        </w:rPr>
      </w:pPr>
    </w:p>
    <w:p w14:paraId="5775A6A4" w14:textId="77777777" w:rsidR="00DC6F2A" w:rsidRDefault="00DC6F2A" w:rsidP="00375EBE">
      <w:pPr>
        <w:rPr>
          <w:b/>
          <w:bCs/>
          <w:u w:val="single"/>
        </w:rPr>
      </w:pPr>
    </w:p>
    <w:p w14:paraId="659D3761" w14:textId="77777777" w:rsidR="00DC6F2A" w:rsidRDefault="00DC6F2A" w:rsidP="00375EBE">
      <w:pPr>
        <w:rPr>
          <w:b/>
          <w:bCs/>
          <w:u w:val="single"/>
        </w:rPr>
      </w:pPr>
    </w:p>
    <w:p w14:paraId="6A85F6FE" w14:textId="77777777" w:rsidR="00DC6F2A" w:rsidRDefault="00DC6F2A" w:rsidP="00375EBE">
      <w:pPr>
        <w:rPr>
          <w:b/>
          <w:bCs/>
          <w:u w:val="single"/>
        </w:rPr>
      </w:pPr>
    </w:p>
    <w:p w14:paraId="21B61414" w14:textId="77777777" w:rsidR="00DC6F2A" w:rsidRDefault="00DC6F2A" w:rsidP="00375EBE">
      <w:pPr>
        <w:rPr>
          <w:b/>
          <w:bCs/>
          <w:u w:val="single"/>
        </w:rPr>
      </w:pPr>
    </w:p>
    <w:p w14:paraId="14C64B6A" w14:textId="77777777" w:rsidR="00DC6F2A" w:rsidRDefault="00DC6F2A" w:rsidP="00375EBE">
      <w:pPr>
        <w:rPr>
          <w:b/>
          <w:bCs/>
          <w:u w:val="single"/>
        </w:rPr>
      </w:pPr>
    </w:p>
    <w:p w14:paraId="5E29E90D" w14:textId="77777777" w:rsidR="00DC6F2A" w:rsidRDefault="00DC6F2A" w:rsidP="00375EBE">
      <w:pPr>
        <w:rPr>
          <w:b/>
          <w:bCs/>
          <w:u w:val="single"/>
        </w:rPr>
      </w:pPr>
    </w:p>
    <w:p w14:paraId="5BF06DDE" w14:textId="77777777" w:rsidR="00DC6F2A" w:rsidRDefault="00DC6F2A" w:rsidP="00375EBE">
      <w:pPr>
        <w:rPr>
          <w:b/>
          <w:bCs/>
          <w:u w:val="single"/>
        </w:rPr>
      </w:pPr>
    </w:p>
    <w:p w14:paraId="577BDD9B" w14:textId="77777777" w:rsidR="00DC6F2A" w:rsidRDefault="00DC6F2A" w:rsidP="00375EBE">
      <w:pPr>
        <w:rPr>
          <w:b/>
          <w:bCs/>
          <w:u w:val="single"/>
        </w:rPr>
      </w:pPr>
    </w:p>
    <w:p w14:paraId="5935D977" w14:textId="77777777" w:rsidR="00DC6F2A" w:rsidRDefault="00DC6F2A" w:rsidP="00375EBE">
      <w:pPr>
        <w:rPr>
          <w:b/>
          <w:bCs/>
          <w:u w:val="single"/>
        </w:rPr>
      </w:pPr>
    </w:p>
    <w:p w14:paraId="37CDCB26" w14:textId="77777777" w:rsidR="00DC6F2A" w:rsidRDefault="00DC6F2A" w:rsidP="00375EBE">
      <w:pPr>
        <w:rPr>
          <w:b/>
          <w:bCs/>
          <w:u w:val="single"/>
        </w:rPr>
      </w:pPr>
    </w:p>
    <w:p w14:paraId="66C39B6F" w14:textId="77777777" w:rsidR="00DC6F2A" w:rsidRDefault="00DC6F2A" w:rsidP="00375EBE">
      <w:pPr>
        <w:rPr>
          <w:b/>
          <w:bCs/>
          <w:u w:val="single"/>
        </w:rPr>
      </w:pPr>
    </w:p>
    <w:p w14:paraId="13ECD3A8" w14:textId="77777777" w:rsidR="00DC6F2A" w:rsidRDefault="00DC6F2A" w:rsidP="00375EBE">
      <w:pPr>
        <w:rPr>
          <w:b/>
          <w:bCs/>
          <w:u w:val="single"/>
        </w:rPr>
      </w:pPr>
    </w:p>
    <w:p w14:paraId="0187D025" w14:textId="77777777" w:rsidR="00DC6F2A" w:rsidRDefault="00DC6F2A" w:rsidP="00375EBE">
      <w:pPr>
        <w:rPr>
          <w:b/>
          <w:bCs/>
          <w:u w:val="single"/>
        </w:rPr>
      </w:pPr>
    </w:p>
    <w:p w14:paraId="4B9BFD0C" w14:textId="77777777" w:rsidR="00DC6F2A" w:rsidRDefault="00DC6F2A" w:rsidP="00375EBE">
      <w:pPr>
        <w:rPr>
          <w:b/>
          <w:bCs/>
          <w:u w:val="single"/>
        </w:rPr>
      </w:pPr>
    </w:p>
    <w:p w14:paraId="6780FB5C" w14:textId="77777777" w:rsidR="00DC6F2A" w:rsidRDefault="00DC6F2A" w:rsidP="00375EBE">
      <w:pPr>
        <w:rPr>
          <w:b/>
          <w:bCs/>
          <w:u w:val="single"/>
        </w:rPr>
      </w:pPr>
    </w:p>
    <w:p w14:paraId="2D61654B" w14:textId="77777777" w:rsidR="00DC6F2A" w:rsidRDefault="00DC6F2A" w:rsidP="00375EBE">
      <w:pPr>
        <w:rPr>
          <w:b/>
          <w:bCs/>
          <w:u w:val="single"/>
        </w:rPr>
      </w:pPr>
    </w:p>
    <w:p w14:paraId="692CF235" w14:textId="77777777" w:rsidR="00DC6F2A" w:rsidRDefault="00DC6F2A" w:rsidP="00375EBE">
      <w:pPr>
        <w:rPr>
          <w:b/>
          <w:bCs/>
          <w:u w:val="single"/>
        </w:rPr>
      </w:pPr>
    </w:p>
    <w:p w14:paraId="5B0CF05C" w14:textId="77777777" w:rsidR="00DC6F2A" w:rsidRDefault="00DC6F2A" w:rsidP="00375EBE">
      <w:pPr>
        <w:rPr>
          <w:b/>
          <w:bCs/>
          <w:u w:val="single"/>
        </w:rPr>
      </w:pPr>
    </w:p>
    <w:p w14:paraId="0567DF52" w14:textId="77777777" w:rsidR="00DC6F2A" w:rsidRDefault="00DC6F2A" w:rsidP="00375EBE">
      <w:pPr>
        <w:rPr>
          <w:b/>
          <w:bCs/>
          <w:u w:val="single"/>
        </w:rPr>
      </w:pPr>
    </w:p>
    <w:p w14:paraId="79DE2BDE" w14:textId="77777777" w:rsidR="00DC6F2A" w:rsidRDefault="00DC6F2A" w:rsidP="00375EBE">
      <w:pPr>
        <w:rPr>
          <w:b/>
          <w:bCs/>
          <w:u w:val="single"/>
        </w:rPr>
      </w:pPr>
    </w:p>
    <w:p w14:paraId="24F7E049" w14:textId="77777777" w:rsidR="00DC6F2A" w:rsidRDefault="00DC6F2A" w:rsidP="00375EBE">
      <w:pPr>
        <w:rPr>
          <w:b/>
          <w:bCs/>
          <w:u w:val="single"/>
        </w:rPr>
      </w:pPr>
    </w:p>
    <w:p w14:paraId="20D10792" w14:textId="77777777" w:rsidR="00DC6F2A" w:rsidRDefault="00DC6F2A" w:rsidP="00375EBE">
      <w:pPr>
        <w:rPr>
          <w:b/>
          <w:bCs/>
          <w:u w:val="single"/>
        </w:rPr>
      </w:pPr>
    </w:p>
    <w:p w14:paraId="0E7A8C43" w14:textId="77777777" w:rsidR="00DC6F2A" w:rsidRDefault="00DC6F2A" w:rsidP="00375EBE">
      <w:pPr>
        <w:rPr>
          <w:b/>
          <w:bCs/>
          <w:u w:val="single"/>
        </w:rPr>
      </w:pPr>
    </w:p>
    <w:p w14:paraId="2ACD4DAF" w14:textId="221B5AE3" w:rsidR="00375EBE" w:rsidRPr="00375EBE" w:rsidRDefault="00375EBE" w:rsidP="00FF60BF">
      <w:pPr>
        <w:pStyle w:val="Title"/>
      </w:pPr>
      <w:r w:rsidRPr="00375EBE">
        <w:t>Case Study Report on Communication, Record Keeping, and Collaboration in the Care of Mrs Mann</w:t>
      </w:r>
    </w:p>
    <w:p w14:paraId="6FD1AD76" w14:textId="2129EFDE" w:rsidR="001212CA" w:rsidRDefault="00375EBE" w:rsidP="00FF60BF">
      <w:pPr>
        <w:pStyle w:val="Heading1"/>
      </w:pPr>
      <w:bookmarkStart w:id="1" w:name="_Toc213433689"/>
      <w:r w:rsidRPr="00375EBE">
        <w:t>Introduction</w:t>
      </w:r>
      <w:bookmarkEnd w:id="1"/>
    </w:p>
    <w:p w14:paraId="214CF5C3" w14:textId="65EBEB38" w:rsidR="00375EBE" w:rsidRDefault="00375EBE" w:rsidP="00375EBE">
      <w:r w:rsidRPr="00375EBE">
        <w:t>In this report, the case of Mrs Mann, the 72-year-old woman, who just returned home after undergoing hip replacement surgery will be considered. She is alone with no or little English and therefore she cannot recover without the help of her carers, GP and physiotherapist. The scenario indicates the role of good communication, record keeping and teamwork in health and social care. The report will cover three key points: the role of effective communication and its connection with the Equality Act 2010, the significance of proper record keeping in the Data Protection Act 2018, and how a collaboration between different professionals can lead to the delivery of safe and person-centred support. The report connects theory, legislation and practice by demonstrating how joined-up and respectful care can assist in enhancing safety, equality and positive outcomes of individuals such as Mrs Mann</w:t>
      </w:r>
      <w:r>
        <w:t>.</w:t>
      </w:r>
    </w:p>
    <w:p w14:paraId="21B6F15F" w14:textId="6464DA0F" w:rsidR="00375EBE" w:rsidRPr="00524951" w:rsidRDefault="00375EBE" w:rsidP="00FF60BF">
      <w:pPr>
        <w:pStyle w:val="Heading2"/>
      </w:pPr>
      <w:bookmarkStart w:id="2" w:name="_Toc213433690"/>
      <w:r w:rsidRPr="00524951">
        <w:t>The Importance of Effective Communication within the Context of Mrs Mann’s Care</w:t>
      </w:r>
      <w:bookmarkEnd w:id="2"/>
    </w:p>
    <w:p w14:paraId="1896987E" w14:textId="400D644D" w:rsidR="00375EBE" w:rsidRDefault="00375EBE" w:rsidP="00375EBE">
      <w:pPr>
        <w:jc w:val="both"/>
      </w:pPr>
      <w:r w:rsidRPr="00375EBE">
        <w:t>Quality care depends on good communication; particularly, it is more difficult to comprehend and exchange information due to language or cultural barriers. In the case with Mrs Mann, she is not good at English and frequently uses her daughter as a translator and this is the reason why carers should find the means of communicating in a clear and respectful way. The Equality Act 2010 is a reminder to the health and social care personnel that individuals must have equal access to information and services irrespective of the language and background. This implies that carers should make reasonable changes which may include hiring an interpreter or translated resources so that Mrs Mann can engage in her self-care.</w:t>
      </w:r>
    </w:p>
    <w:p w14:paraId="64DCF75F" w14:textId="609CF17E" w:rsidR="00375EBE" w:rsidRDefault="00375EBE" w:rsidP="00375EBE">
      <w:pPr>
        <w:jc w:val="both"/>
      </w:pPr>
      <w:r w:rsidRPr="00375EBE">
        <w:t xml:space="preserve">This process can be explained with the help of the SMCR model of communication developed by Berlo (1960). It divides the process of communication into four general sections which include the sender, message, channel and the receiver. One such example is in the care of Mrs Mann where the sender may be the carer who gives her an order concerning her medication or exercises. The message should be understandable and direct, the channel could be either verbal or written </w:t>
      </w:r>
      <w:r w:rsidR="00B57148" w:rsidRPr="00375EBE">
        <w:t>communication,</w:t>
      </w:r>
      <w:r w:rsidRPr="00375EBE">
        <w:t xml:space="preserve"> and the receiver is Mrs Mann herself. The absence of correct language or tone may make her incomprehensive, which may bring about errors. Employing a professional interpreter rather than a family member is a </w:t>
      </w:r>
      <w:r w:rsidRPr="00375EBE">
        <w:lastRenderedPageBreak/>
        <w:t>measure that allows preserving the confidentiality and ensuring that the message is precise (Thompson, 2016).</w:t>
      </w:r>
    </w:p>
    <w:p w14:paraId="76E6D9BB" w14:textId="52FF74C4" w:rsidR="00375EBE" w:rsidRDefault="00375EBE" w:rsidP="00375EBE">
      <w:pPr>
        <w:jc w:val="both"/>
      </w:pPr>
      <w:r w:rsidRPr="00375EBE">
        <w:t>Another important component of the model by Berlo is feedback. Requesting Mrs Mann to repeat some information or show an exercise alone ensures that the understanding is verified and eliminated mistakes (Silverman, 2020). Action, facial expression and intonation are other type of non-verbal communication that may make the difference when words are not enough (Trevithick, 2012). This strategy is closely related to the Equality Act 2010 since it allows Mrs Mann to be treated equally and engage in making decisions related to her care. It is also indicative of person-centred care that the Care Quality Commission (CQC, 2015) advocates and contributes to establishing the trust and respect between the carers and service users.</w:t>
      </w:r>
    </w:p>
    <w:p w14:paraId="0D3C5EBB" w14:textId="2E47C197" w:rsidR="00375EBE" w:rsidRDefault="00375EBE" w:rsidP="00375EBE">
      <w:pPr>
        <w:jc w:val="both"/>
      </w:pPr>
      <w:r w:rsidRPr="00375EBE">
        <w:t xml:space="preserve">Altogether, effective and culturally competent communication facilitates safety, equality and dignity. Applying the SMCR model developed by Berlo (1960) helps the carers to reason well on how they transmit their messages, what medium they adopt and how they acknowledge receipt </w:t>
      </w:r>
      <w:proofErr w:type="gramStart"/>
      <w:r w:rsidRPr="00375EBE">
        <w:t>in order to</w:t>
      </w:r>
      <w:proofErr w:type="gramEnd"/>
      <w:r w:rsidRPr="00375EBE">
        <w:t xml:space="preserve"> ensure care is delivered efficiently.</w:t>
      </w:r>
    </w:p>
    <w:p w14:paraId="4E48D7C7" w14:textId="77777777" w:rsidR="00375EBE" w:rsidRDefault="00375EBE" w:rsidP="00FF60BF">
      <w:pPr>
        <w:pStyle w:val="Heading3"/>
      </w:pPr>
    </w:p>
    <w:p w14:paraId="0676A1D2" w14:textId="49E416BB" w:rsidR="00375EBE" w:rsidRPr="00524951" w:rsidRDefault="00375EBE" w:rsidP="00FF60BF">
      <w:pPr>
        <w:pStyle w:val="Heading3"/>
        <w:rPr>
          <w:u w:val="single"/>
        </w:rPr>
      </w:pPr>
      <w:bookmarkStart w:id="3" w:name="_Toc213433691"/>
      <w:r w:rsidRPr="00524951">
        <w:rPr>
          <w:u w:val="single"/>
        </w:rPr>
        <w:t>The Importance of Good Administrative Skills within Professional Practice</w:t>
      </w:r>
      <w:bookmarkEnd w:id="3"/>
    </w:p>
    <w:p w14:paraId="0FB26547" w14:textId="043E34C2" w:rsidR="00375EBE" w:rsidRPr="00375EBE" w:rsidRDefault="00375EBE" w:rsidP="00375EBE">
      <w:pPr>
        <w:jc w:val="both"/>
      </w:pPr>
      <w:r w:rsidRPr="00375EBE">
        <w:t>One of the most significant competencies in health and social care is the ability to maintain clear and accurate records. The delay in switching medication among Mrs Mann was due to poor documentation and this endangered her life. Effective administration will ensure that all parties with a stake in the care of a person receive the appropriate information to make safe decisions and maintain the services in their normal operations (Department of Health and Social Care, 2018).</w:t>
      </w:r>
    </w:p>
    <w:p w14:paraId="45637689" w14:textId="77777777" w:rsidR="00375EBE" w:rsidRPr="00375EBE" w:rsidRDefault="00375EBE" w:rsidP="00375EBE">
      <w:pPr>
        <w:jc w:val="both"/>
      </w:pPr>
      <w:r w:rsidRPr="00375EBE">
        <w:t xml:space="preserve">The UK GDPR and the Data Protection Act 2018 provide specific guidelines on the </w:t>
      </w:r>
      <w:proofErr w:type="gramStart"/>
      <w:r w:rsidRPr="00375EBE">
        <w:t>manner in which</w:t>
      </w:r>
      <w:proofErr w:type="gramEnd"/>
      <w:r w:rsidRPr="00375EBE">
        <w:t xml:space="preserve"> personal data should be handled. The health and social care professionals must ensure that they handle the information in a legal manner and share it with individuals who require to get to know the information. This implies that the medication records, the progress notes and the care plans of Mrs Mann should be updated, secure and shared in a suitable way (NHS Digital, 2021). Failure by the staff to do so may result in hurt or even harm to trust.</w:t>
      </w:r>
    </w:p>
    <w:p w14:paraId="5B95AFBA" w14:textId="264726DB" w:rsidR="00375EBE" w:rsidRPr="00375EBE" w:rsidRDefault="00375EBE" w:rsidP="00375EBE">
      <w:pPr>
        <w:jc w:val="both"/>
      </w:pPr>
      <w:r w:rsidRPr="00375EBE">
        <w:t xml:space="preserve">Professionalism and accountability </w:t>
      </w:r>
      <w:r w:rsidR="00524951" w:rsidRPr="00375EBE">
        <w:t>are</w:t>
      </w:r>
      <w:r w:rsidRPr="00375EBE">
        <w:t xml:space="preserve"> also demonstrated by good record keeping. Any entry must be factual, signed and dated. Well written records assist in teamwork, meeting care decision evidence and safeguard both the carer and the service user against complaints (CQC, 2015). Provided that the care notes of Mrs Mann were </w:t>
      </w:r>
      <w:r w:rsidR="00524951" w:rsidRPr="00375EBE">
        <w:t>more explicit and timelier</w:t>
      </w:r>
      <w:r w:rsidRPr="00375EBE">
        <w:t xml:space="preserve"> reviewed, the medication issue would likely have been prevented.</w:t>
      </w:r>
    </w:p>
    <w:p w14:paraId="7F877047" w14:textId="166FD14B" w:rsidR="00375EBE" w:rsidRPr="00375EBE" w:rsidRDefault="00375EBE" w:rsidP="00375EBE">
      <w:pPr>
        <w:jc w:val="both"/>
      </w:pPr>
      <w:r w:rsidRPr="00375EBE">
        <w:t xml:space="preserve">Electronic systems are now used by many </w:t>
      </w:r>
      <w:r w:rsidR="00524951" w:rsidRPr="00375EBE">
        <w:t>organisations,</w:t>
      </w:r>
      <w:r w:rsidRPr="00375EBE">
        <w:t xml:space="preserve"> and this has facilitated information exchange but there are associated risks such as data breach. This is the reason why carers </w:t>
      </w:r>
      <w:proofErr w:type="gramStart"/>
      <w:r w:rsidRPr="00375EBE">
        <w:t>have to</w:t>
      </w:r>
      <w:proofErr w:type="gramEnd"/>
      <w:r w:rsidRPr="00375EBE">
        <w:t xml:space="preserve"> be trained to operate systems properly and secure passwords (Health and Social Care Information Centre, 2016). Person-centred care is also helped by accurate and confidential record keeping, as it will make sure the information about the preferences, language and recovery goals of Mrs Mann is transmitted to all the involved parties (Thompson, 2016).</w:t>
      </w:r>
    </w:p>
    <w:p w14:paraId="3BAE321B" w14:textId="26131797" w:rsidR="00375EBE" w:rsidRDefault="00375EBE" w:rsidP="00375EBE">
      <w:pPr>
        <w:jc w:val="both"/>
      </w:pPr>
      <w:r w:rsidRPr="00375EBE">
        <w:t>To be more precise, effective good administrative practice is the key to safe and legal effective care. Staff can serve the people better, protect their dignity and trust by adhering to the Data Protection Act 2018 and keeping their records not only honest but also well-organised.</w:t>
      </w:r>
    </w:p>
    <w:p w14:paraId="0752EB4A" w14:textId="77777777" w:rsidR="00524951" w:rsidRDefault="00524951" w:rsidP="00375EBE">
      <w:pPr>
        <w:jc w:val="both"/>
      </w:pPr>
    </w:p>
    <w:p w14:paraId="5DB226C7" w14:textId="55FD3DDE" w:rsidR="00375EBE" w:rsidRPr="00524951" w:rsidRDefault="00375EBE" w:rsidP="002541A6">
      <w:pPr>
        <w:pStyle w:val="Heading3"/>
      </w:pPr>
      <w:bookmarkStart w:id="4" w:name="_Toc213433692"/>
      <w:r w:rsidRPr="00524951">
        <w:lastRenderedPageBreak/>
        <w:t>The Importance of Working Collaboratively with Other Professionals</w:t>
      </w:r>
      <w:bookmarkEnd w:id="4"/>
    </w:p>
    <w:p w14:paraId="38B760BA" w14:textId="71361E83" w:rsidR="00375EBE" w:rsidRPr="00375EBE" w:rsidRDefault="00375EBE" w:rsidP="00375EBE">
      <w:pPr>
        <w:jc w:val="both"/>
      </w:pPr>
      <w:r w:rsidRPr="00375EBE">
        <w:t xml:space="preserve">Collaborating with other professionals is a crucial way of working with people with complex needs. To Mrs Mann, effective collaboration between her carers, GP and physiotherapist would be used to ensure that her recovery is safe and well controlled. The Health and Social Care Act 2012 </w:t>
      </w:r>
      <w:r w:rsidR="00524951" w:rsidRPr="00375EBE">
        <w:t>promote</w:t>
      </w:r>
      <w:r w:rsidRPr="00375EBE">
        <w:t xml:space="preserve"> integrated working between services in such a way that individuals receive congruent and highly coordinated care.</w:t>
      </w:r>
    </w:p>
    <w:p w14:paraId="0B3005BD" w14:textId="77777777" w:rsidR="00375EBE" w:rsidRPr="00375EBE" w:rsidRDefault="00375EBE" w:rsidP="00375EBE">
      <w:pPr>
        <w:jc w:val="both"/>
      </w:pPr>
      <w:r w:rsidRPr="00375EBE">
        <w:t>The role of every professional is significant. The carers assist in the day-to-day needs of the patient, the physiotherapist assists with her mobility and exercises, as well as the GP oversees her medication and general health. It minimizes the chances of errors when they communicate clearly and have periodic reviews (NHS England, 2019). In the case of Mrs Mann, a delay in her medication could have been prevented in case communication between the two professionals was more comfortable.</w:t>
      </w:r>
    </w:p>
    <w:p w14:paraId="0736ABE8" w14:textId="77777777" w:rsidR="00375EBE" w:rsidRPr="00375EBE" w:rsidRDefault="00375EBE" w:rsidP="00375EBE">
      <w:pPr>
        <w:jc w:val="both"/>
      </w:pPr>
      <w:r w:rsidRPr="00375EBE">
        <w:t>Respect and understanding between professionals is also required in collaboration. The sharing of care plans and secure communication systems, as well as meetings, keep all people informed. It is also relevant that the individual knows his/her role and listens to other people (Trevithick, 2012). The teamwork may be challenging due to obstacles such as time pressure, the lack of clarity in responsibilities or insufficient documentation (Glasby and Dickinson, 2014), and thus, training and frequent reflections can be used to enhance practice.</w:t>
      </w:r>
    </w:p>
    <w:p w14:paraId="53ECAD25" w14:textId="24E7ADA9" w:rsidR="00375EBE" w:rsidRDefault="00375EBE" w:rsidP="00375EBE">
      <w:pPr>
        <w:jc w:val="both"/>
      </w:pPr>
      <w:r w:rsidRPr="00375EBE">
        <w:t>The concept of teamwork may be supported by the proposed ideas about the Berlo (1960) model usage as well since effective communication among professionals allows avoiding misunderstandings and duplication of messages and feedback. In general, effective team working can contribute to the faster recovery of Mrs Mann, minimizing risks and providing her with safe and person-</w:t>
      </w:r>
      <w:r w:rsidR="00524951" w:rsidRPr="00375EBE">
        <w:t>centred</w:t>
      </w:r>
      <w:r w:rsidRPr="00375EBE">
        <w:t xml:space="preserve"> care by all the participants.</w:t>
      </w:r>
    </w:p>
    <w:p w14:paraId="299E5209" w14:textId="6FF215A8" w:rsidR="00524951" w:rsidRPr="00524951" w:rsidRDefault="00524951" w:rsidP="004A2BB7">
      <w:pPr>
        <w:pStyle w:val="Heading5"/>
      </w:pPr>
      <w:r w:rsidRPr="00524951">
        <w:t>Conclusion</w:t>
      </w:r>
    </w:p>
    <w:p w14:paraId="687870AF" w14:textId="4DAD5D83" w:rsidR="00524951" w:rsidRDefault="00524951" w:rsidP="00375EBE">
      <w:pPr>
        <w:jc w:val="both"/>
      </w:pPr>
      <w:r w:rsidRPr="00524951">
        <w:t>The case of Mrs Mann demonstrates the role of communication and record keeping coupled with teamwork in providing quality care. The application of Berlo (1960) SMCR model assists the carers to tailor their communication to bypass certain barriers such as language difference and ensure that service users comprehend what is going on. The Data Protection Act 2018 provides guidance in the form of good record keeping facilitating safe information sharing and evident care. By working together, professionals, such as the GPs, physiotherapists and carers, will make care more regular and individual. All these areas contribute to upholding dignity, equality and trust which are the key concepts of health and social care practice. Considering such cases, the personnel can study how better they could work in the future and ensure that individuals such as Mrs Mann are provided with safe and supportive care.</w:t>
      </w:r>
    </w:p>
    <w:p w14:paraId="144D31E3" w14:textId="77777777" w:rsidR="00524951" w:rsidRDefault="00524951" w:rsidP="00524951">
      <w:pPr>
        <w:jc w:val="both"/>
        <w:rPr>
          <w:b/>
          <w:bCs/>
        </w:rPr>
      </w:pPr>
    </w:p>
    <w:p w14:paraId="6B015658" w14:textId="77777777" w:rsidR="00524951" w:rsidRDefault="00524951" w:rsidP="00524951">
      <w:pPr>
        <w:jc w:val="both"/>
        <w:rPr>
          <w:b/>
          <w:bCs/>
        </w:rPr>
      </w:pPr>
    </w:p>
    <w:p w14:paraId="7F9DB29C" w14:textId="2145BA83" w:rsidR="00026672" w:rsidRDefault="00026672" w:rsidP="00524951">
      <w:pPr>
        <w:jc w:val="both"/>
        <w:rPr>
          <w:b/>
          <w:bCs/>
        </w:rPr>
      </w:pPr>
    </w:p>
    <w:p w14:paraId="71C2D47C" w14:textId="070A4388" w:rsidR="00524951" w:rsidRPr="00524951" w:rsidRDefault="00026672" w:rsidP="009A21DC">
      <w:pPr>
        <w:rPr>
          <w:b/>
          <w:bCs/>
        </w:rPr>
      </w:pPr>
      <w:r>
        <w:rPr>
          <w:b/>
          <w:bCs/>
        </w:rPr>
        <w:br w:type="page"/>
      </w:r>
      <w:r w:rsidR="00524951" w:rsidRPr="00524951">
        <w:rPr>
          <w:b/>
          <w:bCs/>
        </w:rPr>
        <w:lastRenderedPageBreak/>
        <w:t>References</w:t>
      </w:r>
    </w:p>
    <w:p w14:paraId="5A5E8AC9" w14:textId="56C75164" w:rsidR="00524951" w:rsidRDefault="00524951" w:rsidP="00524951">
      <w:pPr>
        <w:jc w:val="both"/>
      </w:pPr>
      <w:r>
        <w:t>•Berlo, D. (1960) The Process of Communication: An Introduction to Theory and Practice. New York: Holt, Rinehart and Winston.</w:t>
      </w:r>
    </w:p>
    <w:p w14:paraId="77FF3707" w14:textId="378A499D" w:rsidR="00524951" w:rsidRDefault="00524951" w:rsidP="00524951">
      <w:pPr>
        <w:jc w:val="both"/>
      </w:pPr>
      <w:r>
        <w:t>•Care Quality Commission (CQC) (2015) Guidance for Providers on Meeting the Regulations. London: CQC.</w:t>
      </w:r>
    </w:p>
    <w:p w14:paraId="14EF0AF8" w14:textId="4F36CF2C" w:rsidR="00524951" w:rsidRDefault="00524951" w:rsidP="00524951">
      <w:pPr>
        <w:jc w:val="both"/>
      </w:pPr>
      <w:r>
        <w:t>•Department of Health and Social Care (2018) Data Protection Act 2018: A Guide for Health and Social Care Staff. London: DHSC.</w:t>
      </w:r>
    </w:p>
    <w:p w14:paraId="318496A6" w14:textId="04B69B3D" w:rsidR="00524951" w:rsidRDefault="00524951" w:rsidP="00524951">
      <w:pPr>
        <w:jc w:val="both"/>
      </w:pPr>
      <w:r>
        <w:t>•Equality Act 2010, c. 15. London: The Stationery Office.</w:t>
      </w:r>
    </w:p>
    <w:p w14:paraId="46942DE1" w14:textId="6C6E14E0" w:rsidR="00524951" w:rsidRDefault="00524951" w:rsidP="00524951">
      <w:pPr>
        <w:jc w:val="both"/>
      </w:pPr>
      <w:r>
        <w:t xml:space="preserve">•Glasby, J. and Dickinson, H. (2014) Partnership Working in Health and Social Care. 2nd </w:t>
      </w:r>
      <w:proofErr w:type="spellStart"/>
      <w:r>
        <w:t>edn</w:t>
      </w:r>
      <w:proofErr w:type="spellEnd"/>
      <w:r>
        <w:t>. Bristol: Policy Press.</w:t>
      </w:r>
    </w:p>
    <w:p w14:paraId="3DB0E6D5" w14:textId="5623CB89" w:rsidR="00524951" w:rsidRDefault="00524951" w:rsidP="00524951">
      <w:pPr>
        <w:jc w:val="both"/>
      </w:pPr>
      <w:r>
        <w:t>•Health and Social Care Act 2012, c. 7. London: The Stationery Office.</w:t>
      </w:r>
    </w:p>
    <w:p w14:paraId="469447E7" w14:textId="364431D8" w:rsidR="00524951" w:rsidRDefault="00524951" w:rsidP="00524951">
      <w:pPr>
        <w:jc w:val="both"/>
      </w:pPr>
      <w:r>
        <w:t>•Health and Social Care Information Centre (2016) Guide to Confidentiality in Health and Social Care. London: HSCIC.</w:t>
      </w:r>
    </w:p>
    <w:p w14:paraId="4197508B" w14:textId="7138F499" w:rsidR="00524951" w:rsidRDefault="00524951" w:rsidP="00524951">
      <w:pPr>
        <w:jc w:val="both"/>
      </w:pPr>
      <w:r>
        <w:t>•NHS Digital (2021) Records Management Code of Practice for Health and Social Care. London: NHS Digital.</w:t>
      </w:r>
    </w:p>
    <w:p w14:paraId="64F9C65A" w14:textId="310C7636" w:rsidR="00524951" w:rsidRDefault="00524951" w:rsidP="00524951">
      <w:pPr>
        <w:jc w:val="both"/>
      </w:pPr>
      <w:r>
        <w:t>•NHS England (2019) The NHS Long Term Plan. London: NHS England.</w:t>
      </w:r>
    </w:p>
    <w:p w14:paraId="5D3B4D13" w14:textId="461FCD5C" w:rsidR="00524951" w:rsidRDefault="00524951" w:rsidP="00524951">
      <w:pPr>
        <w:jc w:val="both"/>
      </w:pPr>
      <w:r>
        <w:t xml:space="preserve">•Silverman, D. (2020) Interpreting Qualitative Data. 6th </w:t>
      </w:r>
      <w:proofErr w:type="spellStart"/>
      <w:r>
        <w:t>edn</w:t>
      </w:r>
      <w:proofErr w:type="spellEnd"/>
      <w:r>
        <w:t>. London: Sage.</w:t>
      </w:r>
    </w:p>
    <w:p w14:paraId="4708BEB3" w14:textId="4D1610CC" w:rsidR="00524951" w:rsidRDefault="00524951" w:rsidP="00524951">
      <w:pPr>
        <w:jc w:val="both"/>
      </w:pPr>
      <w:r>
        <w:t xml:space="preserve">•Thompson, N. (2016) Communication and Language in Social Work. 2nd </w:t>
      </w:r>
      <w:proofErr w:type="spellStart"/>
      <w:r>
        <w:t>edn</w:t>
      </w:r>
      <w:proofErr w:type="spellEnd"/>
      <w:r>
        <w:t>. Basingstoke: Palgrave Macmillan.</w:t>
      </w:r>
    </w:p>
    <w:p w14:paraId="0A470F9A" w14:textId="628F3BCC" w:rsidR="00524951" w:rsidRPr="00524951" w:rsidRDefault="00524951" w:rsidP="00524951">
      <w:pPr>
        <w:jc w:val="both"/>
      </w:pPr>
      <w:r>
        <w:t xml:space="preserve">•Trevithick, P. (2012) Social Work Skills and Knowledge: A Practice Handbook. 3rd </w:t>
      </w:r>
      <w:proofErr w:type="spellStart"/>
      <w:r>
        <w:t>edn</w:t>
      </w:r>
      <w:proofErr w:type="spellEnd"/>
      <w:r>
        <w:t>. Maidenhead: Open University Press.</w:t>
      </w:r>
    </w:p>
    <w:sectPr w:rsidR="00524951" w:rsidRPr="00524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E204A"/>
    <w:multiLevelType w:val="hybridMultilevel"/>
    <w:tmpl w:val="23200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2933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EBE"/>
    <w:rsid w:val="00026672"/>
    <w:rsid w:val="001212CA"/>
    <w:rsid w:val="002541A6"/>
    <w:rsid w:val="0032210C"/>
    <w:rsid w:val="00375EBE"/>
    <w:rsid w:val="003D191F"/>
    <w:rsid w:val="004A2BB7"/>
    <w:rsid w:val="004E0116"/>
    <w:rsid w:val="00524951"/>
    <w:rsid w:val="005B30BB"/>
    <w:rsid w:val="005C2117"/>
    <w:rsid w:val="005F16B2"/>
    <w:rsid w:val="0064240A"/>
    <w:rsid w:val="00812697"/>
    <w:rsid w:val="008313F2"/>
    <w:rsid w:val="00856AB4"/>
    <w:rsid w:val="008608A8"/>
    <w:rsid w:val="008711BC"/>
    <w:rsid w:val="008E0CDF"/>
    <w:rsid w:val="009A21DC"/>
    <w:rsid w:val="00B45DDD"/>
    <w:rsid w:val="00B57148"/>
    <w:rsid w:val="00BE5CCF"/>
    <w:rsid w:val="00BF37A4"/>
    <w:rsid w:val="00D07468"/>
    <w:rsid w:val="00D336F0"/>
    <w:rsid w:val="00DC6F2A"/>
    <w:rsid w:val="00E37334"/>
    <w:rsid w:val="00E5641B"/>
    <w:rsid w:val="00E64459"/>
    <w:rsid w:val="00EC2D67"/>
    <w:rsid w:val="00ED45A9"/>
    <w:rsid w:val="00F86CF7"/>
    <w:rsid w:val="00FC2FE4"/>
    <w:rsid w:val="00FF6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5B075"/>
  <w15:chartTrackingRefBased/>
  <w15:docId w15:val="{1519C05F-C6E7-4AFE-AF85-E351DFC46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E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5E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75E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75E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75E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5E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E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E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E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E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75E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75E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75E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75E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5E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E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E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EBE"/>
    <w:rPr>
      <w:rFonts w:eastAsiaTheme="majorEastAsia" w:cstheme="majorBidi"/>
      <w:color w:val="272727" w:themeColor="text1" w:themeTint="D8"/>
    </w:rPr>
  </w:style>
  <w:style w:type="paragraph" w:styleId="Title">
    <w:name w:val="Title"/>
    <w:basedOn w:val="Normal"/>
    <w:next w:val="Normal"/>
    <w:link w:val="TitleChar"/>
    <w:uiPriority w:val="10"/>
    <w:qFormat/>
    <w:rsid w:val="00375E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E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E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E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EBE"/>
    <w:pPr>
      <w:spacing w:before="160"/>
      <w:jc w:val="center"/>
    </w:pPr>
    <w:rPr>
      <w:i/>
      <w:iCs/>
      <w:color w:val="404040" w:themeColor="text1" w:themeTint="BF"/>
    </w:rPr>
  </w:style>
  <w:style w:type="character" w:customStyle="1" w:styleId="QuoteChar">
    <w:name w:val="Quote Char"/>
    <w:basedOn w:val="DefaultParagraphFont"/>
    <w:link w:val="Quote"/>
    <w:uiPriority w:val="29"/>
    <w:rsid w:val="00375EBE"/>
    <w:rPr>
      <w:i/>
      <w:iCs/>
      <w:color w:val="404040" w:themeColor="text1" w:themeTint="BF"/>
    </w:rPr>
  </w:style>
  <w:style w:type="paragraph" w:styleId="ListParagraph">
    <w:name w:val="List Paragraph"/>
    <w:basedOn w:val="Normal"/>
    <w:uiPriority w:val="34"/>
    <w:qFormat/>
    <w:rsid w:val="00375EBE"/>
    <w:pPr>
      <w:ind w:left="720"/>
      <w:contextualSpacing/>
    </w:pPr>
  </w:style>
  <w:style w:type="character" w:styleId="IntenseEmphasis">
    <w:name w:val="Intense Emphasis"/>
    <w:basedOn w:val="DefaultParagraphFont"/>
    <w:uiPriority w:val="21"/>
    <w:qFormat/>
    <w:rsid w:val="00375EBE"/>
    <w:rPr>
      <w:i/>
      <w:iCs/>
      <w:color w:val="2F5496" w:themeColor="accent1" w:themeShade="BF"/>
    </w:rPr>
  </w:style>
  <w:style w:type="paragraph" w:styleId="IntenseQuote">
    <w:name w:val="Intense Quote"/>
    <w:basedOn w:val="Normal"/>
    <w:next w:val="Normal"/>
    <w:link w:val="IntenseQuoteChar"/>
    <w:uiPriority w:val="30"/>
    <w:qFormat/>
    <w:rsid w:val="00375E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5EBE"/>
    <w:rPr>
      <w:i/>
      <w:iCs/>
      <w:color w:val="2F5496" w:themeColor="accent1" w:themeShade="BF"/>
    </w:rPr>
  </w:style>
  <w:style w:type="character" w:styleId="IntenseReference">
    <w:name w:val="Intense Reference"/>
    <w:basedOn w:val="DefaultParagraphFont"/>
    <w:uiPriority w:val="32"/>
    <w:qFormat/>
    <w:rsid w:val="00375EBE"/>
    <w:rPr>
      <w:b/>
      <w:bCs/>
      <w:smallCaps/>
      <w:color w:val="2F5496" w:themeColor="accent1" w:themeShade="BF"/>
      <w:spacing w:val="5"/>
    </w:rPr>
  </w:style>
  <w:style w:type="paragraph" w:styleId="TOCHeading">
    <w:name w:val="TOC Heading"/>
    <w:basedOn w:val="Heading1"/>
    <w:next w:val="Normal"/>
    <w:uiPriority w:val="39"/>
    <w:unhideWhenUsed/>
    <w:qFormat/>
    <w:rsid w:val="006424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F60BF"/>
    <w:pPr>
      <w:spacing w:after="100"/>
    </w:pPr>
  </w:style>
  <w:style w:type="paragraph" w:styleId="TOC2">
    <w:name w:val="toc 2"/>
    <w:basedOn w:val="Normal"/>
    <w:next w:val="Normal"/>
    <w:autoRedefine/>
    <w:uiPriority w:val="39"/>
    <w:unhideWhenUsed/>
    <w:rsid w:val="00FF60BF"/>
    <w:pPr>
      <w:spacing w:after="100"/>
      <w:ind w:left="220"/>
    </w:pPr>
  </w:style>
  <w:style w:type="paragraph" w:styleId="TOC3">
    <w:name w:val="toc 3"/>
    <w:basedOn w:val="Normal"/>
    <w:next w:val="Normal"/>
    <w:autoRedefine/>
    <w:uiPriority w:val="39"/>
    <w:unhideWhenUsed/>
    <w:rsid w:val="00FF60BF"/>
    <w:pPr>
      <w:spacing w:after="100"/>
      <w:ind w:left="440"/>
    </w:pPr>
  </w:style>
  <w:style w:type="character" w:styleId="Hyperlink">
    <w:name w:val="Hyperlink"/>
    <w:basedOn w:val="DefaultParagraphFont"/>
    <w:uiPriority w:val="99"/>
    <w:unhideWhenUsed/>
    <w:rsid w:val="00FF60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445EC-175E-4FD8-8401-42B40E57B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1632</TotalTime>
  <Pages>6</Pages>
  <Words>1625</Words>
  <Characters>8886</Characters>
  <Application>Microsoft Office Word</Application>
  <DocSecurity>0</DocSecurity>
  <Lines>194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Bi</dc:creator>
  <cp:keywords/>
  <dc:description/>
  <cp:lastModifiedBy>Nusrat Bi</cp:lastModifiedBy>
  <cp:revision>30</cp:revision>
  <dcterms:created xsi:type="dcterms:W3CDTF">2025-11-04T19:49:00Z</dcterms:created>
  <dcterms:modified xsi:type="dcterms:W3CDTF">2025-11-18T12:29:00Z</dcterms:modified>
</cp:coreProperties>
</file>