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F0558F2"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 xml:space="preserve">Learner’s name: </w:t>
            </w:r>
          </w:p>
          <w:p w14:paraId="6B323525"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 xml:space="preserve">James Wynne </w:t>
            </w:r>
          </w:p>
          <w:p w14:paraId="002DC89A" w14:textId="77777777" w:rsidR="00E068C8" w:rsidRPr="00137D1F" w:rsidRDefault="00E068C8" w:rsidP="00E068C8">
            <w:pPr>
              <w:overflowPunct/>
              <w:autoSpaceDE/>
              <w:autoSpaceDN/>
              <w:adjustRightInd/>
              <w:ind w:right="-957"/>
              <w:textAlignment w:val="auto"/>
              <w:rPr>
                <w:rFonts w:ascii="Times New Roman" w:hAnsi="Times New Roman" w:cs="Times New Roman"/>
                <w:color w:val="auto"/>
                <w:sz w:val="44"/>
                <w:szCs w:val="22"/>
              </w:rPr>
            </w:pPr>
          </w:p>
          <w:p w14:paraId="77756EAB"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Email address:</w:t>
            </w:r>
          </w:p>
          <w:p w14:paraId="6F239533"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2328790@student.uwtsd.ac.uk</w:t>
            </w:r>
          </w:p>
          <w:p w14:paraId="431FB027"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p>
          <w:p w14:paraId="31B58DED"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r w:rsidRPr="00137D1F">
              <w:rPr>
                <w:rFonts w:ascii="Times New Roman" w:hAnsi="Times New Roman" w:cs="Times New Roman"/>
                <w:b/>
                <w:color w:val="auto"/>
                <w:sz w:val="44"/>
                <w:szCs w:val="22"/>
              </w:rPr>
              <w:t>Learner’s University Registration Number:</w:t>
            </w:r>
          </w:p>
          <w:p w14:paraId="1D129B0F" w14:textId="77777777" w:rsidR="00E068C8" w:rsidRPr="00137D1F" w:rsidRDefault="00E068C8" w:rsidP="00E068C8">
            <w:pPr>
              <w:ind w:right="-957"/>
              <w:rPr>
                <w:rFonts w:ascii="Times New Roman" w:hAnsi="Times New Roman" w:cs="Times New Roman"/>
                <w:sz w:val="44"/>
                <w:szCs w:val="22"/>
              </w:rPr>
            </w:pPr>
            <w:r w:rsidRPr="00137D1F">
              <w:rPr>
                <w:rFonts w:ascii="Times New Roman" w:hAnsi="Times New Roman" w:cs="Times New Roman"/>
                <w:sz w:val="44"/>
                <w:szCs w:val="22"/>
              </w:rPr>
              <w:t>2328790</w:t>
            </w:r>
          </w:p>
          <w:p w14:paraId="6DD35FBE" w14:textId="77777777" w:rsidR="00E068C8" w:rsidRPr="00137D1F" w:rsidRDefault="00E068C8" w:rsidP="00E068C8">
            <w:pPr>
              <w:overflowPunct/>
              <w:autoSpaceDE/>
              <w:autoSpaceDN/>
              <w:adjustRightInd/>
              <w:ind w:right="-957"/>
              <w:textAlignment w:val="auto"/>
              <w:rPr>
                <w:rFonts w:ascii="Times New Roman" w:hAnsi="Times New Roman" w:cs="Times New Roman"/>
                <w:b/>
                <w:color w:val="auto"/>
                <w:sz w:val="44"/>
                <w:szCs w:val="22"/>
              </w:rPr>
            </w:pPr>
          </w:p>
          <w:p w14:paraId="5F84129B" w14:textId="610CFF4C" w:rsidR="0085230E" w:rsidRPr="005D3F07" w:rsidRDefault="00E068C8" w:rsidP="00E068C8">
            <w:pPr>
              <w:overflowPunct/>
              <w:autoSpaceDE/>
              <w:autoSpaceDN/>
              <w:adjustRightInd/>
              <w:ind w:right="-957"/>
              <w:textAlignment w:val="auto"/>
              <w:rPr>
                <w:rFonts w:ascii="Times New Roman" w:hAnsi="Times New Roman" w:cs="Times New Roman"/>
                <w:b/>
                <w:color w:val="auto"/>
                <w:sz w:val="48"/>
              </w:rPr>
            </w:pPr>
            <w:r w:rsidRPr="00137D1F">
              <w:rPr>
                <w:rFonts w:ascii="Times New Roman" w:hAnsi="Times New Roman" w:cs="Times New Roman"/>
                <w:b/>
                <w:color w:val="auto"/>
                <w:sz w:val="44"/>
                <w:szCs w:val="22"/>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E068C8">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DE7C47" w14:textId="77777777" w:rsidR="00672E00"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DD3B2EF" w14:textId="77777777" w:rsidR="00672E00" w:rsidRDefault="00672E00" w:rsidP="00FF7EBB">
            <w:pPr>
              <w:jc w:val="both"/>
              <w:rPr>
                <w:sz w:val="24"/>
                <w:szCs w:val="24"/>
              </w:rPr>
            </w:pPr>
          </w:p>
          <w:p w14:paraId="6D846239" w14:textId="77777777" w:rsidR="00672E00" w:rsidRDefault="00672E00" w:rsidP="00672E00">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0AB91806" w:rsidR="006108C9" w:rsidRDefault="00BB7FD2" w:rsidP="00FF7EBB">
            <w:pPr>
              <w:jc w:val="both"/>
              <w:rPr>
                <w:sz w:val="24"/>
                <w:szCs w:val="24"/>
              </w:rPr>
            </w:pPr>
            <w:r>
              <w:rPr>
                <w:sz w:val="24"/>
                <w:szCs w:val="24"/>
              </w:rPr>
              <w:t xml:space="preserve"> </w:t>
            </w:r>
          </w:p>
          <w:p w14:paraId="0C643223" w14:textId="77777777" w:rsidR="00141772" w:rsidRPr="00141772" w:rsidRDefault="00141772" w:rsidP="00141772">
            <w:pPr>
              <w:spacing w:line="360" w:lineRule="auto"/>
              <w:jc w:val="both"/>
              <w:rPr>
                <w:sz w:val="22"/>
                <w:szCs w:val="22"/>
              </w:rPr>
            </w:pPr>
            <w:r w:rsidRPr="00141772">
              <w:rPr>
                <w:sz w:val="22"/>
                <w:szCs w:val="22"/>
              </w:rPr>
              <w:t>Although my primary role is within children's services, I must also consider adult safeguarding, mainly when working with adults within families. This is a crucial aspect of the Social Services and Well-being (Wales) Act 2014 (Part 7). This legislation created a strong legal framework for safeguarding adults in Wales. It outlines and describes an "adult at risk" as an individual who is either currently experiencing or at risk of abuse or neglect, has care and support needs, and is unable to protect themselves (Welsh Government, 2014). The Act replaced older guidance and ensured that local authorities and partner agencies now have clear legal responsibilities to protect these adults and provide a consistent response.</w:t>
            </w:r>
          </w:p>
          <w:p w14:paraId="7AE42B3F" w14:textId="77777777" w:rsidR="00141772" w:rsidRPr="00141772" w:rsidRDefault="00141772" w:rsidP="00141772">
            <w:pPr>
              <w:spacing w:line="360" w:lineRule="auto"/>
              <w:jc w:val="both"/>
              <w:rPr>
                <w:sz w:val="22"/>
                <w:szCs w:val="22"/>
              </w:rPr>
            </w:pPr>
          </w:p>
          <w:p w14:paraId="1E5C1B7B" w14:textId="77777777" w:rsidR="00141772" w:rsidRPr="00141772" w:rsidRDefault="00141772" w:rsidP="00141772">
            <w:pPr>
              <w:spacing w:line="360" w:lineRule="auto"/>
              <w:jc w:val="both"/>
              <w:rPr>
                <w:sz w:val="22"/>
                <w:szCs w:val="22"/>
              </w:rPr>
            </w:pPr>
            <w:r w:rsidRPr="00141772">
              <w:rPr>
                <w:sz w:val="22"/>
                <w:szCs w:val="22"/>
              </w:rPr>
              <w:t>The Wales Safeguarding Procedures (Welsh Government, 2025) offer national guidelines to ensure that safeguarding practices are consistent across Wales. These guidelines emphasise a person-centred, strengths-based approach, which balances the need for protection while respecting people's autonomy and dignity in line with social work values and ethics. The Single Point of Access (</w:t>
            </w:r>
            <w:proofErr w:type="spellStart"/>
            <w:r w:rsidRPr="00141772">
              <w:rPr>
                <w:sz w:val="22"/>
                <w:szCs w:val="22"/>
              </w:rPr>
              <w:t>SPoA</w:t>
            </w:r>
            <w:proofErr w:type="spellEnd"/>
            <w:r w:rsidRPr="00141772">
              <w:rPr>
                <w:sz w:val="22"/>
                <w:szCs w:val="22"/>
              </w:rPr>
              <w:t>) team is crucial in assessing adult safeguarding referrals in my local authority. The team checks incoming concerns to see if they meet the safeguarding threshold, ensuring that responses are proportionate and avoid unnecessary intervention.</w:t>
            </w:r>
          </w:p>
          <w:p w14:paraId="4E970072" w14:textId="77777777" w:rsidR="00141772" w:rsidRPr="00141772" w:rsidRDefault="00141772" w:rsidP="00141772">
            <w:pPr>
              <w:spacing w:line="360" w:lineRule="auto"/>
              <w:jc w:val="both"/>
              <w:rPr>
                <w:sz w:val="22"/>
                <w:szCs w:val="22"/>
              </w:rPr>
            </w:pPr>
          </w:p>
          <w:p w14:paraId="11F8E930" w14:textId="77777777" w:rsidR="00141772" w:rsidRPr="00141772" w:rsidRDefault="00141772" w:rsidP="00141772">
            <w:pPr>
              <w:spacing w:line="360" w:lineRule="auto"/>
              <w:jc w:val="both"/>
              <w:rPr>
                <w:sz w:val="22"/>
                <w:szCs w:val="22"/>
              </w:rPr>
            </w:pPr>
            <w:r w:rsidRPr="00141772">
              <w:rPr>
                <w:sz w:val="22"/>
                <w:szCs w:val="22"/>
              </w:rPr>
              <w:t xml:space="preserve">On a regional level, the Safeguarding Adults Board ensures local safeguarding efforts align with national standards. The board also reviews serious incidents through Safeguarding Adult Reviews </w:t>
            </w:r>
            <w:r w:rsidRPr="00141772">
              <w:rPr>
                <w:sz w:val="22"/>
                <w:szCs w:val="22"/>
              </w:rPr>
              <w:lastRenderedPageBreak/>
              <w:t>(SARs). It promotes shared learning among agencies, which aligns with the statutory duties set out by the SSWBA (Welsh Government, 2014).</w:t>
            </w:r>
          </w:p>
          <w:p w14:paraId="15168CC3" w14:textId="77777777" w:rsidR="00141772" w:rsidRPr="00141772" w:rsidRDefault="00141772" w:rsidP="00141772">
            <w:pPr>
              <w:spacing w:line="360" w:lineRule="auto"/>
              <w:jc w:val="both"/>
              <w:rPr>
                <w:sz w:val="22"/>
                <w:szCs w:val="22"/>
              </w:rPr>
            </w:pPr>
          </w:p>
          <w:p w14:paraId="1D22E2C5" w14:textId="77777777" w:rsidR="00141772" w:rsidRPr="00141772" w:rsidRDefault="00141772" w:rsidP="00141772">
            <w:pPr>
              <w:spacing w:line="360" w:lineRule="auto"/>
              <w:jc w:val="both"/>
              <w:rPr>
                <w:sz w:val="22"/>
                <w:szCs w:val="22"/>
              </w:rPr>
            </w:pPr>
            <w:r w:rsidRPr="00141772">
              <w:rPr>
                <w:sz w:val="22"/>
                <w:szCs w:val="22"/>
              </w:rPr>
              <w:t>Before the SSWBA, adult safeguarding in Wales was governed by the In Safe Hands policy (National Assembly for Wales, 2000). While this policy outlined the roles and responsibilities of local authorities and agencies, it didn't have the force of law, leading to uneven implementation across Wales (Welsh Institute for Health and Social Care, 2010). Additional legislation, like The Mental Health Act (1983) (as amended) and The Mental Capacity Act (2005), offered protections for individuals who struggled with decision-making. Still, these laws didn't provide a complete safeguarding framework, leaving gaps in protection in adult social care (Braye et al., 2017). The SSWBA addressed these gaps by making safeguarding a statutory duty, focusing on protecting rights while safeguarding adults.</w:t>
            </w:r>
          </w:p>
          <w:p w14:paraId="5E624F72" w14:textId="77777777" w:rsidR="00141772" w:rsidRPr="00141772" w:rsidRDefault="00141772" w:rsidP="00141772">
            <w:pPr>
              <w:spacing w:line="360" w:lineRule="auto"/>
              <w:jc w:val="both"/>
              <w:rPr>
                <w:sz w:val="22"/>
                <w:szCs w:val="22"/>
              </w:rPr>
            </w:pPr>
          </w:p>
          <w:p w14:paraId="7C8EA4DF" w14:textId="77777777" w:rsidR="00141772" w:rsidRPr="00141772" w:rsidRDefault="00141772" w:rsidP="00141772">
            <w:pPr>
              <w:spacing w:line="360" w:lineRule="auto"/>
              <w:jc w:val="both"/>
              <w:rPr>
                <w:sz w:val="22"/>
                <w:szCs w:val="22"/>
              </w:rPr>
            </w:pPr>
            <w:r w:rsidRPr="00141772">
              <w:rPr>
                <w:sz w:val="22"/>
                <w:szCs w:val="22"/>
              </w:rPr>
              <w:t>Safeguarding works best when there's strong collaboration between agencies. Social care, health services, police, and third-sector organisations must work together, especially when handling more complex cases like financial exploitation or self-neglect. This multi-agency approach allows for shared risk assessments and intervention plans. The Wales Safeguarding Procedures (Welsh Government, 2025) emphasise the importance of early intervention and information-sharing to respond quickly and appropriately.</w:t>
            </w:r>
          </w:p>
          <w:p w14:paraId="075804C3" w14:textId="77777777" w:rsidR="00141772" w:rsidRPr="00141772" w:rsidRDefault="00141772" w:rsidP="00141772">
            <w:pPr>
              <w:spacing w:line="360" w:lineRule="auto"/>
              <w:jc w:val="both"/>
              <w:rPr>
                <w:sz w:val="22"/>
                <w:szCs w:val="22"/>
              </w:rPr>
            </w:pPr>
          </w:p>
          <w:p w14:paraId="0AF2C893" w14:textId="77777777" w:rsidR="00141772" w:rsidRPr="00141772" w:rsidRDefault="00141772" w:rsidP="00141772">
            <w:pPr>
              <w:spacing w:line="360" w:lineRule="auto"/>
              <w:jc w:val="both"/>
              <w:rPr>
                <w:sz w:val="22"/>
                <w:szCs w:val="22"/>
              </w:rPr>
            </w:pPr>
            <w:r w:rsidRPr="00141772">
              <w:rPr>
                <w:sz w:val="22"/>
                <w:szCs w:val="22"/>
              </w:rPr>
              <w:t>The SSWBA has significantly impacted adult safeguarding by offering a solid legal framework and more transparent accountability for local authorities and agencies. However, as with any system, challenges remain, particularly around capacity, collaboration, and strength-based and person-centred safeguarding. Improving training, strengthening partnerships, and ensuring enough resources will be essential in ensuring safeguarding works effectively for adults at risk.</w:t>
            </w:r>
          </w:p>
          <w:p w14:paraId="2BD4AD3E" w14:textId="77777777" w:rsidR="00141772" w:rsidRDefault="00141772" w:rsidP="00141772">
            <w:pPr>
              <w:jc w:val="both"/>
              <w:rPr>
                <w:b/>
                <w:bCs/>
                <w:sz w:val="22"/>
                <w:szCs w:val="22"/>
              </w:rPr>
            </w:pPr>
          </w:p>
          <w:p w14:paraId="547443B0" w14:textId="3D37AE00" w:rsidR="00672E00" w:rsidRPr="00672E00" w:rsidRDefault="00672E00" w:rsidP="00141772">
            <w:pPr>
              <w:jc w:val="both"/>
              <w:rPr>
                <w:b/>
                <w:bCs/>
                <w:sz w:val="22"/>
                <w:szCs w:val="22"/>
              </w:rPr>
            </w:pPr>
            <w:r w:rsidRPr="00672E00">
              <w:rPr>
                <w:b/>
                <w:bCs/>
                <w:sz w:val="22"/>
                <w:szCs w:val="22"/>
              </w:rPr>
              <w:t xml:space="preserve">Word count: </w:t>
            </w:r>
            <w:r w:rsidR="00141772">
              <w:rPr>
                <w:b/>
                <w:bCs/>
                <w:sz w:val="22"/>
                <w:szCs w:val="22"/>
              </w:rPr>
              <w:t>483.</w:t>
            </w:r>
            <w:r w:rsidR="00784245">
              <w:rPr>
                <w:b/>
                <w:bCs/>
                <w:sz w:val="22"/>
                <w:szCs w:val="22"/>
              </w:rPr>
              <w:t xml:space="preserve"> </w:t>
            </w:r>
          </w:p>
          <w:p w14:paraId="4A95F4DB" w14:textId="77777777" w:rsidR="00FC0334" w:rsidRDefault="00FC0334" w:rsidP="00FF7EBB">
            <w:pPr>
              <w:jc w:val="both"/>
              <w:rPr>
                <w:sz w:val="24"/>
                <w:szCs w:val="24"/>
              </w:rPr>
            </w:pPr>
          </w:p>
          <w:p w14:paraId="03BD6D93" w14:textId="56AD433A" w:rsidR="007A628F" w:rsidRPr="008B28E7" w:rsidRDefault="007A628F" w:rsidP="00672E0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Default="00AA666E" w:rsidP="00FF7EBB">
      <w:pPr>
        <w:jc w:val="both"/>
        <w:rPr>
          <w:sz w:val="24"/>
          <w:szCs w:val="24"/>
        </w:rPr>
      </w:pPr>
    </w:p>
    <w:p w14:paraId="3FB7D3D3" w14:textId="77777777" w:rsidR="00672E00" w:rsidRDefault="00672E00" w:rsidP="00FF7EBB">
      <w:pPr>
        <w:jc w:val="both"/>
        <w:rPr>
          <w:sz w:val="24"/>
          <w:szCs w:val="24"/>
        </w:rPr>
      </w:pPr>
    </w:p>
    <w:p w14:paraId="401EABD7" w14:textId="77777777" w:rsidR="00672E00" w:rsidRPr="008B28E7" w:rsidRDefault="00672E00"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0FD477D" w14:textId="3FAC8351" w:rsidR="00672E00"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D71F9B0" w14:textId="77777777" w:rsidR="00672E00" w:rsidRDefault="00672E00" w:rsidP="00FC0334">
            <w:pPr>
              <w:jc w:val="both"/>
              <w:rPr>
                <w:i/>
                <w:sz w:val="24"/>
                <w:szCs w:val="24"/>
              </w:rPr>
            </w:pPr>
          </w:p>
          <w:p w14:paraId="0324A5EC" w14:textId="44A0DF80" w:rsidR="00FF3870" w:rsidRPr="00FF3870" w:rsidRDefault="00FF3870" w:rsidP="00FF3870">
            <w:pPr>
              <w:spacing w:line="360" w:lineRule="auto"/>
              <w:jc w:val="both"/>
              <w:rPr>
                <w:sz w:val="22"/>
                <w:szCs w:val="22"/>
              </w:rPr>
            </w:pPr>
            <w:r w:rsidRPr="00FF3870">
              <w:rPr>
                <w:sz w:val="22"/>
                <w:szCs w:val="22"/>
              </w:rPr>
              <w:t xml:space="preserve">When comparing the </w:t>
            </w:r>
            <w:r w:rsidR="006E0559" w:rsidRPr="00FF3870">
              <w:rPr>
                <w:sz w:val="22"/>
                <w:szCs w:val="22"/>
              </w:rPr>
              <w:t>legislation,</w:t>
            </w:r>
            <w:r w:rsidRPr="00FF3870">
              <w:rPr>
                <w:sz w:val="22"/>
                <w:szCs w:val="22"/>
              </w:rPr>
              <w:t xml:space="preserve"> I use in children’s services to that in adult safeguarding, the first significant difference is the legal threshold for intervention. In children’s safeguarding, the Children Act </w:t>
            </w:r>
            <w:r w:rsidR="006E0559" w:rsidRPr="00FF3870">
              <w:rPr>
                <w:sz w:val="22"/>
                <w:szCs w:val="22"/>
              </w:rPr>
              <w:t>1989,</w:t>
            </w:r>
            <w:r w:rsidRPr="00FF3870">
              <w:rPr>
                <w:sz w:val="22"/>
                <w:szCs w:val="22"/>
              </w:rPr>
              <w:t xml:space="preserve"> and the Social Services and Well-being (Wales) Act 2014 require local authorities to intervene when a child is at risk of significant harm (Children Act 1989, Section 47).</w:t>
            </w:r>
          </w:p>
          <w:p w14:paraId="2FFDFFAA" w14:textId="77777777" w:rsidR="00FF3870" w:rsidRPr="00FF3870" w:rsidRDefault="00FF3870" w:rsidP="00FF3870">
            <w:pPr>
              <w:spacing w:line="360" w:lineRule="auto"/>
              <w:jc w:val="both"/>
              <w:rPr>
                <w:sz w:val="22"/>
                <w:szCs w:val="22"/>
              </w:rPr>
            </w:pPr>
          </w:p>
          <w:p w14:paraId="3E45E7B0" w14:textId="77777777" w:rsidR="00FF3870" w:rsidRPr="00FF3870" w:rsidRDefault="00FF3870" w:rsidP="00FF3870">
            <w:pPr>
              <w:spacing w:line="360" w:lineRule="auto"/>
              <w:jc w:val="both"/>
              <w:rPr>
                <w:sz w:val="22"/>
                <w:szCs w:val="22"/>
              </w:rPr>
            </w:pPr>
            <w:r w:rsidRPr="00FF3870">
              <w:rPr>
                <w:sz w:val="22"/>
                <w:szCs w:val="22"/>
              </w:rPr>
              <w:t xml:space="preserve">In contrast, adult safeguarding under the Social Services and Well-being (Wales) Act 2014 is only triggered when an adult meets specific criteria. They must be experiencing or at risk of abuse or neglect, have care and support needs, and be unable to protect themselves (Welsh Government, 2014). This differs from my role in children’s services, where safeguarding applies to all children, regardless of specific circumstances. Adults have more autonomy; even if they are at risk, they can make decisions that professionals may see as unwise (Mental Capacity Act 2005). In children’s safeguarding, we tend to take a proactive approach and intervene early to prevent harm. Still, in adult safeguarding, the focus shifts to balancing protection with respecting the adult’s choices. </w:t>
            </w:r>
          </w:p>
          <w:p w14:paraId="1AD62DFF" w14:textId="77777777" w:rsidR="00FF3870" w:rsidRPr="00FF3870" w:rsidRDefault="00FF3870" w:rsidP="00FF3870">
            <w:pPr>
              <w:spacing w:line="360" w:lineRule="auto"/>
              <w:jc w:val="both"/>
              <w:rPr>
                <w:sz w:val="22"/>
                <w:szCs w:val="22"/>
              </w:rPr>
            </w:pPr>
          </w:p>
          <w:p w14:paraId="25AF480F" w14:textId="53E51382" w:rsidR="00FF3870" w:rsidRPr="00FF3870" w:rsidRDefault="00FF3870" w:rsidP="00FF3870">
            <w:pPr>
              <w:spacing w:line="360" w:lineRule="auto"/>
              <w:jc w:val="both"/>
              <w:rPr>
                <w:sz w:val="22"/>
                <w:szCs w:val="22"/>
              </w:rPr>
            </w:pPr>
            <w:r w:rsidRPr="00FF3870">
              <w:rPr>
                <w:sz w:val="22"/>
                <w:szCs w:val="22"/>
              </w:rPr>
              <w:t>Another key difference lies in the role of parental responsibility versus adult autonomy. In children’s safeguarding, decisions are usually made in consultation with parents or carers unless they present a risk to the child (The Children Act 1989). However, in adult safeguarding, interventions must respect the person’s wishes unless they lack capacity or are at significant risk (Local Government Association, 2017). This often leads to ethical dilemmas, mainly when adults refuse help despite clear risks to their well-being.</w:t>
            </w:r>
          </w:p>
          <w:p w14:paraId="506C38AC" w14:textId="77777777" w:rsidR="00FF3870" w:rsidRPr="00FF3870" w:rsidRDefault="00FF3870" w:rsidP="00FF3870">
            <w:pPr>
              <w:spacing w:line="360" w:lineRule="auto"/>
              <w:jc w:val="both"/>
              <w:rPr>
                <w:sz w:val="22"/>
                <w:szCs w:val="22"/>
              </w:rPr>
            </w:pPr>
          </w:p>
          <w:p w14:paraId="62C6F46D" w14:textId="77777777" w:rsidR="00FF3870" w:rsidRPr="00FF3870" w:rsidRDefault="00FF3870" w:rsidP="00FF3870">
            <w:pPr>
              <w:spacing w:line="360" w:lineRule="auto"/>
              <w:jc w:val="both"/>
              <w:rPr>
                <w:sz w:val="22"/>
                <w:szCs w:val="22"/>
              </w:rPr>
            </w:pPr>
            <w:r w:rsidRPr="00FF3870">
              <w:rPr>
                <w:sz w:val="22"/>
                <w:szCs w:val="22"/>
              </w:rPr>
              <w:t>Multi-agency collaboration also works differently. In children’s safeguarding, agencies like social services, education, health, and the police follow set statutory procedures and often work under child protection plans. Although multi-agency working is still essential in adult safeguarding, the response is less structured because of the focus on proportionality and respecting the adult’s right to choose how involved they want to be (Wales Safeguarding Procedures, 2025).</w:t>
            </w:r>
          </w:p>
          <w:p w14:paraId="059BE08E" w14:textId="77777777" w:rsidR="00FF3870" w:rsidRPr="00FF3870" w:rsidRDefault="00FF3870" w:rsidP="00FF3870">
            <w:pPr>
              <w:spacing w:line="360" w:lineRule="auto"/>
              <w:jc w:val="both"/>
              <w:rPr>
                <w:sz w:val="22"/>
                <w:szCs w:val="22"/>
              </w:rPr>
            </w:pPr>
          </w:p>
          <w:p w14:paraId="5804DA18" w14:textId="48024ABA" w:rsidR="00672E00" w:rsidRDefault="00FF3870" w:rsidP="00FF3870">
            <w:pPr>
              <w:spacing w:line="360" w:lineRule="auto"/>
              <w:jc w:val="both"/>
              <w:rPr>
                <w:sz w:val="22"/>
                <w:szCs w:val="22"/>
              </w:rPr>
            </w:pPr>
            <w:r w:rsidRPr="00FF3870">
              <w:rPr>
                <w:sz w:val="22"/>
                <w:szCs w:val="22"/>
              </w:rPr>
              <w:t xml:space="preserve">Risk assessment and intervention models vary. In children’s services, we focus on early intervention like Team Around the Family so we can put support in place before risks become serious. In adult safeguarding, the response is often more reactive, coming into play when harm has already happened or when risks have increased significantly. While both approaches prioritise a person-centred approach, adult safeguarding emphasises empowerment and choice, whereas children’s safeguarding prioritises protection. Although the core principles of safeguarding protection, prevention, and </w:t>
            </w:r>
            <w:r w:rsidRPr="00FF3870">
              <w:rPr>
                <w:sz w:val="22"/>
                <w:szCs w:val="22"/>
              </w:rPr>
              <w:lastRenderedPageBreak/>
              <w:t>partnership remain the same, the legal frameworks, ethical considerations, and practical approaches differ significantly. These differences reflect the distinct needs and rights of children and adults.</w:t>
            </w:r>
            <w:r w:rsidRPr="00FF3870">
              <w:rPr>
                <w:sz w:val="22"/>
                <w:szCs w:val="22"/>
              </w:rPr>
              <w:tab/>
            </w:r>
          </w:p>
          <w:p w14:paraId="75E2B045" w14:textId="77777777" w:rsidR="00FF3870" w:rsidRDefault="00FF3870" w:rsidP="00FF3870">
            <w:pPr>
              <w:jc w:val="both"/>
              <w:rPr>
                <w:i/>
                <w:sz w:val="24"/>
                <w:szCs w:val="24"/>
              </w:rPr>
            </w:pPr>
          </w:p>
          <w:p w14:paraId="0103061C" w14:textId="0A61D6ED" w:rsidR="00672E00" w:rsidRPr="00672E00" w:rsidRDefault="00672E00" w:rsidP="00672E00">
            <w:pPr>
              <w:jc w:val="both"/>
              <w:rPr>
                <w:b/>
                <w:bCs/>
                <w:sz w:val="22"/>
                <w:szCs w:val="22"/>
              </w:rPr>
            </w:pPr>
            <w:r w:rsidRPr="00672E00">
              <w:rPr>
                <w:b/>
                <w:bCs/>
                <w:sz w:val="22"/>
                <w:szCs w:val="22"/>
              </w:rPr>
              <w:t xml:space="preserve">Word count: </w:t>
            </w:r>
            <w:r>
              <w:rPr>
                <w:b/>
                <w:bCs/>
                <w:sz w:val="22"/>
                <w:szCs w:val="22"/>
              </w:rPr>
              <w:t>4</w:t>
            </w:r>
            <w:r w:rsidR="00FF3870">
              <w:rPr>
                <w:b/>
                <w:bCs/>
                <w:sz w:val="22"/>
                <w:szCs w:val="22"/>
              </w:rPr>
              <w:t>28.</w:t>
            </w:r>
          </w:p>
          <w:p w14:paraId="75D2D2B8" w14:textId="77777777" w:rsidR="00672E00" w:rsidRDefault="00672E00"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CB636" w14:textId="77777777" w:rsidR="00EA020A" w:rsidRDefault="00EA020A">
      <w:r>
        <w:separator/>
      </w:r>
    </w:p>
  </w:endnote>
  <w:endnote w:type="continuationSeparator" w:id="0">
    <w:p w14:paraId="10E284D5" w14:textId="77777777" w:rsidR="00EA020A" w:rsidRDefault="00EA0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22677" w14:textId="77777777" w:rsidR="00EA020A" w:rsidRDefault="00EA020A">
      <w:r>
        <w:separator/>
      </w:r>
    </w:p>
  </w:footnote>
  <w:footnote w:type="continuationSeparator" w:id="0">
    <w:p w14:paraId="17CB5D6B" w14:textId="77777777" w:rsidR="00EA020A" w:rsidRDefault="00EA0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CC2"/>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1772"/>
    <w:rsid w:val="001447F6"/>
    <w:rsid w:val="00147DE3"/>
    <w:rsid w:val="00150794"/>
    <w:rsid w:val="00151DA6"/>
    <w:rsid w:val="001608C4"/>
    <w:rsid w:val="00164832"/>
    <w:rsid w:val="00171418"/>
    <w:rsid w:val="001759BB"/>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2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BC3"/>
    <w:rsid w:val="003B16C7"/>
    <w:rsid w:val="003B3115"/>
    <w:rsid w:val="003B3D7F"/>
    <w:rsid w:val="003C19F1"/>
    <w:rsid w:val="003C3C67"/>
    <w:rsid w:val="003C4186"/>
    <w:rsid w:val="003C6185"/>
    <w:rsid w:val="003D0D2D"/>
    <w:rsid w:val="003D1885"/>
    <w:rsid w:val="003D1BC0"/>
    <w:rsid w:val="003D20F1"/>
    <w:rsid w:val="003D4710"/>
    <w:rsid w:val="003E16D7"/>
    <w:rsid w:val="003E197E"/>
    <w:rsid w:val="003E351D"/>
    <w:rsid w:val="003E4B70"/>
    <w:rsid w:val="003E54CF"/>
    <w:rsid w:val="003E5FBA"/>
    <w:rsid w:val="003E63EC"/>
    <w:rsid w:val="003F1233"/>
    <w:rsid w:val="003F294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625"/>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6BC"/>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2E00"/>
    <w:rsid w:val="00674FC2"/>
    <w:rsid w:val="00676E35"/>
    <w:rsid w:val="00677E42"/>
    <w:rsid w:val="00682334"/>
    <w:rsid w:val="00684732"/>
    <w:rsid w:val="00684B16"/>
    <w:rsid w:val="00687016"/>
    <w:rsid w:val="006872A0"/>
    <w:rsid w:val="0069401F"/>
    <w:rsid w:val="0069625A"/>
    <w:rsid w:val="00696A88"/>
    <w:rsid w:val="00696F65"/>
    <w:rsid w:val="00697572"/>
    <w:rsid w:val="006B4496"/>
    <w:rsid w:val="006B5E67"/>
    <w:rsid w:val="006B6612"/>
    <w:rsid w:val="006C2EB5"/>
    <w:rsid w:val="006D18A3"/>
    <w:rsid w:val="006D5970"/>
    <w:rsid w:val="006E0559"/>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245"/>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95F"/>
    <w:rsid w:val="008053A8"/>
    <w:rsid w:val="0081226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334"/>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812"/>
    <w:rsid w:val="00920E5B"/>
    <w:rsid w:val="00926436"/>
    <w:rsid w:val="00926C53"/>
    <w:rsid w:val="0093018C"/>
    <w:rsid w:val="0094495F"/>
    <w:rsid w:val="009544C0"/>
    <w:rsid w:val="009547EF"/>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70D"/>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278A6"/>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5E8D"/>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1F6"/>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7B8"/>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8C8"/>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20A"/>
    <w:rsid w:val="00EA4D48"/>
    <w:rsid w:val="00EA5D16"/>
    <w:rsid w:val="00EA7ADF"/>
    <w:rsid w:val="00EB2173"/>
    <w:rsid w:val="00EB3502"/>
    <w:rsid w:val="00EB62E6"/>
    <w:rsid w:val="00EB695F"/>
    <w:rsid w:val="00EC3A85"/>
    <w:rsid w:val="00EC4B89"/>
    <w:rsid w:val="00EC59A5"/>
    <w:rsid w:val="00EC6E15"/>
    <w:rsid w:val="00ED1B30"/>
    <w:rsid w:val="00ED5D03"/>
    <w:rsid w:val="00EE01ED"/>
    <w:rsid w:val="00EE1AC1"/>
    <w:rsid w:val="00EE1E54"/>
    <w:rsid w:val="00EE3971"/>
    <w:rsid w:val="00EE39D6"/>
    <w:rsid w:val="00EE4535"/>
    <w:rsid w:val="00EE52AD"/>
    <w:rsid w:val="00EE56E5"/>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158"/>
    <w:rsid w:val="00F4043E"/>
    <w:rsid w:val="00F412D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4A95"/>
    <w:rsid w:val="00FC51F9"/>
    <w:rsid w:val="00FC5B40"/>
    <w:rsid w:val="00FC5FF8"/>
    <w:rsid w:val="00FD271B"/>
    <w:rsid w:val="00FD3D7C"/>
    <w:rsid w:val="00FD4F8F"/>
    <w:rsid w:val="00FE0C16"/>
    <w:rsid w:val="00FE14B1"/>
    <w:rsid w:val="00FE4D97"/>
    <w:rsid w:val="00FE5F90"/>
    <w:rsid w:val="00FF0070"/>
    <w:rsid w:val="00FF07C3"/>
    <w:rsid w:val="00FF387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27304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1107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5</Pages>
  <Words>1162</Words>
  <Characters>6629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9</cp:revision>
  <cp:lastPrinted>2020-02-11T19:20:00Z</cp:lastPrinted>
  <dcterms:created xsi:type="dcterms:W3CDTF">2025-02-23T18:04:00Z</dcterms:created>
  <dcterms:modified xsi:type="dcterms:W3CDTF">2025-02-24T20:53:00Z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