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A5C26" w14:textId="315E5D9E" w:rsidR="00A73E1C" w:rsidRP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t>Question 1</w:t>
      </w:r>
    </w:p>
    <w:p w14:paraId="6C81B835" w14:textId="5001997E" w:rsidR="00464645" w:rsidRDefault="00464645" w:rsidP="00A73E1C">
      <w:pPr>
        <w:spacing w:line="360" w:lineRule="auto"/>
        <w:jc w:val="both"/>
        <w:rPr>
          <w:rFonts w:ascii="Arial" w:hAnsi="Arial" w:cs="Arial"/>
          <w:sz w:val="24"/>
          <w:szCs w:val="24"/>
        </w:rPr>
      </w:pPr>
      <w:r>
        <w:rPr>
          <w:rFonts w:ascii="Arial" w:hAnsi="Arial" w:cs="Arial"/>
          <w:sz w:val="24"/>
          <w:szCs w:val="24"/>
        </w:rPr>
        <w:t>This essay will examine whether the law around the defence for insanity is fit for purpose within the criminal justice system. The origins of where the law came from will be discussed, and whether there are any areas that need reforming. To decide if reform is needed, it is important to identify any shortfalls within the</w:t>
      </w:r>
      <w:r w:rsidR="00491BA1">
        <w:rPr>
          <w:rFonts w:ascii="Arial" w:hAnsi="Arial" w:cs="Arial"/>
          <w:sz w:val="24"/>
          <w:szCs w:val="24"/>
        </w:rPr>
        <w:t xml:space="preserve"> current</w:t>
      </w:r>
      <w:r>
        <w:rPr>
          <w:rFonts w:ascii="Arial" w:hAnsi="Arial" w:cs="Arial"/>
          <w:sz w:val="24"/>
          <w:szCs w:val="24"/>
        </w:rPr>
        <w:t xml:space="preserve"> law that </w:t>
      </w:r>
      <w:r w:rsidR="00491BA1">
        <w:rPr>
          <w:rFonts w:ascii="Arial" w:hAnsi="Arial" w:cs="Arial"/>
          <w:sz w:val="24"/>
          <w:szCs w:val="24"/>
        </w:rPr>
        <w:t>are</w:t>
      </w:r>
      <w:r>
        <w:rPr>
          <w:rFonts w:ascii="Arial" w:hAnsi="Arial" w:cs="Arial"/>
          <w:sz w:val="24"/>
          <w:szCs w:val="24"/>
        </w:rPr>
        <w:t xml:space="preserve"> outdated and need modernising </w:t>
      </w:r>
      <w:proofErr w:type="gramStart"/>
      <w:r>
        <w:rPr>
          <w:rFonts w:ascii="Arial" w:hAnsi="Arial" w:cs="Arial"/>
          <w:sz w:val="24"/>
          <w:szCs w:val="24"/>
        </w:rPr>
        <w:t>in order for</w:t>
      </w:r>
      <w:proofErr w:type="gramEnd"/>
      <w:r>
        <w:rPr>
          <w:rFonts w:ascii="Arial" w:hAnsi="Arial" w:cs="Arial"/>
          <w:sz w:val="24"/>
          <w:szCs w:val="24"/>
        </w:rPr>
        <w:t xml:space="preserve"> the law to be better understood when used in court. These points will be concluded by evaluating what changes have already been made and </w:t>
      </w:r>
      <w:r w:rsidR="00491BA1">
        <w:rPr>
          <w:rFonts w:ascii="Arial" w:hAnsi="Arial" w:cs="Arial"/>
          <w:sz w:val="24"/>
          <w:szCs w:val="24"/>
        </w:rPr>
        <w:t>what changes are still needed</w:t>
      </w:r>
      <w:r>
        <w:rPr>
          <w:rFonts w:ascii="Arial" w:hAnsi="Arial" w:cs="Arial"/>
          <w:sz w:val="24"/>
          <w:szCs w:val="24"/>
        </w:rPr>
        <w:t xml:space="preserve"> </w:t>
      </w:r>
      <w:r w:rsidR="00491BA1">
        <w:rPr>
          <w:rFonts w:ascii="Arial" w:hAnsi="Arial" w:cs="Arial"/>
          <w:sz w:val="24"/>
          <w:szCs w:val="24"/>
        </w:rPr>
        <w:t>to</w:t>
      </w:r>
      <w:r>
        <w:rPr>
          <w:rFonts w:ascii="Arial" w:hAnsi="Arial" w:cs="Arial"/>
          <w:sz w:val="24"/>
          <w:szCs w:val="24"/>
        </w:rPr>
        <w:t xml:space="preserve"> decide if reform is necessary. </w:t>
      </w:r>
    </w:p>
    <w:p w14:paraId="492872FE" w14:textId="0A79ABA3" w:rsidR="001E271C" w:rsidRDefault="00CF71C6" w:rsidP="00A73E1C">
      <w:pPr>
        <w:spacing w:line="360" w:lineRule="auto"/>
        <w:jc w:val="both"/>
        <w:rPr>
          <w:rFonts w:ascii="Arial" w:hAnsi="Arial" w:cs="Arial"/>
          <w:sz w:val="24"/>
          <w:szCs w:val="24"/>
        </w:rPr>
      </w:pPr>
      <w:r w:rsidRPr="00B21348">
        <w:rPr>
          <w:rFonts w:ascii="Arial" w:hAnsi="Arial" w:cs="Arial"/>
          <w:sz w:val="24"/>
          <w:szCs w:val="24"/>
        </w:rPr>
        <w:t xml:space="preserve">A defence of insanity can be formed if a defendant is unable to </w:t>
      </w:r>
      <w:r w:rsidR="00B21348" w:rsidRPr="00B21348">
        <w:rPr>
          <w:rFonts w:ascii="Arial" w:hAnsi="Arial" w:cs="Arial"/>
          <w:sz w:val="24"/>
          <w:szCs w:val="24"/>
        </w:rPr>
        <w:t>fulfil</w:t>
      </w:r>
      <w:r w:rsidRPr="00B21348">
        <w:rPr>
          <w:rFonts w:ascii="Arial" w:hAnsi="Arial" w:cs="Arial"/>
          <w:sz w:val="24"/>
          <w:szCs w:val="24"/>
        </w:rPr>
        <w:t xml:space="preserve"> the</w:t>
      </w:r>
      <w:r w:rsidR="00EE09B5">
        <w:rPr>
          <w:rFonts w:ascii="Arial" w:hAnsi="Arial" w:cs="Arial"/>
          <w:sz w:val="24"/>
          <w:szCs w:val="24"/>
        </w:rPr>
        <w:t xml:space="preserve"> necessary</w:t>
      </w:r>
      <w:r w:rsidRPr="00B21348">
        <w:rPr>
          <w:rFonts w:ascii="Arial" w:hAnsi="Arial" w:cs="Arial"/>
          <w:sz w:val="24"/>
          <w:szCs w:val="24"/>
        </w:rPr>
        <w:t xml:space="preserve"> </w:t>
      </w:r>
      <w:r w:rsidRPr="00EE09B5">
        <w:rPr>
          <w:rFonts w:ascii="Arial" w:hAnsi="Arial" w:cs="Arial"/>
          <w:i/>
          <w:iCs/>
          <w:sz w:val="24"/>
          <w:szCs w:val="24"/>
        </w:rPr>
        <w:t>mens rea</w:t>
      </w:r>
      <w:r w:rsidRPr="00B21348">
        <w:rPr>
          <w:rFonts w:ascii="Arial" w:hAnsi="Arial" w:cs="Arial"/>
          <w:sz w:val="24"/>
          <w:szCs w:val="24"/>
        </w:rPr>
        <w:t xml:space="preserve"> of an offence due to their mental disease or defects</w:t>
      </w:r>
      <w:r w:rsidR="00B21348">
        <w:rPr>
          <w:rFonts w:ascii="Arial" w:hAnsi="Arial" w:cs="Arial"/>
          <w:sz w:val="24"/>
          <w:szCs w:val="24"/>
        </w:rPr>
        <w:t xml:space="preserve"> causing them to act outside of accepted standards</w:t>
      </w:r>
      <w:r w:rsidRPr="00B21348">
        <w:rPr>
          <w:rFonts w:ascii="Arial" w:hAnsi="Arial" w:cs="Arial"/>
          <w:sz w:val="24"/>
          <w:szCs w:val="24"/>
        </w:rPr>
        <w:t xml:space="preserve"> (Feuerstein et al, 2005)</w:t>
      </w:r>
      <w:r w:rsidR="00B21348" w:rsidRPr="00B21348">
        <w:rPr>
          <w:rFonts w:ascii="Arial" w:hAnsi="Arial" w:cs="Arial"/>
          <w:sz w:val="24"/>
          <w:szCs w:val="24"/>
        </w:rPr>
        <w:t xml:space="preserve">. </w:t>
      </w:r>
      <w:r w:rsidR="00EE09B5">
        <w:rPr>
          <w:rFonts w:ascii="Arial" w:hAnsi="Arial" w:cs="Arial"/>
          <w:sz w:val="24"/>
          <w:szCs w:val="24"/>
        </w:rPr>
        <w:t xml:space="preserve">Whether a person can be deemed as insane within the criminal justice system is governed by the M’Naghten rule which </w:t>
      </w:r>
      <w:r w:rsidR="00E207C5">
        <w:rPr>
          <w:rFonts w:ascii="Arial" w:hAnsi="Arial" w:cs="Arial"/>
          <w:sz w:val="24"/>
          <w:szCs w:val="24"/>
        </w:rPr>
        <w:t>is</w:t>
      </w:r>
      <w:r w:rsidR="00EE09B5">
        <w:rPr>
          <w:rFonts w:ascii="Arial" w:hAnsi="Arial" w:cs="Arial"/>
          <w:sz w:val="24"/>
          <w:szCs w:val="24"/>
        </w:rPr>
        <w:t xml:space="preserve"> based off the case of </w:t>
      </w:r>
      <w:r w:rsidR="00EE09B5">
        <w:rPr>
          <w:rFonts w:ascii="Arial" w:hAnsi="Arial" w:cs="Arial"/>
          <w:i/>
          <w:iCs/>
          <w:sz w:val="24"/>
          <w:szCs w:val="24"/>
        </w:rPr>
        <w:t>M’Naghten</w:t>
      </w:r>
      <w:r w:rsidR="00EE09B5">
        <w:rPr>
          <w:rFonts w:ascii="Arial" w:hAnsi="Arial" w:cs="Arial"/>
          <w:sz w:val="24"/>
          <w:szCs w:val="24"/>
        </w:rPr>
        <w:t xml:space="preserve"> [1843]</w:t>
      </w:r>
      <w:r w:rsidR="00566E77">
        <w:rPr>
          <w:rFonts w:ascii="Arial" w:hAnsi="Arial" w:cs="Arial"/>
          <w:sz w:val="24"/>
          <w:szCs w:val="24"/>
        </w:rPr>
        <w:t>. There was an assassination attempt on the then British prime minister Sir Robert Peel by Daniel M’Naghten, however he missed and killed his secretary, Edward Drummond. M’Naghten was found to be having insane delusions at the time of the killing</w:t>
      </w:r>
      <w:r w:rsidR="00C53675">
        <w:rPr>
          <w:rFonts w:ascii="Arial" w:hAnsi="Arial" w:cs="Arial"/>
          <w:sz w:val="24"/>
          <w:szCs w:val="24"/>
        </w:rPr>
        <w:t xml:space="preserve"> and he was acquitted of any criminal liability, thus laid the foundations for </w:t>
      </w:r>
      <w:r w:rsidR="00C8659A">
        <w:rPr>
          <w:rFonts w:ascii="Arial" w:hAnsi="Arial" w:cs="Arial"/>
          <w:sz w:val="24"/>
          <w:szCs w:val="24"/>
        </w:rPr>
        <w:t>the</w:t>
      </w:r>
      <w:r w:rsidR="00C53675">
        <w:rPr>
          <w:rFonts w:ascii="Arial" w:hAnsi="Arial" w:cs="Arial"/>
          <w:sz w:val="24"/>
          <w:szCs w:val="24"/>
        </w:rPr>
        <w:t xml:space="preserve"> defence of insanity. </w:t>
      </w:r>
      <w:r w:rsidR="00D94920">
        <w:rPr>
          <w:rFonts w:ascii="Arial" w:hAnsi="Arial" w:cs="Arial"/>
          <w:sz w:val="24"/>
          <w:szCs w:val="24"/>
        </w:rPr>
        <w:t xml:space="preserve">A key point of the M’Naghten rule is that a defendant must be deemed to be insane at the time of the offence rather than subsequently </w:t>
      </w:r>
      <w:r w:rsidR="006C10C0">
        <w:rPr>
          <w:rFonts w:ascii="Arial" w:hAnsi="Arial" w:cs="Arial"/>
          <w:sz w:val="24"/>
          <w:szCs w:val="24"/>
        </w:rPr>
        <w:t xml:space="preserve">while </w:t>
      </w:r>
      <w:r w:rsidR="00D94920">
        <w:rPr>
          <w:rFonts w:ascii="Arial" w:hAnsi="Arial" w:cs="Arial"/>
          <w:sz w:val="24"/>
          <w:szCs w:val="24"/>
        </w:rPr>
        <w:t xml:space="preserve">at </w:t>
      </w:r>
      <w:r w:rsidR="006C10C0">
        <w:rPr>
          <w:rFonts w:ascii="Arial" w:hAnsi="Arial" w:cs="Arial"/>
          <w:sz w:val="24"/>
          <w:szCs w:val="24"/>
        </w:rPr>
        <w:t>court</w:t>
      </w:r>
      <w:r w:rsidR="00D94920">
        <w:rPr>
          <w:rFonts w:ascii="Arial" w:hAnsi="Arial" w:cs="Arial"/>
          <w:sz w:val="24"/>
          <w:szCs w:val="24"/>
        </w:rPr>
        <w:t xml:space="preserve">. </w:t>
      </w:r>
    </w:p>
    <w:p w14:paraId="41C0DAC3" w14:textId="1F70E416" w:rsidR="006C10C0" w:rsidRDefault="00266E8D" w:rsidP="00A73E1C">
      <w:pPr>
        <w:spacing w:line="360" w:lineRule="auto"/>
        <w:jc w:val="both"/>
        <w:rPr>
          <w:rFonts w:ascii="Arial" w:hAnsi="Arial" w:cs="Arial"/>
          <w:sz w:val="24"/>
          <w:szCs w:val="24"/>
        </w:rPr>
      </w:pPr>
      <w:r>
        <w:rPr>
          <w:rFonts w:ascii="Arial" w:hAnsi="Arial" w:cs="Arial"/>
          <w:sz w:val="24"/>
          <w:szCs w:val="24"/>
        </w:rPr>
        <w:t>One way a defendant could apply a defence of insanity is through medical evidence proving that they were not responsible for their actions</w:t>
      </w:r>
      <w:r w:rsidR="00C551A6">
        <w:rPr>
          <w:rFonts w:ascii="Arial" w:hAnsi="Arial" w:cs="Arial"/>
          <w:sz w:val="24"/>
          <w:szCs w:val="24"/>
        </w:rPr>
        <w:t xml:space="preserve">, as was the case of </w:t>
      </w:r>
      <w:r w:rsidR="00C551A6">
        <w:rPr>
          <w:rFonts w:ascii="Arial" w:hAnsi="Arial" w:cs="Arial"/>
          <w:i/>
          <w:iCs/>
          <w:sz w:val="24"/>
          <w:szCs w:val="24"/>
        </w:rPr>
        <w:t xml:space="preserve">R v Clarke </w:t>
      </w:r>
      <w:r w:rsidR="00C551A6">
        <w:rPr>
          <w:rFonts w:ascii="Arial" w:hAnsi="Arial" w:cs="Arial"/>
          <w:sz w:val="24"/>
          <w:szCs w:val="24"/>
        </w:rPr>
        <w:t>[1972] where the defendant absent-mindedly placed some items into her bag whilst shopping. The defendant was found to be suffering from depression and was diabetic, so the defence of insanity was raised in court by the judge.</w:t>
      </w:r>
      <w:r w:rsidR="00ED51EB">
        <w:rPr>
          <w:rFonts w:ascii="Arial" w:hAnsi="Arial" w:cs="Arial"/>
          <w:sz w:val="24"/>
          <w:szCs w:val="24"/>
        </w:rPr>
        <w:t xml:space="preserve"> Another case where medical evidence played a part was the case of </w:t>
      </w:r>
      <w:r w:rsidR="00ED51EB">
        <w:rPr>
          <w:rFonts w:ascii="Arial" w:hAnsi="Arial" w:cs="Arial"/>
          <w:i/>
          <w:iCs/>
          <w:sz w:val="24"/>
          <w:szCs w:val="24"/>
        </w:rPr>
        <w:t xml:space="preserve">R v Burgess </w:t>
      </w:r>
      <w:r w:rsidR="00ED51EB">
        <w:rPr>
          <w:rFonts w:ascii="Arial" w:hAnsi="Arial" w:cs="Arial"/>
          <w:sz w:val="24"/>
          <w:szCs w:val="24"/>
        </w:rPr>
        <w:t xml:space="preserve">[1991] where the defendant assaulted a woman while they were sleepwalking. The defendant was subsequently found not guilty by reason of insanity, however tried to appeal claiming they should have been allowed a defence of automatism. </w:t>
      </w:r>
      <w:r w:rsidR="004441C9">
        <w:rPr>
          <w:rFonts w:ascii="Arial" w:hAnsi="Arial" w:cs="Arial"/>
          <w:sz w:val="24"/>
          <w:szCs w:val="24"/>
        </w:rPr>
        <w:t>The reason for this is that “i</w:t>
      </w:r>
      <w:r w:rsidR="004441C9" w:rsidRPr="004441C9">
        <w:rPr>
          <w:rFonts w:ascii="Arial" w:hAnsi="Arial" w:cs="Arial"/>
          <w:sz w:val="24"/>
          <w:szCs w:val="24"/>
        </w:rPr>
        <w:t>f successful, the plea results in a straightforward acquittal and the court has no</w:t>
      </w:r>
      <w:r w:rsidR="004441C9">
        <w:rPr>
          <w:rFonts w:ascii="Arial" w:hAnsi="Arial" w:cs="Arial"/>
          <w:sz w:val="24"/>
          <w:szCs w:val="24"/>
        </w:rPr>
        <w:t xml:space="preserve"> </w:t>
      </w:r>
      <w:r w:rsidR="004441C9" w:rsidRPr="004441C9">
        <w:rPr>
          <w:rFonts w:ascii="Arial" w:hAnsi="Arial" w:cs="Arial"/>
          <w:sz w:val="24"/>
          <w:szCs w:val="24"/>
        </w:rPr>
        <w:t>special powers of disposal</w:t>
      </w:r>
      <w:r w:rsidR="004441C9">
        <w:rPr>
          <w:rFonts w:ascii="Arial" w:hAnsi="Arial" w:cs="Arial"/>
          <w:sz w:val="24"/>
          <w:szCs w:val="24"/>
        </w:rPr>
        <w:t>” (Law Commission, 2012</w:t>
      </w:r>
      <w:r w:rsidR="000D152E">
        <w:rPr>
          <w:rFonts w:ascii="Arial" w:hAnsi="Arial" w:cs="Arial"/>
          <w:sz w:val="24"/>
          <w:szCs w:val="24"/>
        </w:rPr>
        <w:t>a</w:t>
      </w:r>
      <w:r w:rsidR="004441C9">
        <w:rPr>
          <w:rFonts w:ascii="Arial" w:hAnsi="Arial" w:cs="Arial"/>
          <w:sz w:val="24"/>
          <w:szCs w:val="24"/>
        </w:rPr>
        <w:t>, p.4)</w:t>
      </w:r>
      <w:r w:rsidR="005C6C2E">
        <w:rPr>
          <w:rFonts w:ascii="Arial" w:hAnsi="Arial" w:cs="Arial"/>
          <w:sz w:val="24"/>
          <w:szCs w:val="24"/>
        </w:rPr>
        <w:t xml:space="preserve">, meaning that if a defendant can plea a case of automatism they </w:t>
      </w:r>
      <w:r w:rsidR="00E207C5">
        <w:rPr>
          <w:rFonts w:ascii="Arial" w:hAnsi="Arial" w:cs="Arial"/>
          <w:sz w:val="24"/>
          <w:szCs w:val="24"/>
        </w:rPr>
        <w:t>can</w:t>
      </w:r>
      <w:r w:rsidR="005C6C2E">
        <w:rPr>
          <w:rFonts w:ascii="Arial" w:hAnsi="Arial" w:cs="Arial"/>
          <w:sz w:val="24"/>
          <w:szCs w:val="24"/>
        </w:rPr>
        <w:t xml:space="preserve"> be acquitted, whereas a case of insanity can result in disposal such as a hospital order or supervision order (Legislation.gov.uk, 2021)</w:t>
      </w:r>
      <w:r w:rsidR="009E511C">
        <w:rPr>
          <w:rFonts w:ascii="Arial" w:hAnsi="Arial" w:cs="Arial"/>
          <w:sz w:val="24"/>
          <w:szCs w:val="24"/>
        </w:rPr>
        <w:t>.</w:t>
      </w:r>
    </w:p>
    <w:p w14:paraId="2FB8F7B0" w14:textId="74F0BBA0" w:rsidR="00801354" w:rsidRDefault="009E511C" w:rsidP="00A73E1C">
      <w:pPr>
        <w:spacing w:line="360" w:lineRule="auto"/>
        <w:jc w:val="both"/>
        <w:rPr>
          <w:rFonts w:ascii="Arial" w:hAnsi="Arial" w:cs="Arial"/>
          <w:sz w:val="24"/>
          <w:szCs w:val="24"/>
        </w:rPr>
      </w:pPr>
      <w:proofErr w:type="gramStart"/>
      <w:r>
        <w:rPr>
          <w:rFonts w:ascii="Arial" w:hAnsi="Arial" w:cs="Arial"/>
          <w:sz w:val="24"/>
          <w:szCs w:val="24"/>
        </w:rPr>
        <w:lastRenderedPageBreak/>
        <w:t>A number of</w:t>
      </w:r>
      <w:proofErr w:type="gramEnd"/>
      <w:r>
        <w:rPr>
          <w:rFonts w:ascii="Arial" w:hAnsi="Arial" w:cs="Arial"/>
          <w:sz w:val="24"/>
          <w:szCs w:val="24"/>
        </w:rPr>
        <w:t xml:space="preserve"> issues have been identified around the law on insanity and has been accused of being not fit for purpose. </w:t>
      </w:r>
      <w:r w:rsidR="00DF25FF">
        <w:rPr>
          <w:rFonts w:ascii="Arial" w:hAnsi="Arial" w:cs="Arial"/>
          <w:sz w:val="24"/>
          <w:szCs w:val="24"/>
        </w:rPr>
        <w:t>It has been said that “m</w:t>
      </w:r>
      <w:r w:rsidR="00DF25FF" w:rsidRPr="00DF25FF">
        <w:rPr>
          <w:rFonts w:ascii="Arial" w:hAnsi="Arial" w:cs="Arial"/>
          <w:sz w:val="24"/>
          <w:szCs w:val="24"/>
        </w:rPr>
        <w:t>entally ill people are not a discrete category, fundamentally different in kind from the mentally healthy, that can be dealt with by one or two separate, specialised defences</w:t>
      </w:r>
      <w:r w:rsidR="00DF25FF">
        <w:rPr>
          <w:rFonts w:ascii="Arial" w:hAnsi="Arial" w:cs="Arial"/>
          <w:sz w:val="24"/>
          <w:szCs w:val="24"/>
        </w:rPr>
        <w:t>” (Hogg, 2015, p. 256)</w:t>
      </w:r>
      <w:r w:rsidR="007D7313">
        <w:rPr>
          <w:rFonts w:ascii="Arial" w:hAnsi="Arial" w:cs="Arial"/>
          <w:sz w:val="24"/>
          <w:szCs w:val="24"/>
        </w:rPr>
        <w:t xml:space="preserve">, meaning that having specific laws set out to deal with people suffering </w:t>
      </w:r>
      <w:r w:rsidR="00E207C5">
        <w:rPr>
          <w:rFonts w:ascii="Arial" w:hAnsi="Arial" w:cs="Arial"/>
          <w:sz w:val="24"/>
          <w:szCs w:val="24"/>
        </w:rPr>
        <w:t xml:space="preserve">from </w:t>
      </w:r>
      <w:r w:rsidR="007D7313">
        <w:rPr>
          <w:rFonts w:ascii="Arial" w:hAnsi="Arial" w:cs="Arial"/>
          <w:sz w:val="24"/>
          <w:szCs w:val="24"/>
        </w:rPr>
        <w:t xml:space="preserve">mental health issues is seen as singling these people out from the rest of society. </w:t>
      </w:r>
      <w:r w:rsidR="00C07D2D">
        <w:rPr>
          <w:rFonts w:ascii="Arial" w:hAnsi="Arial" w:cs="Arial"/>
          <w:sz w:val="24"/>
          <w:szCs w:val="24"/>
        </w:rPr>
        <w:t>On top of this, there are people with mental health issues who should be included in the bracket of insanity but are not, such as people who believe their actions are morally right but legally wrong and psychopaths who should be deemed as insane (</w:t>
      </w:r>
      <w:proofErr w:type="spellStart"/>
      <w:r w:rsidR="00C07D2D">
        <w:rPr>
          <w:rFonts w:ascii="Arial" w:hAnsi="Arial" w:cs="Arial"/>
          <w:sz w:val="24"/>
          <w:szCs w:val="24"/>
        </w:rPr>
        <w:t>Mukhia</w:t>
      </w:r>
      <w:proofErr w:type="spellEnd"/>
      <w:r w:rsidR="00C07D2D">
        <w:rPr>
          <w:rFonts w:ascii="Arial" w:hAnsi="Arial" w:cs="Arial"/>
          <w:sz w:val="24"/>
          <w:szCs w:val="24"/>
        </w:rPr>
        <w:t xml:space="preserve">, 2012). </w:t>
      </w:r>
      <w:r w:rsidR="002934F3">
        <w:rPr>
          <w:rFonts w:ascii="Arial" w:hAnsi="Arial" w:cs="Arial"/>
          <w:sz w:val="24"/>
          <w:szCs w:val="24"/>
        </w:rPr>
        <w:t xml:space="preserve">The reason for this is the law has been said to be outdated and has not been updated to include mental health issues that can be diagnosed in modern times, the only cases of insanity that falls within its parameters are the ones set out way back in </w:t>
      </w:r>
      <w:r w:rsidR="000D152E">
        <w:rPr>
          <w:rFonts w:ascii="Arial" w:hAnsi="Arial" w:cs="Arial"/>
          <w:sz w:val="24"/>
          <w:szCs w:val="24"/>
        </w:rPr>
        <w:t>the nineteenth century (Law Commission, 2012b)</w:t>
      </w:r>
      <w:r w:rsidR="000A6EEA">
        <w:rPr>
          <w:rFonts w:ascii="Arial" w:hAnsi="Arial" w:cs="Arial"/>
          <w:sz w:val="24"/>
          <w:szCs w:val="24"/>
        </w:rPr>
        <w:t xml:space="preserve">. </w:t>
      </w:r>
      <w:r w:rsidR="00801354">
        <w:rPr>
          <w:rFonts w:ascii="Arial" w:hAnsi="Arial" w:cs="Arial"/>
          <w:sz w:val="24"/>
          <w:szCs w:val="24"/>
        </w:rPr>
        <w:t>The Law Commission (2013) have also criticised the outdated legal terms within the M’Naghten rules such as “insanity” and “disease of the mind” rather than using medical terms</w:t>
      </w:r>
      <w:r w:rsidR="00CB2EF9">
        <w:rPr>
          <w:rFonts w:ascii="Arial" w:hAnsi="Arial" w:cs="Arial"/>
          <w:sz w:val="24"/>
          <w:szCs w:val="24"/>
        </w:rPr>
        <w:t xml:space="preserve">. The term insanity is of </w:t>
      </w:r>
      <w:proofErr w:type="gramStart"/>
      <w:r w:rsidR="00CB2EF9">
        <w:rPr>
          <w:rFonts w:ascii="Arial" w:hAnsi="Arial" w:cs="Arial"/>
          <w:sz w:val="24"/>
          <w:szCs w:val="24"/>
        </w:rPr>
        <w:t>particular need</w:t>
      </w:r>
      <w:proofErr w:type="gramEnd"/>
      <w:r w:rsidR="00CB2EF9">
        <w:rPr>
          <w:rFonts w:ascii="Arial" w:hAnsi="Arial" w:cs="Arial"/>
          <w:sz w:val="24"/>
          <w:szCs w:val="24"/>
        </w:rPr>
        <w:t xml:space="preserve"> for reform as it has been said to be an offensive term to use in modern times</w:t>
      </w:r>
      <w:r w:rsidR="00E207C5">
        <w:rPr>
          <w:rFonts w:ascii="Arial" w:hAnsi="Arial" w:cs="Arial"/>
          <w:sz w:val="24"/>
          <w:szCs w:val="24"/>
        </w:rPr>
        <w:t>.</w:t>
      </w:r>
      <w:r w:rsidR="00CB2EF9">
        <w:rPr>
          <w:rFonts w:ascii="Arial" w:hAnsi="Arial" w:cs="Arial"/>
          <w:sz w:val="24"/>
          <w:szCs w:val="24"/>
        </w:rPr>
        <w:t xml:space="preserve"> </w:t>
      </w:r>
      <w:r w:rsidR="00E207C5">
        <w:rPr>
          <w:rFonts w:ascii="Arial" w:hAnsi="Arial" w:cs="Arial"/>
          <w:sz w:val="24"/>
          <w:szCs w:val="24"/>
        </w:rPr>
        <w:t>I</w:t>
      </w:r>
      <w:r w:rsidR="00CB2EF9">
        <w:rPr>
          <w:rFonts w:ascii="Arial" w:hAnsi="Arial" w:cs="Arial"/>
          <w:sz w:val="24"/>
          <w:szCs w:val="24"/>
        </w:rPr>
        <w:t>t has been said that “</w:t>
      </w:r>
      <w:r w:rsidR="00CB2EF9" w:rsidRPr="00CB2EF9">
        <w:rPr>
          <w:rFonts w:ascii="Arial" w:hAnsi="Arial" w:cs="Arial"/>
          <w:sz w:val="24"/>
          <w:szCs w:val="24"/>
        </w:rPr>
        <w:t>a label contained in a criminal offence is itself so offensive that it deserves to be changed for that reason alone</w:t>
      </w:r>
      <w:r w:rsidR="00CB2EF9">
        <w:rPr>
          <w:rFonts w:ascii="Arial" w:hAnsi="Arial" w:cs="Arial"/>
          <w:sz w:val="24"/>
          <w:szCs w:val="24"/>
        </w:rPr>
        <w:t xml:space="preserve">” (Law Commission, 2013, p.13). </w:t>
      </w:r>
    </w:p>
    <w:p w14:paraId="692BF711" w14:textId="6050EF98" w:rsidR="00EC4B95" w:rsidRDefault="00EC4B95" w:rsidP="00A73E1C">
      <w:pPr>
        <w:spacing w:line="360" w:lineRule="auto"/>
        <w:jc w:val="both"/>
        <w:rPr>
          <w:rFonts w:ascii="Arial" w:hAnsi="Arial" w:cs="Arial"/>
          <w:sz w:val="24"/>
          <w:szCs w:val="24"/>
        </w:rPr>
      </w:pPr>
      <w:r>
        <w:rPr>
          <w:rFonts w:ascii="Arial" w:hAnsi="Arial" w:cs="Arial"/>
          <w:sz w:val="24"/>
          <w:szCs w:val="24"/>
        </w:rPr>
        <w:t>Reform is needed to bring the law up to date, however steps have been undertaken already to bring the law more in line with modern times. The Homicide Act (1957) is a step in the right direction as it recognises if a person is suffering from diminished responsibility due to a recognised medical condition affecting their judgement and/or self-control (Crown Prosecution Service, 2019)</w:t>
      </w:r>
      <w:r w:rsidR="004828C7">
        <w:rPr>
          <w:rFonts w:ascii="Arial" w:hAnsi="Arial" w:cs="Arial"/>
          <w:sz w:val="24"/>
          <w:szCs w:val="24"/>
        </w:rPr>
        <w:t xml:space="preserve">. This was further highlighted by the Law Commission’s (1989) Draft Criminal Code where the definition of diminished responsibility is discussed </w:t>
      </w:r>
      <w:proofErr w:type="gramStart"/>
      <w:r w:rsidR="004828C7">
        <w:rPr>
          <w:rFonts w:ascii="Arial" w:hAnsi="Arial" w:cs="Arial"/>
          <w:sz w:val="24"/>
          <w:szCs w:val="24"/>
        </w:rPr>
        <w:t>in order to</w:t>
      </w:r>
      <w:proofErr w:type="gramEnd"/>
      <w:r w:rsidR="004828C7">
        <w:rPr>
          <w:rFonts w:ascii="Arial" w:hAnsi="Arial" w:cs="Arial"/>
          <w:sz w:val="24"/>
          <w:szCs w:val="24"/>
        </w:rPr>
        <w:t xml:space="preserve"> better understand what it means and how it can be used within a court of law. </w:t>
      </w:r>
    </w:p>
    <w:p w14:paraId="1C048046" w14:textId="68972BAB" w:rsidR="00251F21" w:rsidRDefault="00E27471" w:rsidP="00A73E1C">
      <w:pPr>
        <w:spacing w:line="360" w:lineRule="auto"/>
        <w:jc w:val="both"/>
        <w:rPr>
          <w:rFonts w:ascii="Arial" w:hAnsi="Arial" w:cs="Arial"/>
          <w:sz w:val="24"/>
          <w:szCs w:val="24"/>
        </w:rPr>
      </w:pPr>
      <w:r>
        <w:rPr>
          <w:rFonts w:ascii="Arial" w:hAnsi="Arial" w:cs="Arial"/>
          <w:sz w:val="24"/>
          <w:szCs w:val="24"/>
        </w:rPr>
        <w:t xml:space="preserve">In conclusion, the law around insanity is in dire need of reform to bring it up to date with modern times. The outdated language used within the M’Naghten rule </w:t>
      </w:r>
      <w:r w:rsidR="00385514">
        <w:rPr>
          <w:rFonts w:ascii="Arial" w:hAnsi="Arial" w:cs="Arial"/>
          <w:sz w:val="24"/>
          <w:szCs w:val="24"/>
        </w:rPr>
        <w:t>is</w:t>
      </w:r>
      <w:r>
        <w:rPr>
          <w:rFonts w:ascii="Arial" w:hAnsi="Arial" w:cs="Arial"/>
          <w:sz w:val="24"/>
          <w:szCs w:val="24"/>
        </w:rPr>
        <w:t xml:space="preserve"> complex to understand and can cause offence by using the term “insanity” to describe a person with mental health issues. </w:t>
      </w:r>
      <w:r w:rsidR="006A1597">
        <w:rPr>
          <w:rFonts w:ascii="Arial" w:hAnsi="Arial" w:cs="Arial"/>
          <w:sz w:val="24"/>
          <w:szCs w:val="24"/>
        </w:rPr>
        <w:t>There also needs to be smaller gap</w:t>
      </w:r>
      <w:r w:rsidR="00464645">
        <w:rPr>
          <w:rFonts w:ascii="Arial" w:hAnsi="Arial" w:cs="Arial"/>
          <w:sz w:val="24"/>
          <w:szCs w:val="24"/>
        </w:rPr>
        <w:t>s</w:t>
      </w:r>
      <w:r w:rsidR="006A1597">
        <w:rPr>
          <w:rFonts w:ascii="Arial" w:hAnsi="Arial" w:cs="Arial"/>
          <w:sz w:val="24"/>
          <w:szCs w:val="24"/>
        </w:rPr>
        <w:t xml:space="preserve"> when dealing with people suffering with mental health issues</w:t>
      </w:r>
      <w:r w:rsidR="00464645">
        <w:rPr>
          <w:rFonts w:ascii="Arial" w:hAnsi="Arial" w:cs="Arial"/>
          <w:sz w:val="24"/>
          <w:szCs w:val="24"/>
        </w:rPr>
        <w:t xml:space="preserve"> compared to a sane criminal</w:t>
      </w:r>
      <w:r w:rsidR="006A1597">
        <w:rPr>
          <w:rFonts w:ascii="Arial" w:hAnsi="Arial" w:cs="Arial"/>
          <w:sz w:val="24"/>
          <w:szCs w:val="24"/>
        </w:rPr>
        <w:t xml:space="preserve"> rather than singling them out with their own set of rules. </w:t>
      </w:r>
      <w:r w:rsidR="005C220A">
        <w:rPr>
          <w:rFonts w:ascii="Arial" w:hAnsi="Arial" w:cs="Arial"/>
          <w:sz w:val="24"/>
          <w:szCs w:val="24"/>
        </w:rPr>
        <w:t xml:space="preserve">While steps have been taken already to </w:t>
      </w:r>
      <w:r w:rsidR="005C220A">
        <w:rPr>
          <w:rFonts w:ascii="Arial" w:hAnsi="Arial" w:cs="Arial"/>
          <w:sz w:val="24"/>
          <w:szCs w:val="24"/>
        </w:rPr>
        <w:lastRenderedPageBreak/>
        <w:t xml:space="preserve">modernise the law such as the Homicide Act 1957, improvements are still needed </w:t>
      </w:r>
      <w:r w:rsidR="00464645">
        <w:rPr>
          <w:rFonts w:ascii="Arial" w:hAnsi="Arial" w:cs="Arial"/>
          <w:sz w:val="24"/>
          <w:szCs w:val="24"/>
        </w:rPr>
        <w:t>to bring the nineteenth century law up to date to fit in with a modern society.</w:t>
      </w:r>
    </w:p>
    <w:p w14:paraId="0A731FC8" w14:textId="7D96FB44" w:rsidR="00A73E1C" w:rsidRDefault="00A73E1C" w:rsidP="00A73E1C">
      <w:pPr>
        <w:spacing w:line="360" w:lineRule="auto"/>
        <w:jc w:val="both"/>
        <w:rPr>
          <w:rFonts w:ascii="Arial" w:hAnsi="Arial" w:cs="Arial"/>
          <w:sz w:val="24"/>
          <w:szCs w:val="24"/>
        </w:rPr>
      </w:pPr>
    </w:p>
    <w:p w14:paraId="24326813" w14:textId="3CCF6ADB" w:rsidR="00A73E1C" w:rsidRDefault="00A73E1C" w:rsidP="00A73E1C">
      <w:pPr>
        <w:spacing w:line="360" w:lineRule="auto"/>
        <w:jc w:val="both"/>
        <w:rPr>
          <w:rFonts w:ascii="Arial" w:hAnsi="Arial" w:cs="Arial"/>
          <w:sz w:val="24"/>
          <w:szCs w:val="24"/>
        </w:rPr>
      </w:pPr>
    </w:p>
    <w:p w14:paraId="7C43381C" w14:textId="39CC813C" w:rsidR="00A73E1C" w:rsidRDefault="00A73E1C" w:rsidP="00A73E1C">
      <w:pPr>
        <w:spacing w:line="360" w:lineRule="auto"/>
        <w:jc w:val="both"/>
        <w:rPr>
          <w:rFonts w:ascii="Arial" w:hAnsi="Arial" w:cs="Arial"/>
          <w:sz w:val="24"/>
          <w:szCs w:val="24"/>
        </w:rPr>
      </w:pPr>
    </w:p>
    <w:p w14:paraId="7586A666" w14:textId="63EE1DD5" w:rsidR="00A73E1C" w:rsidRDefault="00A73E1C" w:rsidP="00A73E1C">
      <w:pPr>
        <w:spacing w:line="360" w:lineRule="auto"/>
        <w:jc w:val="both"/>
        <w:rPr>
          <w:rFonts w:ascii="Arial" w:hAnsi="Arial" w:cs="Arial"/>
          <w:sz w:val="24"/>
          <w:szCs w:val="24"/>
        </w:rPr>
      </w:pPr>
    </w:p>
    <w:p w14:paraId="40FB661F" w14:textId="078982C4" w:rsidR="00A73E1C" w:rsidRDefault="00A73E1C" w:rsidP="00A73E1C">
      <w:pPr>
        <w:spacing w:line="360" w:lineRule="auto"/>
        <w:jc w:val="both"/>
        <w:rPr>
          <w:rFonts w:ascii="Arial" w:hAnsi="Arial" w:cs="Arial"/>
          <w:sz w:val="24"/>
          <w:szCs w:val="24"/>
        </w:rPr>
      </w:pPr>
    </w:p>
    <w:p w14:paraId="416A41F7" w14:textId="24717361" w:rsidR="00A73E1C" w:rsidRDefault="00A73E1C" w:rsidP="00A73E1C">
      <w:pPr>
        <w:spacing w:line="360" w:lineRule="auto"/>
        <w:jc w:val="both"/>
        <w:rPr>
          <w:rFonts w:ascii="Arial" w:hAnsi="Arial" w:cs="Arial"/>
          <w:sz w:val="24"/>
          <w:szCs w:val="24"/>
        </w:rPr>
      </w:pPr>
    </w:p>
    <w:p w14:paraId="2F641121" w14:textId="2CF1DE01" w:rsidR="00A73E1C" w:rsidRDefault="00A73E1C" w:rsidP="00A73E1C">
      <w:pPr>
        <w:spacing w:line="360" w:lineRule="auto"/>
        <w:jc w:val="both"/>
        <w:rPr>
          <w:rFonts w:ascii="Arial" w:hAnsi="Arial" w:cs="Arial"/>
          <w:sz w:val="24"/>
          <w:szCs w:val="24"/>
        </w:rPr>
      </w:pPr>
    </w:p>
    <w:p w14:paraId="55DE9CFC" w14:textId="58395A78" w:rsidR="00A73E1C" w:rsidRDefault="00A73E1C" w:rsidP="00A73E1C">
      <w:pPr>
        <w:spacing w:line="360" w:lineRule="auto"/>
        <w:jc w:val="both"/>
        <w:rPr>
          <w:rFonts w:ascii="Arial" w:hAnsi="Arial" w:cs="Arial"/>
          <w:sz w:val="24"/>
          <w:szCs w:val="24"/>
        </w:rPr>
      </w:pPr>
    </w:p>
    <w:p w14:paraId="2B508F27" w14:textId="4C9091AD" w:rsidR="00A73E1C" w:rsidRDefault="00A73E1C" w:rsidP="00A73E1C">
      <w:pPr>
        <w:spacing w:line="360" w:lineRule="auto"/>
        <w:jc w:val="both"/>
        <w:rPr>
          <w:rFonts w:ascii="Arial" w:hAnsi="Arial" w:cs="Arial"/>
          <w:sz w:val="24"/>
          <w:szCs w:val="24"/>
        </w:rPr>
      </w:pPr>
    </w:p>
    <w:p w14:paraId="613170C3" w14:textId="40BFDDA7" w:rsidR="00A73E1C" w:rsidRDefault="00A73E1C" w:rsidP="00A73E1C">
      <w:pPr>
        <w:spacing w:line="360" w:lineRule="auto"/>
        <w:jc w:val="both"/>
        <w:rPr>
          <w:rFonts w:ascii="Arial" w:hAnsi="Arial" w:cs="Arial"/>
          <w:sz w:val="24"/>
          <w:szCs w:val="24"/>
        </w:rPr>
      </w:pPr>
    </w:p>
    <w:p w14:paraId="1BA73054" w14:textId="77F5C620" w:rsidR="00A73E1C" w:rsidRDefault="00A73E1C" w:rsidP="00A73E1C">
      <w:pPr>
        <w:spacing w:line="360" w:lineRule="auto"/>
        <w:jc w:val="both"/>
        <w:rPr>
          <w:rFonts w:ascii="Arial" w:hAnsi="Arial" w:cs="Arial"/>
          <w:sz w:val="24"/>
          <w:szCs w:val="24"/>
        </w:rPr>
      </w:pPr>
    </w:p>
    <w:p w14:paraId="2ABEC1FF" w14:textId="73251D97" w:rsidR="00A73E1C" w:rsidRDefault="00A73E1C" w:rsidP="00A73E1C">
      <w:pPr>
        <w:spacing w:line="360" w:lineRule="auto"/>
        <w:jc w:val="both"/>
        <w:rPr>
          <w:rFonts w:ascii="Arial" w:hAnsi="Arial" w:cs="Arial"/>
          <w:sz w:val="24"/>
          <w:szCs w:val="24"/>
        </w:rPr>
      </w:pPr>
    </w:p>
    <w:p w14:paraId="71ED0E68" w14:textId="2E4EA2FE" w:rsidR="00A73E1C" w:rsidRDefault="00A73E1C" w:rsidP="00A73E1C">
      <w:pPr>
        <w:spacing w:line="360" w:lineRule="auto"/>
        <w:jc w:val="both"/>
        <w:rPr>
          <w:rFonts w:ascii="Arial" w:hAnsi="Arial" w:cs="Arial"/>
          <w:sz w:val="24"/>
          <w:szCs w:val="24"/>
        </w:rPr>
      </w:pPr>
    </w:p>
    <w:p w14:paraId="19CFC3D1" w14:textId="5297DEB9" w:rsidR="00A73E1C" w:rsidRDefault="00A73E1C" w:rsidP="00A73E1C">
      <w:pPr>
        <w:spacing w:line="360" w:lineRule="auto"/>
        <w:jc w:val="both"/>
        <w:rPr>
          <w:rFonts w:ascii="Arial" w:hAnsi="Arial" w:cs="Arial"/>
          <w:sz w:val="24"/>
          <w:szCs w:val="24"/>
        </w:rPr>
      </w:pPr>
    </w:p>
    <w:p w14:paraId="27484915" w14:textId="1B28775C" w:rsidR="00A73E1C" w:rsidRDefault="00A73E1C" w:rsidP="00A73E1C">
      <w:pPr>
        <w:spacing w:line="360" w:lineRule="auto"/>
        <w:jc w:val="both"/>
        <w:rPr>
          <w:rFonts w:ascii="Arial" w:hAnsi="Arial" w:cs="Arial"/>
          <w:sz w:val="24"/>
          <w:szCs w:val="24"/>
        </w:rPr>
      </w:pPr>
    </w:p>
    <w:p w14:paraId="7A77B7E5" w14:textId="5DD6C43A" w:rsidR="00A73E1C" w:rsidRDefault="00A73E1C" w:rsidP="00A73E1C">
      <w:pPr>
        <w:spacing w:line="360" w:lineRule="auto"/>
        <w:jc w:val="both"/>
        <w:rPr>
          <w:rFonts w:ascii="Arial" w:hAnsi="Arial" w:cs="Arial"/>
          <w:sz w:val="24"/>
          <w:szCs w:val="24"/>
        </w:rPr>
      </w:pPr>
    </w:p>
    <w:p w14:paraId="1332BE9D" w14:textId="1CC742D6" w:rsidR="00A73E1C" w:rsidRDefault="00A73E1C" w:rsidP="00A73E1C">
      <w:pPr>
        <w:spacing w:line="360" w:lineRule="auto"/>
        <w:jc w:val="both"/>
        <w:rPr>
          <w:rFonts w:ascii="Arial" w:hAnsi="Arial" w:cs="Arial"/>
          <w:sz w:val="24"/>
          <w:szCs w:val="24"/>
        </w:rPr>
      </w:pPr>
    </w:p>
    <w:p w14:paraId="235BCF41" w14:textId="142ABD58" w:rsidR="00A73E1C" w:rsidRDefault="00A73E1C" w:rsidP="00A73E1C">
      <w:pPr>
        <w:spacing w:line="360" w:lineRule="auto"/>
        <w:jc w:val="both"/>
        <w:rPr>
          <w:rFonts w:ascii="Arial" w:hAnsi="Arial" w:cs="Arial"/>
          <w:sz w:val="24"/>
          <w:szCs w:val="24"/>
        </w:rPr>
      </w:pPr>
    </w:p>
    <w:p w14:paraId="46AE8C72" w14:textId="314EC316" w:rsidR="00A73E1C" w:rsidRDefault="00A73E1C" w:rsidP="00A73E1C">
      <w:pPr>
        <w:spacing w:line="360" w:lineRule="auto"/>
        <w:jc w:val="both"/>
        <w:rPr>
          <w:rFonts w:ascii="Arial" w:hAnsi="Arial" w:cs="Arial"/>
          <w:sz w:val="24"/>
          <w:szCs w:val="24"/>
        </w:rPr>
      </w:pPr>
    </w:p>
    <w:p w14:paraId="359EFC62" w14:textId="2F4509D4" w:rsidR="00A73E1C" w:rsidRDefault="00A73E1C" w:rsidP="00A73E1C">
      <w:pPr>
        <w:spacing w:line="360" w:lineRule="auto"/>
        <w:jc w:val="both"/>
        <w:rPr>
          <w:rFonts w:ascii="Arial" w:hAnsi="Arial" w:cs="Arial"/>
          <w:sz w:val="24"/>
          <w:szCs w:val="24"/>
        </w:rPr>
      </w:pPr>
    </w:p>
    <w:p w14:paraId="0696D5C6" w14:textId="6393B28B" w:rsidR="00A73E1C" w:rsidRDefault="00A73E1C" w:rsidP="00A73E1C">
      <w:pPr>
        <w:spacing w:line="360" w:lineRule="auto"/>
        <w:jc w:val="both"/>
        <w:rPr>
          <w:rFonts w:ascii="Arial" w:hAnsi="Arial" w:cs="Arial"/>
          <w:sz w:val="24"/>
          <w:szCs w:val="24"/>
        </w:rPr>
      </w:pPr>
    </w:p>
    <w:p w14:paraId="34355F61" w14:textId="7E98E0C1" w:rsidR="00A73E1C" w:rsidRDefault="00A73E1C" w:rsidP="00A73E1C">
      <w:pPr>
        <w:spacing w:line="360" w:lineRule="auto"/>
        <w:jc w:val="both"/>
        <w:rPr>
          <w:rFonts w:ascii="Arial" w:hAnsi="Arial" w:cs="Arial"/>
          <w:sz w:val="24"/>
          <w:szCs w:val="24"/>
        </w:rPr>
      </w:pPr>
    </w:p>
    <w:p w14:paraId="5B50744E" w14:textId="77777777" w:rsidR="00A73E1C" w:rsidRDefault="00A73E1C" w:rsidP="00A73E1C">
      <w:pPr>
        <w:spacing w:line="360" w:lineRule="auto"/>
        <w:jc w:val="both"/>
        <w:rPr>
          <w:rFonts w:ascii="Arial" w:hAnsi="Arial" w:cs="Arial"/>
          <w:sz w:val="24"/>
          <w:szCs w:val="24"/>
        </w:rPr>
      </w:pPr>
    </w:p>
    <w:p w14:paraId="0ECEF04E" w14:textId="535E14CA" w:rsid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15A27B50"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Crown Prosecution Service (2019) </w:t>
      </w:r>
      <w:proofErr w:type="spellStart"/>
      <w:r w:rsidRPr="00A73E1C">
        <w:rPr>
          <w:rFonts w:ascii="Arial" w:hAnsi="Arial" w:cs="Arial"/>
          <w:i/>
          <w:iCs/>
          <w:sz w:val="24"/>
          <w:szCs w:val="24"/>
        </w:rPr>
        <w:t>Homocide</w:t>
      </w:r>
      <w:proofErr w:type="spellEnd"/>
      <w:r w:rsidRPr="00A73E1C">
        <w:rPr>
          <w:rFonts w:ascii="Arial" w:hAnsi="Arial" w:cs="Arial"/>
          <w:i/>
          <w:iCs/>
          <w:sz w:val="24"/>
          <w:szCs w:val="24"/>
        </w:rPr>
        <w:t xml:space="preserve">: Murder and Manslaughter, </w:t>
      </w:r>
      <w:r w:rsidRPr="00A73E1C">
        <w:rPr>
          <w:rFonts w:ascii="Arial" w:hAnsi="Arial" w:cs="Arial"/>
          <w:sz w:val="24"/>
          <w:szCs w:val="24"/>
        </w:rPr>
        <w:t xml:space="preserve">Available at: </w:t>
      </w:r>
      <w:hyperlink r:id="rId4" w:history="1">
        <w:r w:rsidRPr="00A73E1C">
          <w:rPr>
            <w:rStyle w:val="Hyperlink"/>
            <w:rFonts w:ascii="Arial" w:hAnsi="Arial" w:cs="Arial"/>
            <w:sz w:val="24"/>
            <w:szCs w:val="24"/>
          </w:rPr>
          <w:t>https://www.cps.gov.uk/legal-guidance/homicide-murder-and-manslaughter</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15616037"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Feuerstein, S., </w:t>
      </w:r>
      <w:proofErr w:type="spellStart"/>
      <w:r w:rsidRPr="00A73E1C">
        <w:rPr>
          <w:rFonts w:ascii="Arial" w:hAnsi="Arial" w:cs="Arial"/>
          <w:sz w:val="24"/>
          <w:szCs w:val="24"/>
        </w:rPr>
        <w:t>Fortunati</w:t>
      </w:r>
      <w:proofErr w:type="spellEnd"/>
      <w:r w:rsidRPr="00A73E1C">
        <w:rPr>
          <w:rFonts w:ascii="Arial" w:hAnsi="Arial" w:cs="Arial"/>
          <w:sz w:val="24"/>
          <w:szCs w:val="24"/>
        </w:rPr>
        <w:t xml:space="preserve">, F., Morgan, C.A., </w:t>
      </w:r>
      <w:proofErr w:type="spellStart"/>
      <w:r w:rsidRPr="00A73E1C">
        <w:rPr>
          <w:rFonts w:ascii="Arial" w:hAnsi="Arial" w:cs="Arial"/>
          <w:sz w:val="24"/>
          <w:szCs w:val="24"/>
        </w:rPr>
        <w:t>Coric</w:t>
      </w:r>
      <w:proofErr w:type="spellEnd"/>
      <w:r w:rsidRPr="00A73E1C">
        <w:rPr>
          <w:rFonts w:ascii="Arial" w:hAnsi="Arial" w:cs="Arial"/>
          <w:sz w:val="24"/>
          <w:szCs w:val="24"/>
        </w:rPr>
        <w:t xml:space="preserve">, V., </w:t>
      </w:r>
      <w:proofErr w:type="spellStart"/>
      <w:r w:rsidRPr="00A73E1C">
        <w:rPr>
          <w:rFonts w:ascii="Arial" w:hAnsi="Arial" w:cs="Arial"/>
          <w:sz w:val="24"/>
          <w:szCs w:val="24"/>
        </w:rPr>
        <w:t>Temporini</w:t>
      </w:r>
      <w:proofErr w:type="spellEnd"/>
      <w:r w:rsidRPr="00A73E1C">
        <w:rPr>
          <w:rFonts w:ascii="Arial" w:hAnsi="Arial" w:cs="Arial"/>
          <w:sz w:val="24"/>
          <w:szCs w:val="24"/>
        </w:rPr>
        <w:t xml:space="preserve">, H., Southwick, S. (2005) The Insanity Defence, </w:t>
      </w:r>
      <w:r w:rsidRPr="00A73E1C">
        <w:rPr>
          <w:rFonts w:ascii="Arial" w:hAnsi="Arial" w:cs="Arial"/>
          <w:i/>
          <w:iCs/>
          <w:sz w:val="24"/>
          <w:szCs w:val="24"/>
        </w:rPr>
        <w:t>Psychiatry (</w:t>
      </w:r>
      <w:proofErr w:type="spellStart"/>
      <w:r w:rsidRPr="00A73E1C">
        <w:rPr>
          <w:rFonts w:ascii="Arial" w:hAnsi="Arial" w:cs="Arial"/>
          <w:i/>
          <w:iCs/>
          <w:sz w:val="24"/>
          <w:szCs w:val="24"/>
        </w:rPr>
        <w:t>Edgmont</w:t>
      </w:r>
      <w:proofErr w:type="spellEnd"/>
      <w:r w:rsidRPr="00A73E1C">
        <w:rPr>
          <w:rFonts w:ascii="Arial" w:hAnsi="Arial" w:cs="Arial"/>
          <w:i/>
          <w:iCs/>
          <w:sz w:val="24"/>
          <w:szCs w:val="24"/>
        </w:rPr>
        <w:t xml:space="preserve">), </w:t>
      </w:r>
      <w:r w:rsidRPr="00A73E1C">
        <w:rPr>
          <w:rFonts w:ascii="Arial" w:hAnsi="Arial" w:cs="Arial"/>
          <w:sz w:val="24"/>
          <w:szCs w:val="24"/>
        </w:rPr>
        <w:t>Vol. 2(9), pp. 24-25</w:t>
      </w:r>
    </w:p>
    <w:p w14:paraId="53B4E1A4"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Hogg, C. (2015) The Insanity Defence: An Argument for Abolition, </w:t>
      </w:r>
      <w:r w:rsidRPr="00A73E1C">
        <w:rPr>
          <w:rFonts w:ascii="Arial" w:hAnsi="Arial" w:cs="Arial"/>
          <w:i/>
          <w:iCs/>
          <w:sz w:val="24"/>
          <w:szCs w:val="24"/>
        </w:rPr>
        <w:t xml:space="preserve">The Journal of Criminal Law, </w:t>
      </w:r>
      <w:r w:rsidRPr="00A73E1C">
        <w:rPr>
          <w:rFonts w:ascii="Arial" w:hAnsi="Arial" w:cs="Arial"/>
          <w:sz w:val="24"/>
          <w:szCs w:val="24"/>
        </w:rPr>
        <w:t>Vol. 79(4), pp. 250-256</w:t>
      </w:r>
    </w:p>
    <w:p w14:paraId="5D412B3D" w14:textId="77777777" w:rsidR="00A73E1C" w:rsidRDefault="00A73E1C" w:rsidP="00A73E1C">
      <w:pPr>
        <w:jc w:val="both"/>
        <w:rPr>
          <w:rFonts w:ascii="Arial" w:hAnsi="Arial" w:cs="Arial"/>
          <w:sz w:val="24"/>
          <w:szCs w:val="24"/>
        </w:rPr>
      </w:pPr>
      <w:r w:rsidRPr="00A73E1C">
        <w:rPr>
          <w:rFonts w:ascii="Arial" w:hAnsi="Arial" w:cs="Arial"/>
          <w:sz w:val="24"/>
          <w:szCs w:val="24"/>
        </w:rPr>
        <w:t xml:space="preserve">Law Commission (1989) </w:t>
      </w:r>
      <w:r w:rsidRPr="00A73E1C">
        <w:rPr>
          <w:rFonts w:ascii="Arial" w:hAnsi="Arial" w:cs="Arial"/>
          <w:i/>
          <w:iCs/>
          <w:sz w:val="24"/>
          <w:szCs w:val="24"/>
        </w:rPr>
        <w:t xml:space="preserve">A Criminal Code for England and Wales, </w:t>
      </w:r>
      <w:r w:rsidRPr="00A73E1C">
        <w:rPr>
          <w:rFonts w:ascii="Arial" w:hAnsi="Arial" w:cs="Arial"/>
          <w:sz w:val="24"/>
          <w:szCs w:val="24"/>
        </w:rPr>
        <w:t xml:space="preserve">Available at: </w:t>
      </w:r>
      <w:hyperlink r:id="rId5" w:history="1">
        <w:r w:rsidRPr="00A73E1C">
          <w:rPr>
            <w:rStyle w:val="Hyperlink"/>
            <w:rFonts w:ascii="Arial" w:hAnsi="Arial" w:cs="Arial"/>
            <w:sz w:val="24"/>
            <w:szCs w:val="24"/>
          </w:rPr>
          <w:t>http://www.lawcom.gov.uk/app/uploads/2015/06/Criminal_Code_177_2.pdf</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2824BB1F"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Law Commission (2012a) </w:t>
      </w:r>
      <w:r w:rsidRPr="00A73E1C">
        <w:rPr>
          <w:rFonts w:ascii="Arial" w:hAnsi="Arial" w:cs="Arial"/>
          <w:i/>
          <w:iCs/>
          <w:sz w:val="24"/>
          <w:szCs w:val="24"/>
        </w:rPr>
        <w:t>Insanity and Automatism A Scoping Paper</w:t>
      </w:r>
      <w:r w:rsidRPr="00A73E1C">
        <w:rPr>
          <w:rFonts w:ascii="Arial" w:hAnsi="Arial" w:cs="Arial"/>
          <w:sz w:val="24"/>
          <w:szCs w:val="24"/>
        </w:rPr>
        <w:t xml:space="preserve">, Available at: </w:t>
      </w:r>
      <w:hyperlink r:id="rId6" w:history="1">
        <w:r w:rsidRPr="00A73E1C">
          <w:rPr>
            <w:rStyle w:val="Hyperlink"/>
            <w:rFonts w:ascii="Arial" w:hAnsi="Arial" w:cs="Arial"/>
            <w:sz w:val="24"/>
            <w:szCs w:val="24"/>
          </w:rPr>
          <w:t>https://s3-eu-west-2.amazonaws.com/lawcom-prod-storage-11jsxou24uy7q/uploads/2015/06/insanity_scoping.pdf</w:t>
        </w:r>
      </w:hyperlink>
      <w:r w:rsidRPr="00A73E1C">
        <w:rPr>
          <w:rFonts w:ascii="Arial" w:hAnsi="Arial" w:cs="Arial"/>
          <w:sz w:val="24"/>
          <w:szCs w:val="24"/>
        </w:rPr>
        <w:t xml:space="preserve"> (Accessed: 17</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242B66AF"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Law Commission (2012b) </w:t>
      </w:r>
      <w:r w:rsidRPr="00A73E1C">
        <w:rPr>
          <w:rFonts w:ascii="Arial" w:hAnsi="Arial" w:cs="Arial"/>
          <w:i/>
          <w:iCs/>
          <w:sz w:val="24"/>
          <w:szCs w:val="24"/>
        </w:rPr>
        <w:t xml:space="preserve">Insanity and Autism, </w:t>
      </w:r>
      <w:r w:rsidRPr="00A73E1C">
        <w:rPr>
          <w:rFonts w:ascii="Arial" w:hAnsi="Arial" w:cs="Arial"/>
          <w:sz w:val="24"/>
          <w:szCs w:val="24"/>
        </w:rPr>
        <w:t xml:space="preserve">Available at: </w:t>
      </w:r>
      <w:hyperlink r:id="rId7" w:history="1">
        <w:r w:rsidRPr="00A73E1C">
          <w:rPr>
            <w:rStyle w:val="Hyperlink"/>
            <w:rFonts w:ascii="Arial" w:hAnsi="Arial" w:cs="Arial"/>
            <w:sz w:val="24"/>
            <w:szCs w:val="24"/>
          </w:rPr>
          <w:t>https://consult.justice.gov.uk/law-commission/insanity-and-automatism/</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300F19EC"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Law Commission (2013) </w:t>
      </w:r>
      <w:r w:rsidRPr="00A73E1C">
        <w:rPr>
          <w:rFonts w:ascii="Arial" w:hAnsi="Arial" w:cs="Arial"/>
          <w:i/>
          <w:iCs/>
          <w:sz w:val="24"/>
          <w:szCs w:val="24"/>
        </w:rPr>
        <w:t xml:space="preserve">Criminal Liability: Insanity and Automatism, </w:t>
      </w:r>
      <w:r w:rsidRPr="00A73E1C">
        <w:rPr>
          <w:rFonts w:ascii="Arial" w:hAnsi="Arial" w:cs="Arial"/>
          <w:sz w:val="24"/>
          <w:szCs w:val="24"/>
        </w:rPr>
        <w:t xml:space="preserve">Available at: </w:t>
      </w:r>
      <w:hyperlink r:id="rId8" w:history="1">
        <w:r w:rsidRPr="00A73E1C">
          <w:rPr>
            <w:rStyle w:val="Hyperlink"/>
            <w:rFonts w:ascii="Arial" w:hAnsi="Arial" w:cs="Arial"/>
            <w:sz w:val="24"/>
            <w:szCs w:val="24"/>
          </w:rPr>
          <w:t>http://www.lawcom.gov.uk/app/uploads/2015/06/insanity_discussion.pdf</w:t>
        </w:r>
      </w:hyperlink>
      <w:r w:rsidRPr="00A73E1C">
        <w:rPr>
          <w:rFonts w:ascii="Arial" w:hAnsi="Arial" w:cs="Arial"/>
          <w:sz w:val="24"/>
          <w:szCs w:val="24"/>
        </w:rPr>
        <w:t xml:space="preserve"> (Accessed: 18</w:t>
      </w:r>
      <w:r w:rsidRPr="00A73E1C">
        <w:rPr>
          <w:rFonts w:ascii="Arial" w:hAnsi="Arial" w:cs="Arial"/>
          <w:sz w:val="24"/>
          <w:szCs w:val="24"/>
          <w:vertAlign w:val="superscript"/>
        </w:rPr>
        <w:t>th</w:t>
      </w:r>
      <w:r w:rsidRPr="00A73E1C">
        <w:rPr>
          <w:rFonts w:ascii="Arial" w:hAnsi="Arial" w:cs="Arial"/>
          <w:sz w:val="24"/>
          <w:szCs w:val="24"/>
        </w:rPr>
        <w:t xml:space="preserve"> April 2021)</w:t>
      </w:r>
    </w:p>
    <w:p w14:paraId="4E623E1D" w14:textId="77777777" w:rsidR="00A73E1C" w:rsidRPr="00A73E1C" w:rsidRDefault="00A73E1C" w:rsidP="00A73E1C">
      <w:pPr>
        <w:jc w:val="both"/>
        <w:rPr>
          <w:rFonts w:ascii="Arial" w:hAnsi="Arial" w:cs="Arial"/>
          <w:sz w:val="24"/>
          <w:szCs w:val="24"/>
        </w:rPr>
      </w:pPr>
      <w:r w:rsidRPr="00A73E1C">
        <w:rPr>
          <w:rFonts w:ascii="Arial" w:hAnsi="Arial" w:cs="Arial"/>
          <w:sz w:val="24"/>
          <w:szCs w:val="24"/>
        </w:rPr>
        <w:t xml:space="preserve">Legislation.gov.uk (2021) </w:t>
      </w:r>
      <w:r w:rsidRPr="00A73E1C">
        <w:rPr>
          <w:rFonts w:ascii="Arial" w:hAnsi="Arial" w:cs="Arial"/>
          <w:i/>
          <w:iCs/>
          <w:sz w:val="24"/>
          <w:szCs w:val="24"/>
        </w:rPr>
        <w:t xml:space="preserve">Criminal Procedure (Insanity) Act 1864, </w:t>
      </w:r>
      <w:r w:rsidRPr="00A73E1C">
        <w:rPr>
          <w:rFonts w:ascii="Arial" w:hAnsi="Arial" w:cs="Arial"/>
          <w:sz w:val="24"/>
          <w:szCs w:val="24"/>
        </w:rPr>
        <w:t xml:space="preserve">Available at: </w:t>
      </w:r>
      <w:hyperlink r:id="rId9" w:history="1">
        <w:r w:rsidRPr="00A73E1C">
          <w:rPr>
            <w:rStyle w:val="Hyperlink"/>
            <w:rFonts w:ascii="Arial" w:hAnsi="Arial" w:cs="Arial"/>
            <w:sz w:val="24"/>
            <w:szCs w:val="24"/>
          </w:rPr>
          <w:t>https://www.legislation.gov.uk/ukpga/1964/84/body/enacted?view=plain</w:t>
        </w:r>
      </w:hyperlink>
      <w:r w:rsidRPr="00A73E1C">
        <w:rPr>
          <w:rFonts w:ascii="Arial" w:hAnsi="Arial" w:cs="Arial"/>
          <w:sz w:val="24"/>
          <w:szCs w:val="24"/>
        </w:rPr>
        <w:t xml:space="preserve"> (Accessed: 17</w:t>
      </w:r>
      <w:r w:rsidRPr="00A73E1C">
        <w:rPr>
          <w:rFonts w:ascii="Arial" w:hAnsi="Arial" w:cs="Arial"/>
          <w:sz w:val="24"/>
          <w:szCs w:val="24"/>
          <w:vertAlign w:val="superscript"/>
        </w:rPr>
        <w:t>th</w:t>
      </w:r>
      <w:r w:rsidRPr="00A73E1C">
        <w:rPr>
          <w:rFonts w:ascii="Arial" w:hAnsi="Arial" w:cs="Arial"/>
          <w:sz w:val="24"/>
          <w:szCs w:val="24"/>
        </w:rPr>
        <w:t xml:space="preserve"> March 2021)</w:t>
      </w:r>
    </w:p>
    <w:p w14:paraId="29F5AE09" w14:textId="77777777" w:rsidR="00A73E1C" w:rsidRPr="00A73E1C" w:rsidRDefault="00A73E1C" w:rsidP="00A73E1C">
      <w:pPr>
        <w:jc w:val="both"/>
        <w:rPr>
          <w:rFonts w:ascii="Arial" w:hAnsi="Arial" w:cs="Arial"/>
          <w:sz w:val="24"/>
          <w:szCs w:val="24"/>
        </w:rPr>
      </w:pPr>
      <w:proofErr w:type="spellStart"/>
      <w:r w:rsidRPr="00A73E1C">
        <w:rPr>
          <w:rFonts w:ascii="Arial" w:hAnsi="Arial" w:cs="Arial"/>
          <w:sz w:val="24"/>
          <w:szCs w:val="24"/>
        </w:rPr>
        <w:t>Mukhia</w:t>
      </w:r>
      <w:proofErr w:type="spellEnd"/>
      <w:r w:rsidRPr="00A73E1C">
        <w:rPr>
          <w:rFonts w:ascii="Arial" w:hAnsi="Arial" w:cs="Arial"/>
          <w:sz w:val="24"/>
          <w:szCs w:val="24"/>
        </w:rPr>
        <w:t xml:space="preserve">, S. (2012) Is the Common Law Defence of Insanity Ineffective and in Need of </w:t>
      </w:r>
      <w:proofErr w:type="gramStart"/>
      <w:r w:rsidRPr="00A73E1C">
        <w:rPr>
          <w:rFonts w:ascii="Arial" w:hAnsi="Arial" w:cs="Arial"/>
          <w:sz w:val="24"/>
          <w:szCs w:val="24"/>
        </w:rPr>
        <w:t>Reform?,</w:t>
      </w:r>
      <w:proofErr w:type="gramEnd"/>
      <w:r w:rsidRPr="00A73E1C">
        <w:rPr>
          <w:rFonts w:ascii="Arial" w:hAnsi="Arial" w:cs="Arial"/>
          <w:sz w:val="24"/>
          <w:szCs w:val="24"/>
        </w:rPr>
        <w:t xml:space="preserve"> </w:t>
      </w:r>
      <w:r w:rsidRPr="00A73E1C">
        <w:rPr>
          <w:rFonts w:ascii="Arial" w:hAnsi="Arial" w:cs="Arial"/>
          <w:i/>
          <w:iCs/>
          <w:sz w:val="24"/>
          <w:szCs w:val="24"/>
        </w:rPr>
        <w:t xml:space="preserve">Plymouth and Criminal Justice Law Review, </w:t>
      </w:r>
      <w:r w:rsidRPr="00A73E1C">
        <w:rPr>
          <w:rFonts w:ascii="Arial" w:hAnsi="Arial" w:cs="Arial"/>
          <w:sz w:val="24"/>
          <w:szCs w:val="24"/>
        </w:rPr>
        <w:t>Vol. 4, pp. 117-131</w:t>
      </w:r>
    </w:p>
    <w:p w14:paraId="06D66C9C" w14:textId="74DE0065" w:rsidR="00A73E1C" w:rsidRDefault="00A73E1C" w:rsidP="00A73E1C">
      <w:pPr>
        <w:jc w:val="both"/>
        <w:rPr>
          <w:rFonts w:ascii="Arial" w:hAnsi="Arial" w:cs="Arial"/>
          <w:b/>
          <w:bCs/>
          <w:sz w:val="24"/>
          <w:szCs w:val="24"/>
          <w:u w:val="single"/>
        </w:rPr>
      </w:pPr>
      <w:r>
        <w:rPr>
          <w:rFonts w:ascii="Arial" w:hAnsi="Arial" w:cs="Arial"/>
          <w:b/>
          <w:bCs/>
          <w:sz w:val="24"/>
          <w:szCs w:val="24"/>
          <w:u w:val="single"/>
        </w:rPr>
        <w:t>Case Law</w:t>
      </w:r>
    </w:p>
    <w:p w14:paraId="37179E92" w14:textId="77777777" w:rsidR="00A73E1C" w:rsidRPr="00A73E1C" w:rsidRDefault="00A73E1C" w:rsidP="00A73E1C">
      <w:pPr>
        <w:jc w:val="both"/>
        <w:rPr>
          <w:rFonts w:ascii="Arial" w:hAnsi="Arial" w:cs="Arial"/>
          <w:sz w:val="24"/>
          <w:szCs w:val="24"/>
        </w:rPr>
      </w:pPr>
      <w:r w:rsidRPr="00A73E1C">
        <w:rPr>
          <w:rFonts w:ascii="Arial" w:hAnsi="Arial" w:cs="Arial"/>
          <w:i/>
          <w:iCs/>
          <w:sz w:val="24"/>
          <w:szCs w:val="24"/>
        </w:rPr>
        <w:t xml:space="preserve">M’Naghten </w:t>
      </w:r>
      <w:r w:rsidRPr="00A73E1C">
        <w:rPr>
          <w:rFonts w:ascii="Arial" w:hAnsi="Arial" w:cs="Arial"/>
          <w:sz w:val="24"/>
          <w:szCs w:val="24"/>
        </w:rPr>
        <w:t>[1843] UKHL J16</w:t>
      </w:r>
    </w:p>
    <w:p w14:paraId="202B0A07" w14:textId="77777777" w:rsidR="00A73E1C" w:rsidRPr="00A73E1C" w:rsidRDefault="00A73E1C" w:rsidP="00A73E1C">
      <w:pPr>
        <w:jc w:val="both"/>
        <w:rPr>
          <w:rFonts w:ascii="Arial" w:hAnsi="Arial" w:cs="Arial"/>
          <w:sz w:val="24"/>
          <w:szCs w:val="24"/>
        </w:rPr>
      </w:pPr>
      <w:r w:rsidRPr="00A73E1C">
        <w:rPr>
          <w:rFonts w:ascii="Arial" w:hAnsi="Arial" w:cs="Arial"/>
          <w:i/>
          <w:iCs/>
          <w:sz w:val="24"/>
          <w:szCs w:val="24"/>
        </w:rPr>
        <w:t xml:space="preserve">R v Burgess </w:t>
      </w:r>
      <w:r w:rsidRPr="00A73E1C">
        <w:rPr>
          <w:rFonts w:ascii="Arial" w:hAnsi="Arial" w:cs="Arial"/>
          <w:sz w:val="24"/>
          <w:szCs w:val="24"/>
        </w:rPr>
        <w:t>[1991] 2 WLR 1206</w:t>
      </w:r>
    </w:p>
    <w:p w14:paraId="2E2C70DB" w14:textId="77777777" w:rsidR="00A73E1C" w:rsidRPr="00A73E1C" w:rsidRDefault="00A73E1C" w:rsidP="00A73E1C">
      <w:pPr>
        <w:jc w:val="both"/>
        <w:rPr>
          <w:rFonts w:ascii="Arial" w:hAnsi="Arial" w:cs="Arial"/>
          <w:sz w:val="24"/>
          <w:szCs w:val="24"/>
        </w:rPr>
      </w:pPr>
      <w:r w:rsidRPr="00A73E1C">
        <w:rPr>
          <w:rFonts w:ascii="Arial" w:hAnsi="Arial" w:cs="Arial"/>
          <w:i/>
          <w:iCs/>
          <w:sz w:val="24"/>
          <w:szCs w:val="24"/>
        </w:rPr>
        <w:t xml:space="preserve">R v Clarke </w:t>
      </w:r>
      <w:r w:rsidRPr="00A73E1C">
        <w:rPr>
          <w:rFonts w:ascii="Arial" w:hAnsi="Arial" w:cs="Arial"/>
          <w:sz w:val="24"/>
          <w:szCs w:val="24"/>
        </w:rPr>
        <w:t>[1972] 1 All ER 219</w:t>
      </w:r>
    </w:p>
    <w:p w14:paraId="03C20E98" w14:textId="77777777" w:rsidR="00A73E1C" w:rsidRPr="00A73E1C" w:rsidRDefault="00A73E1C" w:rsidP="00A73E1C">
      <w:pPr>
        <w:jc w:val="both"/>
        <w:rPr>
          <w:rFonts w:ascii="Arial" w:hAnsi="Arial" w:cs="Arial"/>
          <w:b/>
          <w:bCs/>
          <w:sz w:val="24"/>
          <w:szCs w:val="24"/>
          <w:u w:val="single"/>
        </w:rPr>
      </w:pPr>
    </w:p>
    <w:p w14:paraId="53E37F26" w14:textId="77777777" w:rsidR="00A73E1C" w:rsidRPr="00A73E1C" w:rsidRDefault="00A73E1C" w:rsidP="00A73E1C">
      <w:pPr>
        <w:spacing w:line="360" w:lineRule="auto"/>
        <w:jc w:val="both"/>
        <w:rPr>
          <w:rFonts w:ascii="Arial" w:hAnsi="Arial" w:cs="Arial"/>
          <w:b/>
          <w:bCs/>
          <w:sz w:val="24"/>
          <w:szCs w:val="24"/>
          <w:u w:val="single"/>
        </w:rPr>
      </w:pPr>
    </w:p>
    <w:p w14:paraId="2C4F20A1" w14:textId="72A39441" w:rsidR="00A73E1C" w:rsidRDefault="00A73E1C" w:rsidP="00A73E1C">
      <w:pPr>
        <w:spacing w:line="360" w:lineRule="auto"/>
        <w:jc w:val="both"/>
        <w:rPr>
          <w:rFonts w:ascii="Arial" w:hAnsi="Arial" w:cs="Arial"/>
          <w:sz w:val="24"/>
          <w:szCs w:val="24"/>
        </w:rPr>
      </w:pPr>
    </w:p>
    <w:p w14:paraId="087B84AB" w14:textId="059D3BC3" w:rsidR="00A73E1C" w:rsidRDefault="00A73E1C" w:rsidP="00A73E1C">
      <w:pPr>
        <w:spacing w:line="360" w:lineRule="auto"/>
        <w:jc w:val="both"/>
        <w:rPr>
          <w:rFonts w:ascii="Arial" w:hAnsi="Arial" w:cs="Arial"/>
          <w:sz w:val="24"/>
          <w:szCs w:val="24"/>
        </w:rPr>
      </w:pPr>
    </w:p>
    <w:p w14:paraId="2E8C1B57" w14:textId="0C3A41EE" w:rsidR="00A73E1C" w:rsidRDefault="00A73E1C" w:rsidP="00A73E1C">
      <w:pPr>
        <w:spacing w:line="360" w:lineRule="auto"/>
        <w:jc w:val="both"/>
        <w:rPr>
          <w:rFonts w:ascii="Arial" w:hAnsi="Arial" w:cs="Arial"/>
          <w:sz w:val="24"/>
          <w:szCs w:val="24"/>
        </w:rPr>
      </w:pPr>
    </w:p>
    <w:p w14:paraId="31FFFE89" w14:textId="38EAE76C" w:rsid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lastRenderedPageBreak/>
        <w:t>Question 2</w:t>
      </w:r>
    </w:p>
    <w:p w14:paraId="1E1E3FC9" w14:textId="77777777" w:rsidR="00A73E1C" w:rsidRDefault="00A73E1C" w:rsidP="00A73E1C">
      <w:pPr>
        <w:spacing w:line="360" w:lineRule="auto"/>
        <w:jc w:val="both"/>
        <w:rPr>
          <w:rFonts w:ascii="Arial" w:hAnsi="Arial" w:cs="Arial"/>
          <w:sz w:val="24"/>
          <w:szCs w:val="24"/>
        </w:rPr>
      </w:pPr>
      <w:r w:rsidRPr="00A27235">
        <w:rPr>
          <w:rFonts w:ascii="Arial" w:hAnsi="Arial" w:cs="Arial"/>
          <w:sz w:val="24"/>
          <w:szCs w:val="24"/>
        </w:rPr>
        <w:t>Having established that Ali has killed two people</w:t>
      </w:r>
      <w:r>
        <w:rPr>
          <w:rFonts w:ascii="Arial" w:hAnsi="Arial" w:cs="Arial"/>
          <w:sz w:val="24"/>
          <w:szCs w:val="24"/>
        </w:rPr>
        <w:t xml:space="preserve">, the next question is whether Ali is able to be charged with murder on both counts. To do this, it must be established whether Ali’s intention was to commit two acts of murder on the days in question, and whether he meets the required </w:t>
      </w:r>
      <w:r w:rsidRPr="00A27235">
        <w:rPr>
          <w:rFonts w:ascii="Arial" w:hAnsi="Arial" w:cs="Arial"/>
          <w:i/>
          <w:iCs/>
          <w:sz w:val="24"/>
          <w:szCs w:val="24"/>
        </w:rPr>
        <w:t>actus reus</w:t>
      </w:r>
      <w:r>
        <w:rPr>
          <w:rFonts w:ascii="Arial" w:hAnsi="Arial" w:cs="Arial"/>
          <w:sz w:val="24"/>
          <w:szCs w:val="24"/>
        </w:rPr>
        <w:t xml:space="preserve"> and </w:t>
      </w:r>
      <w:r w:rsidRPr="00A27235">
        <w:rPr>
          <w:rFonts w:ascii="Arial" w:hAnsi="Arial" w:cs="Arial"/>
          <w:i/>
          <w:iCs/>
          <w:sz w:val="24"/>
          <w:szCs w:val="24"/>
        </w:rPr>
        <w:t>mens rea</w:t>
      </w:r>
      <w:r>
        <w:rPr>
          <w:rFonts w:ascii="Arial" w:hAnsi="Arial" w:cs="Arial"/>
          <w:sz w:val="24"/>
          <w:szCs w:val="24"/>
        </w:rPr>
        <w:t xml:space="preserve"> for the offense of murder on both occasions. This shall be done by establishing the facts and using relevant case law to determine whether Ali is criminally liable for his actions.</w:t>
      </w:r>
    </w:p>
    <w:p w14:paraId="0981BB91" w14:textId="77777777" w:rsidR="00A73E1C" w:rsidRDefault="00A73E1C" w:rsidP="00A73E1C">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establish whether Ali can be charged with murder, it is important to examine Ali’s intentions. </w:t>
      </w:r>
      <w:proofErr w:type="gramStart"/>
      <w:r>
        <w:rPr>
          <w:rFonts w:ascii="Arial" w:hAnsi="Arial" w:cs="Arial"/>
          <w:sz w:val="24"/>
          <w:szCs w:val="24"/>
        </w:rPr>
        <w:t>It is clear that Ali</w:t>
      </w:r>
      <w:proofErr w:type="gramEnd"/>
      <w:r>
        <w:rPr>
          <w:rFonts w:ascii="Arial" w:hAnsi="Arial" w:cs="Arial"/>
          <w:sz w:val="24"/>
          <w:szCs w:val="24"/>
        </w:rPr>
        <w:t xml:space="preserve"> intended to cause serious harm to Colin when he stabbed him as he was waiting for Colin to follow him home from work whilst carrying an object capable of inflicting a fatal wound. Ali also inflicted said wound after Colin told him that he had told the police nothing, thus showing Ali had direct intent on fatally wounding Colin no matter what. This will allow Ali to be charged under section 1 of the Homicide Act (1957) as it was a killing while under the Queen’s peace and was inflicted on another person, thus meeting the necessary </w:t>
      </w:r>
      <w:r>
        <w:rPr>
          <w:rFonts w:ascii="Arial" w:hAnsi="Arial" w:cs="Arial"/>
          <w:i/>
          <w:iCs/>
          <w:sz w:val="24"/>
          <w:szCs w:val="24"/>
        </w:rPr>
        <w:t>actus reus</w:t>
      </w:r>
      <w:r>
        <w:rPr>
          <w:rFonts w:ascii="Arial" w:hAnsi="Arial" w:cs="Arial"/>
          <w:sz w:val="24"/>
          <w:szCs w:val="24"/>
        </w:rPr>
        <w:t xml:space="preserve"> for murder. Even if Ali did not intend to murder Colin, by inflicting a wound he would at least meet the necessary grounds to be charged with GBH, which can result in a murder charge if the actions of the defendant result in the death of a victim, as can be seen in the case of </w:t>
      </w:r>
      <w:r>
        <w:rPr>
          <w:rFonts w:ascii="Arial" w:hAnsi="Arial" w:cs="Arial"/>
          <w:i/>
          <w:iCs/>
          <w:sz w:val="24"/>
          <w:szCs w:val="24"/>
        </w:rPr>
        <w:t xml:space="preserve">R v Cunningham </w:t>
      </w:r>
      <w:r>
        <w:rPr>
          <w:rFonts w:ascii="Arial" w:hAnsi="Arial" w:cs="Arial"/>
          <w:sz w:val="24"/>
          <w:szCs w:val="24"/>
        </w:rPr>
        <w:t xml:space="preserve">[1982]. By intending to kill or cause GBH to another person, this also satisfies the </w:t>
      </w:r>
      <w:r>
        <w:rPr>
          <w:rFonts w:ascii="Arial" w:hAnsi="Arial" w:cs="Arial"/>
          <w:i/>
          <w:iCs/>
          <w:sz w:val="24"/>
          <w:szCs w:val="24"/>
        </w:rPr>
        <w:t>mens rea</w:t>
      </w:r>
      <w:r>
        <w:rPr>
          <w:rFonts w:ascii="Arial" w:hAnsi="Arial" w:cs="Arial"/>
          <w:sz w:val="24"/>
          <w:szCs w:val="24"/>
        </w:rPr>
        <w:t xml:space="preserve"> for the offense of murder.</w:t>
      </w:r>
    </w:p>
    <w:p w14:paraId="51057055" w14:textId="77777777" w:rsidR="00A73E1C" w:rsidRDefault="00A73E1C" w:rsidP="00A73E1C">
      <w:pPr>
        <w:spacing w:line="360" w:lineRule="auto"/>
        <w:jc w:val="both"/>
        <w:rPr>
          <w:rFonts w:ascii="Arial" w:hAnsi="Arial" w:cs="Arial"/>
          <w:sz w:val="24"/>
          <w:szCs w:val="24"/>
        </w:rPr>
      </w:pPr>
      <w:r>
        <w:rPr>
          <w:rFonts w:ascii="Arial" w:hAnsi="Arial" w:cs="Arial"/>
          <w:sz w:val="24"/>
          <w:szCs w:val="24"/>
        </w:rPr>
        <w:t xml:space="preserve">When looking at Ali’s criminal liability for the death of Lee, it does not appear that Ali meets the necessary requirements for a murder charge. While Ali did deliver the fatal punch that resulted in Lee’s death, it was not Ali’s intention to cause such harm to Lee as it was his feelings towards Colin that caused Ali to act the way he did. However, as can be seen in the case of </w:t>
      </w:r>
      <w:r>
        <w:rPr>
          <w:rFonts w:ascii="Arial" w:hAnsi="Arial" w:cs="Arial"/>
          <w:i/>
          <w:iCs/>
          <w:sz w:val="24"/>
          <w:szCs w:val="24"/>
        </w:rPr>
        <w:t xml:space="preserve">R v Larkin </w:t>
      </w:r>
      <w:r>
        <w:rPr>
          <w:rFonts w:ascii="Arial" w:hAnsi="Arial" w:cs="Arial"/>
          <w:sz w:val="24"/>
          <w:szCs w:val="24"/>
        </w:rPr>
        <w:t xml:space="preserve">(1942), an unlawful act had taken place that resulted in Lee’s death, one which would be regarded as dangerous by a reasonable sober person meaning that Ali is still criminally responsible for the death of Lee. As Ali lacks the </w:t>
      </w:r>
      <w:r>
        <w:rPr>
          <w:rFonts w:ascii="Arial" w:hAnsi="Arial" w:cs="Arial"/>
          <w:i/>
          <w:iCs/>
          <w:sz w:val="24"/>
          <w:szCs w:val="24"/>
        </w:rPr>
        <w:t>mens rea</w:t>
      </w:r>
      <w:r>
        <w:rPr>
          <w:rFonts w:ascii="Arial" w:hAnsi="Arial" w:cs="Arial"/>
          <w:sz w:val="24"/>
          <w:szCs w:val="24"/>
        </w:rPr>
        <w:t xml:space="preserve"> for the offence of murder, he would fall under involuntary manslaughter. The next question is to establish whether Ali could be charged with constructive manslaughter or gross negligence manslaughter.</w:t>
      </w:r>
    </w:p>
    <w:p w14:paraId="58B351BB" w14:textId="77777777" w:rsidR="00A73E1C" w:rsidRDefault="00A73E1C" w:rsidP="00A73E1C">
      <w:pPr>
        <w:spacing w:line="360" w:lineRule="auto"/>
        <w:jc w:val="both"/>
        <w:rPr>
          <w:rFonts w:ascii="Arial" w:hAnsi="Arial" w:cs="Arial"/>
          <w:sz w:val="24"/>
          <w:szCs w:val="24"/>
        </w:rPr>
      </w:pPr>
      <w:r>
        <w:rPr>
          <w:rFonts w:ascii="Arial" w:hAnsi="Arial" w:cs="Arial"/>
          <w:sz w:val="24"/>
          <w:szCs w:val="24"/>
        </w:rPr>
        <w:t xml:space="preserve">The key difference between constructive and gross negligence manslaughter is whether the defendants’ actions which resulted in a victim’s death were lawful or </w:t>
      </w:r>
      <w:r>
        <w:rPr>
          <w:rFonts w:ascii="Arial" w:hAnsi="Arial" w:cs="Arial"/>
          <w:sz w:val="24"/>
          <w:szCs w:val="24"/>
        </w:rPr>
        <w:lastRenderedPageBreak/>
        <w:t xml:space="preserve">unlawful. The case of </w:t>
      </w:r>
      <w:r>
        <w:rPr>
          <w:rFonts w:ascii="Arial" w:hAnsi="Arial" w:cs="Arial"/>
          <w:i/>
          <w:iCs/>
          <w:sz w:val="24"/>
          <w:szCs w:val="24"/>
        </w:rPr>
        <w:t xml:space="preserve">R v Lamb </w:t>
      </w:r>
      <w:r>
        <w:rPr>
          <w:rFonts w:ascii="Arial" w:hAnsi="Arial" w:cs="Arial"/>
          <w:sz w:val="24"/>
          <w:szCs w:val="24"/>
        </w:rPr>
        <w:t xml:space="preserve">[1967] tells us that a person can be charged with gross negligence manslaughter if the defendant acted lawfully. While in this case, the defendant did shoot the victim with a revolver which would appear to fulfil the requirement for murder, the defendant and the victim did not believe the revolver would fire as there were no bullets visible in the chamber when the gun was fired, meaning no unlawful act took place. The situation for Ali becomes complicated when it could be said that Colin’s actions is what caused the physical fight to break out as it was Colin that retaliated to Ali’s comments. However, it was still Ali that initiated the confrontation by making comments at Colin, making Ali eligible to be charged under the Public Offences Act (1986). What this means it that it was an unlawful act that started the confrontation that resulted in Lee’s death, and the case of </w:t>
      </w:r>
      <w:r>
        <w:rPr>
          <w:rFonts w:ascii="Arial" w:hAnsi="Arial" w:cs="Arial"/>
          <w:i/>
          <w:iCs/>
          <w:sz w:val="24"/>
          <w:szCs w:val="24"/>
        </w:rPr>
        <w:t xml:space="preserve">R v Franklin </w:t>
      </w:r>
      <w:r>
        <w:rPr>
          <w:rFonts w:ascii="Arial" w:hAnsi="Arial" w:cs="Arial"/>
          <w:sz w:val="24"/>
          <w:szCs w:val="24"/>
        </w:rPr>
        <w:t xml:space="preserve">(1883) states that an unlawful act makes the defendant eligible to be charged with constructive manslaughter. Even if Ali did not meet the requirements to be charged under the Public Offences Act (1986), he would meet the requirements for a charge of Battery under the Offences Against the Person Act (1861). It was this punch that directly resulted in Lee’s death, and the case of </w:t>
      </w:r>
      <w:r>
        <w:rPr>
          <w:rFonts w:ascii="Arial" w:hAnsi="Arial" w:cs="Arial"/>
          <w:i/>
          <w:iCs/>
          <w:sz w:val="24"/>
          <w:szCs w:val="24"/>
        </w:rPr>
        <w:t xml:space="preserve">R v Cato </w:t>
      </w:r>
      <w:r>
        <w:rPr>
          <w:rFonts w:ascii="Arial" w:hAnsi="Arial" w:cs="Arial"/>
          <w:sz w:val="24"/>
          <w:szCs w:val="24"/>
        </w:rPr>
        <w:t>[1976] states that the unlawful act must not only be dangerous but must also cause the death of a defendant. Ali has therefore committed two separate unlawful acts, one of which was dangerous that resulted in Lee’s death. This would make Lee eligible for a charge of constructive manslaughter.</w:t>
      </w:r>
    </w:p>
    <w:p w14:paraId="72535F80" w14:textId="77777777" w:rsidR="00A73E1C" w:rsidRDefault="00A73E1C" w:rsidP="00A73E1C">
      <w:pPr>
        <w:spacing w:line="360" w:lineRule="auto"/>
        <w:jc w:val="both"/>
        <w:rPr>
          <w:rFonts w:ascii="Arial" w:hAnsi="Arial" w:cs="Arial"/>
          <w:sz w:val="24"/>
          <w:szCs w:val="24"/>
        </w:rPr>
      </w:pPr>
      <w:r>
        <w:rPr>
          <w:rFonts w:ascii="Arial" w:hAnsi="Arial" w:cs="Arial"/>
          <w:sz w:val="24"/>
          <w:szCs w:val="24"/>
        </w:rPr>
        <w:t xml:space="preserve">In conclusion, Ali is criminally liable for both Lee and Colin’s deaths. In the case of Colin’s death, Ali’s intentions were clear that he intended to inflict GBH or greater to Colin, thus meeting the requirements for a murder charge. While not able to meet the requirements for a murder charge for Lee, Ali did still act unlawfully and dangerously by first initiating the confrontation that resulted in Lee’s death by verbally abusing Colin, and then again by punching Lee in the fight making Ali eligible for a battery charge. The latter offence of battery is the one that would hold a strong case for a charge of constructive manslaughter as it meets the three main requirements for this charge. For a successful constructive manslaughter charge there must be an unlawful act, the unlawful act must be dangerous, and said unlawful dangerous act must case the death of a person. Battery fits into these requirements, meaning for both killings, Ali can be charged with one count of murder and one count of constructive manslaughter. </w:t>
      </w:r>
    </w:p>
    <w:p w14:paraId="0383B946" w14:textId="6D80BE28" w:rsidR="00A73E1C" w:rsidRDefault="00A73E1C" w:rsidP="00A73E1C">
      <w:pPr>
        <w:spacing w:line="360" w:lineRule="auto"/>
        <w:jc w:val="both"/>
        <w:rPr>
          <w:rFonts w:ascii="Arial" w:hAnsi="Arial" w:cs="Arial"/>
          <w:sz w:val="24"/>
          <w:szCs w:val="24"/>
        </w:rPr>
      </w:pPr>
    </w:p>
    <w:p w14:paraId="7F0BF8BE" w14:textId="598D1348" w:rsidR="00A73E1C" w:rsidRDefault="00A73E1C" w:rsidP="00A73E1C">
      <w:pPr>
        <w:spacing w:line="360" w:lineRule="auto"/>
        <w:jc w:val="both"/>
        <w:rPr>
          <w:rFonts w:ascii="Arial" w:hAnsi="Arial" w:cs="Arial"/>
          <w:b/>
          <w:bCs/>
          <w:sz w:val="24"/>
          <w:szCs w:val="24"/>
          <w:u w:val="single"/>
        </w:rPr>
      </w:pPr>
      <w:r>
        <w:rPr>
          <w:rFonts w:ascii="Arial" w:hAnsi="Arial" w:cs="Arial"/>
          <w:b/>
          <w:bCs/>
          <w:sz w:val="24"/>
          <w:szCs w:val="24"/>
          <w:u w:val="single"/>
        </w:rPr>
        <w:lastRenderedPageBreak/>
        <w:t>Case Law &amp; Legislation</w:t>
      </w:r>
    </w:p>
    <w:p w14:paraId="0390B598" w14:textId="77777777" w:rsidR="00447DBE" w:rsidRPr="00C914C5" w:rsidRDefault="00447DBE" w:rsidP="00447DBE">
      <w:pPr>
        <w:jc w:val="both"/>
        <w:rPr>
          <w:rFonts w:ascii="Arial" w:hAnsi="Arial" w:cs="Arial"/>
          <w:sz w:val="24"/>
          <w:szCs w:val="24"/>
        </w:rPr>
      </w:pPr>
      <w:proofErr w:type="spellStart"/>
      <w:r w:rsidRPr="00C914C5">
        <w:rPr>
          <w:rFonts w:ascii="Arial" w:hAnsi="Arial" w:cs="Arial"/>
          <w:i/>
          <w:iCs/>
          <w:sz w:val="24"/>
          <w:szCs w:val="24"/>
        </w:rPr>
        <w:t>Homocide</w:t>
      </w:r>
      <w:proofErr w:type="spellEnd"/>
      <w:r w:rsidRPr="00C914C5">
        <w:rPr>
          <w:rFonts w:ascii="Arial" w:hAnsi="Arial" w:cs="Arial"/>
          <w:i/>
          <w:iCs/>
          <w:sz w:val="24"/>
          <w:szCs w:val="24"/>
        </w:rPr>
        <w:t xml:space="preserve"> Act, </w:t>
      </w:r>
      <w:r w:rsidRPr="009872E1">
        <w:rPr>
          <w:rFonts w:ascii="Arial" w:hAnsi="Arial" w:cs="Arial"/>
          <w:sz w:val="24"/>
          <w:szCs w:val="24"/>
        </w:rPr>
        <w:t>1957</w:t>
      </w:r>
      <w:r w:rsidRPr="00C914C5">
        <w:rPr>
          <w:rFonts w:ascii="Arial" w:hAnsi="Arial" w:cs="Arial"/>
          <w:i/>
          <w:iCs/>
          <w:sz w:val="24"/>
          <w:szCs w:val="24"/>
        </w:rPr>
        <w:t xml:space="preserve">, </w:t>
      </w:r>
      <w:r w:rsidRPr="00C914C5">
        <w:rPr>
          <w:rFonts w:ascii="Arial" w:hAnsi="Arial" w:cs="Arial"/>
          <w:sz w:val="24"/>
          <w:szCs w:val="24"/>
        </w:rPr>
        <w:t xml:space="preserve">c. 11, Available at: </w:t>
      </w:r>
      <w:hyperlink r:id="rId10" w:history="1">
        <w:r w:rsidRPr="00C914C5">
          <w:rPr>
            <w:rStyle w:val="Hyperlink"/>
            <w:rFonts w:ascii="Arial" w:hAnsi="Arial" w:cs="Arial"/>
            <w:sz w:val="24"/>
            <w:szCs w:val="24"/>
          </w:rPr>
          <w:t>https://www.legislation.gov.uk/ukpga/Eliz2/5-6/11/contents/enacted</w:t>
        </w:r>
      </w:hyperlink>
      <w:r w:rsidRPr="00C914C5">
        <w:rPr>
          <w:rFonts w:ascii="Arial" w:hAnsi="Arial" w:cs="Arial"/>
          <w:sz w:val="24"/>
          <w:szCs w:val="24"/>
        </w:rPr>
        <w:t xml:space="preserve"> (Accessed: 4</w:t>
      </w:r>
      <w:r w:rsidRPr="00C914C5">
        <w:rPr>
          <w:rFonts w:ascii="Arial" w:hAnsi="Arial" w:cs="Arial"/>
          <w:sz w:val="24"/>
          <w:szCs w:val="24"/>
          <w:vertAlign w:val="superscript"/>
        </w:rPr>
        <w:t>th</w:t>
      </w:r>
      <w:r w:rsidRPr="00C914C5">
        <w:rPr>
          <w:rFonts w:ascii="Arial" w:hAnsi="Arial" w:cs="Arial"/>
          <w:sz w:val="24"/>
          <w:szCs w:val="24"/>
        </w:rPr>
        <w:t xml:space="preserve"> May 2021)</w:t>
      </w:r>
    </w:p>
    <w:p w14:paraId="6193303B" w14:textId="77777777" w:rsidR="00447DBE" w:rsidRDefault="00447DBE" w:rsidP="00447DBE">
      <w:pPr>
        <w:jc w:val="both"/>
        <w:rPr>
          <w:rFonts w:ascii="Arial" w:hAnsi="Arial" w:cs="Arial"/>
          <w:sz w:val="24"/>
          <w:szCs w:val="24"/>
        </w:rPr>
      </w:pPr>
      <w:r>
        <w:rPr>
          <w:rFonts w:ascii="Arial" w:hAnsi="Arial" w:cs="Arial"/>
          <w:i/>
          <w:iCs/>
          <w:sz w:val="24"/>
          <w:szCs w:val="24"/>
        </w:rPr>
        <w:t>Offences against the Person Act,</w:t>
      </w:r>
      <w:r>
        <w:rPr>
          <w:rFonts w:ascii="Arial" w:hAnsi="Arial" w:cs="Arial"/>
          <w:sz w:val="24"/>
          <w:szCs w:val="24"/>
        </w:rPr>
        <w:t xml:space="preserve"> 1861, c. 100, Available at: </w:t>
      </w:r>
      <w:hyperlink r:id="rId11" w:history="1">
        <w:r w:rsidRPr="008015B6">
          <w:rPr>
            <w:rStyle w:val="Hyperlink"/>
            <w:rFonts w:ascii="Arial" w:hAnsi="Arial" w:cs="Arial"/>
            <w:sz w:val="24"/>
            <w:szCs w:val="24"/>
          </w:rPr>
          <w:t>https://www.legislation.gov.uk/ukpga/Vict/24-25/100/contents</w:t>
        </w:r>
      </w:hyperlink>
      <w:r>
        <w:rPr>
          <w:rFonts w:ascii="Arial" w:hAnsi="Arial" w:cs="Arial"/>
          <w:sz w:val="24"/>
          <w:szCs w:val="24"/>
        </w:rPr>
        <w:t xml:space="preserve"> (Accessed: 4</w:t>
      </w:r>
      <w:r w:rsidRPr="00AA18BB">
        <w:rPr>
          <w:rFonts w:ascii="Arial" w:hAnsi="Arial" w:cs="Arial"/>
          <w:sz w:val="24"/>
          <w:szCs w:val="24"/>
          <w:vertAlign w:val="superscript"/>
        </w:rPr>
        <w:t>th</w:t>
      </w:r>
      <w:r>
        <w:rPr>
          <w:rFonts w:ascii="Arial" w:hAnsi="Arial" w:cs="Arial"/>
          <w:sz w:val="24"/>
          <w:szCs w:val="24"/>
        </w:rPr>
        <w:t xml:space="preserve"> May 2021)</w:t>
      </w:r>
    </w:p>
    <w:p w14:paraId="66AE211F" w14:textId="77777777" w:rsidR="00447DBE" w:rsidRDefault="00447DBE" w:rsidP="00447DBE">
      <w:pPr>
        <w:jc w:val="both"/>
        <w:rPr>
          <w:rFonts w:ascii="Arial" w:hAnsi="Arial" w:cs="Arial"/>
          <w:sz w:val="24"/>
          <w:szCs w:val="24"/>
        </w:rPr>
      </w:pPr>
      <w:r>
        <w:rPr>
          <w:rFonts w:ascii="Arial" w:hAnsi="Arial" w:cs="Arial"/>
          <w:i/>
          <w:iCs/>
          <w:sz w:val="24"/>
          <w:szCs w:val="24"/>
        </w:rPr>
        <w:t>Public Order Act</w:t>
      </w:r>
      <w:r>
        <w:rPr>
          <w:rFonts w:ascii="Arial" w:hAnsi="Arial" w:cs="Arial"/>
          <w:sz w:val="24"/>
          <w:szCs w:val="24"/>
        </w:rPr>
        <w:t xml:space="preserve">, 1986, c. 64, Available at: </w:t>
      </w:r>
      <w:hyperlink r:id="rId12" w:history="1">
        <w:r w:rsidRPr="008015B6">
          <w:rPr>
            <w:rStyle w:val="Hyperlink"/>
            <w:rFonts w:ascii="Arial" w:hAnsi="Arial" w:cs="Arial"/>
            <w:sz w:val="24"/>
            <w:szCs w:val="24"/>
          </w:rPr>
          <w:t>https://www.legislation.gov.uk/ukpga/1986/64</w:t>
        </w:r>
      </w:hyperlink>
      <w:r>
        <w:rPr>
          <w:rFonts w:ascii="Arial" w:hAnsi="Arial" w:cs="Arial"/>
          <w:sz w:val="24"/>
          <w:szCs w:val="24"/>
        </w:rPr>
        <w:t xml:space="preserve"> (Accessed:  4</w:t>
      </w:r>
      <w:r w:rsidRPr="009872E1">
        <w:rPr>
          <w:rFonts w:ascii="Arial" w:hAnsi="Arial" w:cs="Arial"/>
          <w:sz w:val="24"/>
          <w:szCs w:val="24"/>
          <w:vertAlign w:val="superscript"/>
        </w:rPr>
        <w:t>th</w:t>
      </w:r>
      <w:r>
        <w:rPr>
          <w:rFonts w:ascii="Arial" w:hAnsi="Arial" w:cs="Arial"/>
          <w:sz w:val="24"/>
          <w:szCs w:val="24"/>
        </w:rPr>
        <w:t xml:space="preserve"> May 2021)</w:t>
      </w:r>
    </w:p>
    <w:p w14:paraId="41398C5C" w14:textId="77777777" w:rsidR="00447DBE" w:rsidRPr="00FC7C47" w:rsidRDefault="00447DBE" w:rsidP="00447DBE">
      <w:pPr>
        <w:jc w:val="both"/>
        <w:rPr>
          <w:rFonts w:ascii="Arial" w:hAnsi="Arial" w:cs="Arial"/>
          <w:sz w:val="24"/>
          <w:szCs w:val="24"/>
        </w:rPr>
      </w:pPr>
      <w:r w:rsidRPr="00FC7C47">
        <w:rPr>
          <w:rFonts w:ascii="Arial" w:hAnsi="Arial" w:cs="Arial"/>
          <w:i/>
          <w:iCs/>
          <w:sz w:val="24"/>
          <w:szCs w:val="24"/>
        </w:rPr>
        <w:t>R v Cato</w:t>
      </w:r>
      <w:r w:rsidRPr="00FC7C47">
        <w:rPr>
          <w:rFonts w:ascii="Arial" w:hAnsi="Arial" w:cs="Arial"/>
          <w:sz w:val="24"/>
          <w:szCs w:val="24"/>
        </w:rPr>
        <w:t> (1976) 62 Cr App R 41</w:t>
      </w:r>
    </w:p>
    <w:p w14:paraId="57CA870D" w14:textId="77777777" w:rsidR="00447DBE" w:rsidRPr="00C914C5" w:rsidRDefault="00447DBE" w:rsidP="00447DBE">
      <w:pPr>
        <w:jc w:val="both"/>
        <w:rPr>
          <w:rFonts w:ascii="Arial" w:hAnsi="Arial" w:cs="Arial"/>
          <w:sz w:val="24"/>
          <w:szCs w:val="24"/>
        </w:rPr>
      </w:pPr>
      <w:r w:rsidRPr="00C914C5">
        <w:rPr>
          <w:rFonts w:ascii="Arial" w:hAnsi="Arial" w:cs="Arial"/>
          <w:i/>
          <w:iCs/>
          <w:sz w:val="24"/>
          <w:szCs w:val="24"/>
        </w:rPr>
        <w:t>R v Cunningham</w:t>
      </w:r>
      <w:r w:rsidRPr="00C914C5">
        <w:rPr>
          <w:rFonts w:ascii="Arial" w:hAnsi="Arial" w:cs="Arial"/>
          <w:sz w:val="24"/>
          <w:szCs w:val="24"/>
        </w:rPr>
        <w:t xml:space="preserve"> [1982] AC 566</w:t>
      </w:r>
    </w:p>
    <w:p w14:paraId="0FABF191" w14:textId="77777777" w:rsidR="00447DBE" w:rsidRDefault="00447DBE" w:rsidP="00447DBE">
      <w:pPr>
        <w:jc w:val="both"/>
        <w:rPr>
          <w:rFonts w:ascii="Arial" w:hAnsi="Arial" w:cs="Arial"/>
          <w:sz w:val="24"/>
          <w:szCs w:val="24"/>
        </w:rPr>
      </w:pPr>
      <w:r w:rsidRPr="00CD239C">
        <w:rPr>
          <w:rFonts w:ascii="Arial" w:hAnsi="Arial" w:cs="Arial"/>
          <w:i/>
          <w:iCs/>
          <w:sz w:val="24"/>
          <w:szCs w:val="24"/>
        </w:rPr>
        <w:t>R v Franklin</w:t>
      </w:r>
      <w:r w:rsidRPr="00CD239C">
        <w:rPr>
          <w:rFonts w:ascii="Arial" w:hAnsi="Arial" w:cs="Arial"/>
          <w:sz w:val="24"/>
          <w:szCs w:val="24"/>
        </w:rPr>
        <w:t> (1883) 15 Cox CC 163</w:t>
      </w:r>
    </w:p>
    <w:p w14:paraId="525EF41C" w14:textId="77777777" w:rsidR="00447DBE" w:rsidRDefault="00447DBE" w:rsidP="00447DBE">
      <w:pPr>
        <w:jc w:val="both"/>
        <w:rPr>
          <w:rFonts w:ascii="Arial" w:hAnsi="Arial" w:cs="Arial"/>
          <w:sz w:val="24"/>
          <w:szCs w:val="24"/>
        </w:rPr>
      </w:pPr>
      <w:r w:rsidRPr="00C914C5">
        <w:rPr>
          <w:rFonts w:ascii="Arial" w:hAnsi="Arial" w:cs="Arial"/>
          <w:i/>
          <w:iCs/>
          <w:sz w:val="24"/>
          <w:szCs w:val="24"/>
        </w:rPr>
        <w:t>R v Lamb</w:t>
      </w:r>
      <w:r w:rsidRPr="00C914C5">
        <w:rPr>
          <w:rFonts w:ascii="Arial" w:hAnsi="Arial" w:cs="Arial"/>
          <w:sz w:val="24"/>
          <w:szCs w:val="24"/>
        </w:rPr>
        <w:t> [1967] 2 QB 981</w:t>
      </w:r>
    </w:p>
    <w:p w14:paraId="1FC7A500" w14:textId="77777777" w:rsidR="00447DBE" w:rsidRDefault="00447DBE" w:rsidP="00447DBE">
      <w:pPr>
        <w:jc w:val="both"/>
        <w:rPr>
          <w:rStyle w:val="Strong"/>
          <w:rFonts w:ascii="Arial" w:hAnsi="Arial" w:cs="Arial"/>
          <w:b w:val="0"/>
          <w:bCs w:val="0"/>
          <w:color w:val="000000"/>
          <w:sz w:val="24"/>
          <w:szCs w:val="24"/>
          <w:shd w:val="clear" w:color="auto" w:fill="FFFFFF"/>
        </w:rPr>
      </w:pPr>
      <w:r w:rsidRPr="00C914C5">
        <w:rPr>
          <w:rStyle w:val="Emphasis"/>
          <w:rFonts w:ascii="Arial" w:hAnsi="Arial" w:cs="Arial"/>
          <w:color w:val="000000"/>
          <w:sz w:val="24"/>
          <w:szCs w:val="24"/>
          <w:shd w:val="clear" w:color="auto" w:fill="FFFFFF"/>
        </w:rPr>
        <w:t xml:space="preserve">R v </w:t>
      </w:r>
      <w:r w:rsidRPr="00447DBE">
        <w:rPr>
          <w:rStyle w:val="Emphasis"/>
          <w:rFonts w:ascii="Arial" w:hAnsi="Arial" w:cs="Arial"/>
          <w:color w:val="000000"/>
          <w:sz w:val="24"/>
          <w:szCs w:val="24"/>
          <w:shd w:val="clear" w:color="auto" w:fill="FFFFFF"/>
        </w:rPr>
        <w:t>Larkin</w:t>
      </w:r>
      <w:r w:rsidRPr="00447DBE">
        <w:rPr>
          <w:rStyle w:val="Strong"/>
          <w:rFonts w:ascii="Arial" w:hAnsi="Arial" w:cs="Arial"/>
          <w:color w:val="000000"/>
          <w:sz w:val="24"/>
          <w:szCs w:val="24"/>
          <w:shd w:val="clear" w:color="auto" w:fill="FFFFFF"/>
        </w:rPr>
        <w:t> </w:t>
      </w:r>
      <w:r w:rsidRPr="00447DBE">
        <w:rPr>
          <w:rStyle w:val="Strong"/>
          <w:rFonts w:ascii="Arial" w:hAnsi="Arial" w:cs="Arial"/>
          <w:b w:val="0"/>
          <w:bCs w:val="0"/>
          <w:color w:val="000000"/>
          <w:sz w:val="24"/>
          <w:szCs w:val="24"/>
          <w:shd w:val="clear" w:color="auto" w:fill="FFFFFF"/>
        </w:rPr>
        <w:t>(1942) 29 Cr App R 18</w:t>
      </w:r>
    </w:p>
    <w:p w14:paraId="14299231" w14:textId="77777777" w:rsidR="00A73E1C" w:rsidRPr="00A73E1C" w:rsidRDefault="00A73E1C" w:rsidP="00A73E1C">
      <w:pPr>
        <w:spacing w:line="360" w:lineRule="auto"/>
        <w:jc w:val="both"/>
        <w:rPr>
          <w:rFonts w:ascii="Arial" w:hAnsi="Arial" w:cs="Arial"/>
          <w:sz w:val="24"/>
          <w:szCs w:val="24"/>
        </w:rPr>
      </w:pPr>
    </w:p>
    <w:p w14:paraId="6F676AFF" w14:textId="77777777" w:rsidR="00A73E1C" w:rsidRPr="00A27235" w:rsidRDefault="00A73E1C" w:rsidP="00A73E1C">
      <w:pPr>
        <w:spacing w:line="360" w:lineRule="auto"/>
        <w:jc w:val="both"/>
        <w:rPr>
          <w:rFonts w:ascii="Arial" w:hAnsi="Arial" w:cs="Arial"/>
          <w:sz w:val="24"/>
          <w:szCs w:val="24"/>
        </w:rPr>
      </w:pPr>
    </w:p>
    <w:p w14:paraId="26BCF08E" w14:textId="77777777" w:rsidR="00A73E1C" w:rsidRPr="00A73E1C" w:rsidRDefault="00A73E1C" w:rsidP="00A73E1C">
      <w:pPr>
        <w:spacing w:line="360" w:lineRule="auto"/>
        <w:jc w:val="both"/>
        <w:rPr>
          <w:rFonts w:ascii="Arial" w:hAnsi="Arial" w:cs="Arial"/>
          <w:sz w:val="24"/>
          <w:szCs w:val="24"/>
        </w:rPr>
      </w:pPr>
    </w:p>
    <w:sectPr w:rsidR="00A73E1C" w:rsidRPr="00A73E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1C6"/>
    <w:rsid w:val="00000C07"/>
    <w:rsid w:val="000A6EEA"/>
    <w:rsid w:val="000D152E"/>
    <w:rsid w:val="00251F21"/>
    <w:rsid w:val="00266E8D"/>
    <w:rsid w:val="002934F3"/>
    <w:rsid w:val="00385514"/>
    <w:rsid w:val="003C65AF"/>
    <w:rsid w:val="004441C9"/>
    <w:rsid w:val="00447DBE"/>
    <w:rsid w:val="00464645"/>
    <w:rsid w:val="004828C7"/>
    <w:rsid w:val="00491BA1"/>
    <w:rsid w:val="00566E77"/>
    <w:rsid w:val="005C220A"/>
    <w:rsid w:val="005C6C2E"/>
    <w:rsid w:val="006704A7"/>
    <w:rsid w:val="006A1597"/>
    <w:rsid w:val="006C10C0"/>
    <w:rsid w:val="006D2FB3"/>
    <w:rsid w:val="006F444B"/>
    <w:rsid w:val="007D7313"/>
    <w:rsid w:val="00801354"/>
    <w:rsid w:val="009E511C"/>
    <w:rsid w:val="00A73E1C"/>
    <w:rsid w:val="00B21348"/>
    <w:rsid w:val="00C07D2D"/>
    <w:rsid w:val="00C53675"/>
    <w:rsid w:val="00C551A6"/>
    <w:rsid w:val="00C8659A"/>
    <w:rsid w:val="00CB2EF9"/>
    <w:rsid w:val="00CF71C6"/>
    <w:rsid w:val="00D94920"/>
    <w:rsid w:val="00DF25FF"/>
    <w:rsid w:val="00E17137"/>
    <w:rsid w:val="00E207C5"/>
    <w:rsid w:val="00E27471"/>
    <w:rsid w:val="00EC4B95"/>
    <w:rsid w:val="00ED51EB"/>
    <w:rsid w:val="00EE09B5"/>
    <w:rsid w:val="00F57E46"/>
    <w:rsid w:val="00F614A0"/>
    <w:rsid w:val="00FF5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6E01"/>
  <w15:chartTrackingRefBased/>
  <w15:docId w15:val="{4D3D771A-51DF-43FA-8F3B-9B341B47B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E1C"/>
    <w:rPr>
      <w:color w:val="0563C1" w:themeColor="hyperlink"/>
      <w:u w:val="single"/>
    </w:rPr>
  </w:style>
  <w:style w:type="character" w:styleId="Strong">
    <w:name w:val="Strong"/>
    <w:basedOn w:val="DefaultParagraphFont"/>
    <w:uiPriority w:val="22"/>
    <w:qFormat/>
    <w:rsid w:val="00447DBE"/>
    <w:rPr>
      <w:b/>
      <w:bCs/>
    </w:rPr>
  </w:style>
  <w:style w:type="character" w:styleId="Emphasis">
    <w:name w:val="Emphasis"/>
    <w:basedOn w:val="DefaultParagraphFont"/>
    <w:uiPriority w:val="20"/>
    <w:qFormat/>
    <w:rsid w:val="00447DB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com.gov.uk/app/uploads/2015/06/insanity_discussio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nsult.justice.gov.uk/law-commission/insanity-and-automatism/" TargetMode="External"/><Relationship Id="rId12" Type="http://schemas.openxmlformats.org/officeDocument/2006/relationships/hyperlink" Target="https://www.legislation.gov.uk/ukpga/1986/6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3-eu-west-2.amazonaws.com/lawcom-prod-storage-11jsxou24uy7q/uploads/2015/06/insanity_scoping.pdf" TargetMode="External"/><Relationship Id="rId11" Type="http://schemas.openxmlformats.org/officeDocument/2006/relationships/hyperlink" Target="https://www.legislation.gov.uk/ukpga/Vict/24-25/100/contents" TargetMode="External"/><Relationship Id="rId5" Type="http://schemas.openxmlformats.org/officeDocument/2006/relationships/hyperlink" Target="http://www.lawcom.gov.uk/app/uploads/2015/06/Criminal_Code_177_2.pdf" TargetMode="External"/><Relationship Id="rId10" Type="http://schemas.openxmlformats.org/officeDocument/2006/relationships/hyperlink" Target="https://www.legislation.gov.uk/ukpga/Eliz2/5-6/11/contents/enacted" TargetMode="External"/><Relationship Id="rId4" Type="http://schemas.openxmlformats.org/officeDocument/2006/relationships/hyperlink" Target="https://www.cps.gov.uk/legal-guidance/homicide-murder-and-manslaughter" TargetMode="External"/><Relationship Id="rId9" Type="http://schemas.openxmlformats.org/officeDocument/2006/relationships/hyperlink" Target="https://www.legislation.gov.uk/ukpga/1964/84/body/enacted?view=plai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(2008078)</dc:creator>
  <cp:keywords/>
  <dc:description/>
  <cp:lastModifiedBy>Daniel Jones (2008078)</cp:lastModifiedBy>
  <cp:revision>2</cp:revision>
  <dcterms:created xsi:type="dcterms:W3CDTF">2021-05-06T10:15:00Z</dcterms:created>
  <dcterms:modified xsi:type="dcterms:W3CDTF">2021-05-06T10:15:00Z</dcterms:modified>
</cp:coreProperties>
</file>