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F4E2C" w:rsidRDefault="00DF4E2C" w:rsidP="00DF4E2C">
      <w:pPr>
        <w:spacing w:line="360" w:lineRule="auto"/>
        <w:jc w:val="center"/>
        <w:rPr>
          <w:rFonts w:ascii="Arial" w:hAnsi="Arial" w:cs="Arial"/>
          <w:b/>
          <w:bCs/>
        </w:rPr>
      </w:pPr>
      <w:r>
        <w:rPr>
          <w:noProof/>
          <w:lang w:bidi="hi-IN"/>
        </w:rPr>
        <w:drawing>
          <wp:inline distT="0" distB="0" distL="0" distR="0">
            <wp:extent cx="2914650" cy="1219200"/>
            <wp:effectExtent l="0" t="0" r="0" b="0"/>
            <wp:docPr id="210405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50921" name=""/>
                    <pic:cNvPicPr/>
                  </pic:nvPicPr>
                  <pic:blipFill>
                    <a:blip r:embed="rId8"/>
                    <a:stretch>
                      <a:fillRect/>
                    </a:stretch>
                  </pic:blipFill>
                  <pic:spPr>
                    <a:xfrm>
                      <a:off x="0" y="0"/>
                      <a:ext cx="2914650" cy="1219200"/>
                    </a:xfrm>
                    <a:prstGeom prst="rect">
                      <a:avLst/>
                    </a:prstGeom>
                  </pic:spPr>
                </pic:pic>
              </a:graphicData>
            </a:graphic>
          </wp:inline>
        </w:drawing>
      </w:r>
    </w:p>
    <w:p w:rsidR="00DF4E2C" w:rsidRPr="00DF4E2C" w:rsidRDefault="00DF4E2C" w:rsidP="00DF4E2C">
      <w:pPr>
        <w:spacing w:line="360" w:lineRule="auto"/>
        <w:jc w:val="center"/>
        <w:rPr>
          <w:rFonts w:ascii="Arial" w:hAnsi="Arial" w:cs="Arial"/>
          <w:b/>
          <w:bCs/>
        </w:rPr>
      </w:pPr>
      <w:r w:rsidRPr="00DF4E2C">
        <w:rPr>
          <w:rFonts w:ascii="Arial" w:hAnsi="Arial" w:cs="Arial"/>
          <w:b/>
          <w:bCs/>
        </w:rPr>
        <w:t>University of Wales Trinity Saint David</w:t>
      </w:r>
    </w:p>
    <w:p w:rsidR="00DF4E2C" w:rsidRPr="00DF4E2C" w:rsidRDefault="00DF4E2C" w:rsidP="00DF4E2C">
      <w:pPr>
        <w:spacing w:line="360" w:lineRule="auto"/>
        <w:jc w:val="center"/>
        <w:rPr>
          <w:rFonts w:ascii="Arial" w:hAnsi="Arial" w:cs="Arial"/>
          <w:b/>
          <w:bCs/>
        </w:rPr>
      </w:pPr>
      <w:r w:rsidRPr="00DF4E2C">
        <w:rPr>
          <w:rFonts w:ascii="Arial" w:hAnsi="Arial" w:cs="Arial"/>
          <w:b/>
          <w:bCs/>
        </w:rPr>
        <w:t>Master of Business Administration (MBA)</w:t>
      </w:r>
    </w:p>
    <w:p w:rsidR="00DF4E2C" w:rsidRPr="00DF4E2C" w:rsidRDefault="00DF4E2C" w:rsidP="00DF4E2C">
      <w:pPr>
        <w:spacing w:line="360" w:lineRule="auto"/>
        <w:jc w:val="center"/>
        <w:rPr>
          <w:rFonts w:ascii="Arial" w:hAnsi="Arial" w:cs="Arial"/>
          <w:b/>
          <w:bCs/>
        </w:rPr>
      </w:pPr>
      <w:r w:rsidRPr="00DF4E2C">
        <w:rPr>
          <w:rFonts w:ascii="Arial" w:hAnsi="Arial" w:cs="Arial"/>
          <w:b/>
          <w:bCs/>
        </w:rPr>
        <w:t>Module: International Business Concepts</w:t>
      </w:r>
      <w:r w:rsidRPr="00DF4E2C">
        <w:rPr>
          <w:rFonts w:ascii="Arial" w:hAnsi="Arial" w:cs="Arial"/>
          <w:b/>
          <w:bCs/>
        </w:rPr>
        <w:br/>
        <w:t>Module Code: LCMB7034</w:t>
      </w:r>
    </w:p>
    <w:p w:rsidR="00DF4E2C" w:rsidRPr="00DF4E2C" w:rsidRDefault="00DF4E2C" w:rsidP="00DF4E2C">
      <w:pPr>
        <w:spacing w:line="360" w:lineRule="auto"/>
        <w:jc w:val="center"/>
        <w:rPr>
          <w:rFonts w:ascii="Arial" w:hAnsi="Arial" w:cs="Arial"/>
          <w:b/>
          <w:bCs/>
        </w:rPr>
      </w:pPr>
    </w:p>
    <w:p w:rsidR="00DF4E2C" w:rsidRPr="00DF4E2C" w:rsidRDefault="00DF4E2C" w:rsidP="00DF4E2C">
      <w:pPr>
        <w:spacing w:line="360" w:lineRule="auto"/>
        <w:jc w:val="center"/>
        <w:rPr>
          <w:rFonts w:ascii="Arial" w:hAnsi="Arial" w:cs="Arial"/>
          <w:b/>
          <w:bCs/>
        </w:rPr>
      </w:pPr>
      <w:r w:rsidRPr="00DF4E2C">
        <w:rPr>
          <w:rFonts w:ascii="Arial" w:hAnsi="Arial" w:cs="Arial"/>
          <w:b/>
          <w:bCs/>
        </w:rPr>
        <w:t>International Business Consultancy Report on</w:t>
      </w:r>
      <w:r w:rsidRPr="00DF4E2C">
        <w:rPr>
          <w:rFonts w:ascii="Arial" w:hAnsi="Arial" w:cs="Arial"/>
          <w:b/>
          <w:bCs/>
        </w:rPr>
        <w:br/>
      </w:r>
      <w:r w:rsidR="004C03AA">
        <w:rPr>
          <w:rFonts w:ascii="Arial" w:hAnsi="Arial" w:cs="Arial"/>
          <w:b/>
          <w:bCs/>
        </w:rPr>
        <w:t>AstraZeneca's</w:t>
      </w:r>
      <w:r w:rsidRPr="00DF4E2C">
        <w:rPr>
          <w:rFonts w:ascii="Arial" w:hAnsi="Arial" w:cs="Arial"/>
          <w:b/>
          <w:bCs/>
        </w:rPr>
        <w:t xml:space="preserve"> International Operations and Market Entry Strategy in India</w:t>
      </w:r>
    </w:p>
    <w:p w:rsidR="00DF4E2C" w:rsidRPr="00DF4E2C" w:rsidRDefault="00DF4E2C" w:rsidP="00DF4E2C">
      <w:pPr>
        <w:spacing w:line="360" w:lineRule="auto"/>
        <w:jc w:val="center"/>
        <w:rPr>
          <w:rFonts w:ascii="Arial" w:hAnsi="Arial" w:cs="Arial"/>
          <w:b/>
          <w:bCs/>
        </w:rPr>
      </w:pPr>
    </w:p>
    <w:p w:rsidR="00DF4E2C" w:rsidRPr="00DF4E2C" w:rsidRDefault="00DF4E2C" w:rsidP="00DF4E2C">
      <w:pPr>
        <w:spacing w:line="360" w:lineRule="auto"/>
        <w:jc w:val="center"/>
        <w:rPr>
          <w:rFonts w:ascii="Arial" w:hAnsi="Arial" w:cs="Arial"/>
          <w:b/>
          <w:bCs/>
        </w:rPr>
      </w:pPr>
      <w:r w:rsidRPr="00DF4E2C">
        <w:rPr>
          <w:rFonts w:ascii="Arial" w:hAnsi="Arial" w:cs="Arial"/>
          <w:b/>
          <w:bCs/>
        </w:rPr>
        <w:t>Lecturer: Jean Wang</w:t>
      </w:r>
    </w:p>
    <w:p w:rsidR="00DF4E2C" w:rsidRPr="00DF4E2C" w:rsidRDefault="00DF4E2C" w:rsidP="00DF4E2C">
      <w:pPr>
        <w:spacing w:line="360" w:lineRule="auto"/>
        <w:jc w:val="center"/>
        <w:rPr>
          <w:rFonts w:ascii="Arial" w:hAnsi="Arial" w:cs="Arial"/>
          <w:b/>
          <w:bCs/>
        </w:rPr>
      </w:pPr>
      <w:r w:rsidRPr="00DF4E2C">
        <w:rPr>
          <w:rFonts w:ascii="Arial" w:hAnsi="Arial" w:cs="Arial"/>
          <w:b/>
          <w:bCs/>
        </w:rPr>
        <w:t xml:space="preserve">Student Name: </w:t>
      </w:r>
      <w:r w:rsidR="00B16BEB">
        <w:rPr>
          <w:rFonts w:ascii="Arial" w:hAnsi="Arial" w:cs="Arial"/>
          <w:b/>
          <w:bCs/>
        </w:rPr>
        <w:t>Chandan Kumar Kumawat</w:t>
      </w:r>
      <w:r w:rsidRPr="00DF4E2C">
        <w:rPr>
          <w:rFonts w:ascii="Arial" w:hAnsi="Arial" w:cs="Arial"/>
          <w:b/>
          <w:bCs/>
        </w:rPr>
        <w:br/>
        <w:t xml:space="preserve">Student ID: </w:t>
      </w:r>
      <w:r w:rsidR="00B16BEB">
        <w:rPr>
          <w:rFonts w:ascii="Arial" w:hAnsi="Arial" w:cs="Arial"/>
          <w:b/>
          <w:bCs/>
        </w:rPr>
        <w:t>2428345</w:t>
      </w:r>
    </w:p>
    <w:p w:rsidR="00DF4E2C" w:rsidRPr="00DF4E2C" w:rsidRDefault="00DF4E2C" w:rsidP="00DF4E2C">
      <w:pPr>
        <w:spacing w:line="360" w:lineRule="auto"/>
        <w:jc w:val="center"/>
        <w:rPr>
          <w:rFonts w:ascii="Arial" w:hAnsi="Arial" w:cs="Arial"/>
          <w:b/>
          <w:bCs/>
        </w:rPr>
      </w:pPr>
      <w:r w:rsidRPr="00DF4E2C">
        <w:rPr>
          <w:rFonts w:ascii="Arial" w:hAnsi="Arial" w:cs="Arial"/>
          <w:b/>
          <w:bCs/>
        </w:rPr>
        <w:t xml:space="preserve">Word Count: </w:t>
      </w:r>
      <w:r w:rsidR="00B16BEB">
        <w:rPr>
          <w:rFonts w:ascii="Arial" w:hAnsi="Arial" w:cs="Arial"/>
          <w:b/>
          <w:bCs/>
        </w:rPr>
        <w:t>6358</w:t>
      </w:r>
    </w:p>
    <w:p w:rsidR="00DF4E2C" w:rsidRPr="00DF4E2C" w:rsidRDefault="00DF4E2C" w:rsidP="00DF4E2C">
      <w:pPr>
        <w:spacing w:line="360" w:lineRule="auto"/>
        <w:jc w:val="center"/>
        <w:rPr>
          <w:rFonts w:ascii="Arial" w:hAnsi="Arial" w:cs="Arial"/>
          <w:b/>
          <w:bCs/>
        </w:rPr>
      </w:pPr>
      <w:r w:rsidRPr="00DF4E2C">
        <w:rPr>
          <w:rFonts w:ascii="Arial" w:hAnsi="Arial" w:cs="Arial"/>
          <w:b/>
          <w:bCs/>
        </w:rPr>
        <w:t>Submission Date: 15th December 2025</w:t>
      </w:r>
    </w:p>
    <w:p w:rsidR="00DF4E2C" w:rsidRDefault="00DF4E2C"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sdt>
      <w:sdtPr>
        <w:rPr>
          <w:rFonts w:asciiTheme="minorHAnsi" w:eastAsiaTheme="minorHAnsi" w:hAnsiTheme="minorHAnsi" w:cstheme="minorBidi"/>
          <w:color w:val="auto"/>
          <w:kern w:val="2"/>
          <w:sz w:val="24"/>
          <w:szCs w:val="24"/>
        </w:rPr>
        <w:id w:val="-992565879"/>
        <w:docPartObj>
          <w:docPartGallery w:val="Table of Contents"/>
          <w:docPartUnique/>
        </w:docPartObj>
      </w:sdtPr>
      <w:sdtEndPr>
        <w:rPr>
          <w:b/>
          <w:bCs/>
          <w:noProof/>
        </w:rPr>
      </w:sdtEndPr>
      <w:sdtContent>
        <w:p w:rsidR="0045260B" w:rsidRPr="0045260B" w:rsidRDefault="0045260B">
          <w:pPr>
            <w:pStyle w:val="TOCHeading"/>
            <w:rPr>
              <w:rFonts w:ascii="Arial" w:hAnsi="Arial" w:cs="Arial"/>
            </w:rPr>
          </w:pPr>
          <w:r w:rsidRPr="0045260B">
            <w:rPr>
              <w:rFonts w:ascii="Arial" w:hAnsi="Arial" w:cs="Arial"/>
            </w:rPr>
            <w:t>Table of Contents</w:t>
          </w:r>
        </w:p>
        <w:p w:rsidR="0045260B" w:rsidRPr="0045260B" w:rsidRDefault="00AA71DE" w:rsidP="0045260B">
          <w:pPr>
            <w:pStyle w:val="TOC1"/>
            <w:rPr>
              <w:rFonts w:eastAsiaTheme="minorEastAsia"/>
            </w:rPr>
          </w:pPr>
          <w:r w:rsidRPr="0045260B">
            <w:fldChar w:fldCharType="begin"/>
          </w:r>
          <w:r w:rsidR="0045260B" w:rsidRPr="0045260B">
            <w:instrText xml:space="preserve"> TOC \o "1-3" \h \z \u </w:instrText>
          </w:r>
          <w:r w:rsidRPr="0045260B">
            <w:fldChar w:fldCharType="separate"/>
          </w:r>
          <w:hyperlink w:anchor="_Toc215312834" w:history="1">
            <w:r w:rsidR="0045260B" w:rsidRPr="0045260B">
              <w:rPr>
                <w:rStyle w:val="Hyperlink"/>
              </w:rPr>
              <w:t>1. Introduction</w:t>
            </w:r>
            <w:r w:rsidR="0045260B" w:rsidRPr="0045260B">
              <w:rPr>
                <w:webHidden/>
              </w:rPr>
              <w:tab/>
            </w:r>
            <w:r w:rsidRPr="0045260B">
              <w:rPr>
                <w:webHidden/>
              </w:rPr>
              <w:fldChar w:fldCharType="begin"/>
            </w:r>
            <w:r w:rsidR="0045260B" w:rsidRPr="0045260B">
              <w:rPr>
                <w:webHidden/>
              </w:rPr>
              <w:instrText xml:space="preserve"> PAGEREF _Toc215312834 \h </w:instrText>
            </w:r>
            <w:r w:rsidRPr="0045260B">
              <w:rPr>
                <w:webHidden/>
              </w:rPr>
            </w:r>
            <w:r w:rsidRPr="0045260B">
              <w:rPr>
                <w:webHidden/>
              </w:rPr>
              <w:fldChar w:fldCharType="separate"/>
            </w:r>
            <w:r w:rsidR="0045260B" w:rsidRPr="0045260B">
              <w:rPr>
                <w:webHidden/>
              </w:rPr>
              <w:t>1</w:t>
            </w:r>
            <w:r w:rsidRPr="0045260B">
              <w:rPr>
                <w:webHidden/>
              </w:rPr>
              <w:fldChar w:fldCharType="end"/>
            </w:r>
          </w:hyperlink>
        </w:p>
        <w:p w:rsidR="0045260B" w:rsidRPr="0045260B" w:rsidRDefault="00AA71DE" w:rsidP="0045260B">
          <w:pPr>
            <w:pStyle w:val="TOC1"/>
            <w:rPr>
              <w:rFonts w:eastAsiaTheme="minorEastAsia"/>
            </w:rPr>
          </w:pPr>
          <w:hyperlink w:anchor="_Toc215312835" w:history="1">
            <w:r w:rsidR="0045260B" w:rsidRPr="0045260B">
              <w:rPr>
                <w:rStyle w:val="Hyperlink"/>
              </w:rPr>
              <w:t>2. Benefits and Challenges of International Operations</w:t>
            </w:r>
            <w:r w:rsidR="0045260B" w:rsidRPr="0045260B">
              <w:rPr>
                <w:webHidden/>
              </w:rPr>
              <w:tab/>
            </w:r>
            <w:r w:rsidRPr="0045260B">
              <w:rPr>
                <w:webHidden/>
              </w:rPr>
              <w:fldChar w:fldCharType="begin"/>
            </w:r>
            <w:r w:rsidR="0045260B" w:rsidRPr="0045260B">
              <w:rPr>
                <w:webHidden/>
              </w:rPr>
              <w:instrText xml:space="preserve"> PAGEREF _Toc215312835 \h </w:instrText>
            </w:r>
            <w:r w:rsidRPr="0045260B">
              <w:rPr>
                <w:webHidden/>
              </w:rPr>
            </w:r>
            <w:r w:rsidRPr="0045260B">
              <w:rPr>
                <w:webHidden/>
              </w:rPr>
              <w:fldChar w:fldCharType="separate"/>
            </w:r>
            <w:r w:rsidR="0045260B" w:rsidRPr="0045260B">
              <w:rPr>
                <w:webHidden/>
              </w:rPr>
              <w:t>1</w:t>
            </w:r>
            <w:r w:rsidRPr="0045260B">
              <w:rPr>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36" w:history="1">
            <w:r w:rsidR="0045260B" w:rsidRPr="0045260B">
              <w:rPr>
                <w:rStyle w:val="Hyperlink"/>
                <w:rFonts w:ascii="Arial" w:hAnsi="Arial" w:cs="Arial"/>
                <w:noProof/>
              </w:rPr>
              <w:t>2.1 Why the Company Can Be Designated an MNC/TNC</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_Toc215312836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37" w:history="1">
            <w:r w:rsidR="0045260B" w:rsidRPr="0045260B">
              <w:rPr>
                <w:rStyle w:val="Hyperlink"/>
                <w:rFonts w:ascii="Arial" w:hAnsi="Arial" w:cs="Arial"/>
                <w:noProof/>
              </w:rPr>
              <w:t>2.2 Summary of Global Operations and Value Chain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_Toc215312837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2</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38" w:history="1">
            <w:r w:rsidR="0045260B" w:rsidRPr="0045260B">
              <w:rPr>
                <w:rStyle w:val="Hyperlink"/>
                <w:rFonts w:ascii="Arial" w:hAnsi="Arial" w:cs="Arial"/>
                <w:noProof/>
              </w:rPr>
              <w:t>2.2.1 Research and Development</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_Toc215312838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2</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39" w:history="1">
            <w:r w:rsidR="0045260B" w:rsidRPr="0045260B">
              <w:rPr>
                <w:rStyle w:val="Hyperlink"/>
                <w:rFonts w:ascii="Arial" w:hAnsi="Arial" w:cs="Arial"/>
                <w:noProof/>
              </w:rPr>
              <w:t>2.2.2 Sourcing and Supply Chain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_Toc215312839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3</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0" w:history="1">
            <w:r w:rsidR="0045260B" w:rsidRPr="0045260B">
              <w:rPr>
                <w:rStyle w:val="Hyperlink"/>
                <w:rFonts w:ascii="Arial" w:hAnsi="Arial" w:cs="Arial"/>
                <w:noProof/>
              </w:rPr>
              <w:t>2.2.3 Production and Manufacturing</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_Toc215312840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3</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1" w:history="1">
            <w:r w:rsidR="0045260B" w:rsidRPr="0045260B">
              <w:rPr>
                <w:rStyle w:val="Hyperlink"/>
                <w:rFonts w:ascii="Arial" w:hAnsi="Arial" w:cs="Arial"/>
                <w:noProof/>
              </w:rPr>
              <w:t>2.2.4 Sales, Marketing, and Commercial Operations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_Toc215312841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3</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2" w:history="1">
            <w:r w:rsidR="0045260B" w:rsidRPr="0045260B">
              <w:rPr>
                <w:rStyle w:val="Hyperlink"/>
                <w:rFonts w:ascii="Arial" w:hAnsi="Arial" w:cs="Arial"/>
                <w:noProof/>
              </w:rPr>
              <w:t>2.2.5 Funding and International Organisation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_Toc215312842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4</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43" w:history="1">
            <w:r w:rsidR="0045260B" w:rsidRPr="0045260B">
              <w:rPr>
                <w:rStyle w:val="Hyperlink"/>
                <w:rFonts w:ascii="Arial" w:hAnsi="Arial" w:cs="Arial"/>
                <w:noProof/>
              </w:rPr>
              <w:t>2.3 Entry Modes Used Across International Markets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_Toc215312843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4</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4" w:history="1">
            <w:r w:rsidR="0045260B" w:rsidRPr="0045260B">
              <w:rPr>
                <w:rStyle w:val="Hyperlink"/>
                <w:rFonts w:ascii="Arial" w:hAnsi="Arial" w:cs="Arial"/>
                <w:noProof/>
              </w:rPr>
              <w:t>2.3.1 Wholly Owned Subsidiaries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_Toc215312844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4</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5" w:history="1">
            <w:r w:rsidR="0045260B" w:rsidRPr="0045260B">
              <w:rPr>
                <w:rStyle w:val="Hyperlink"/>
                <w:rFonts w:ascii="Arial" w:hAnsi="Arial" w:cs="Arial"/>
                <w:noProof/>
              </w:rPr>
              <w:t>2.3.2 Joint Ventures/ Strategic Alliances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_Toc215312845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4</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6" w:history="1">
            <w:r w:rsidR="0045260B" w:rsidRPr="0045260B">
              <w:rPr>
                <w:rStyle w:val="Hyperlink"/>
                <w:rFonts w:ascii="Arial" w:hAnsi="Arial" w:cs="Arial"/>
                <w:noProof/>
              </w:rPr>
              <w:t>2.3.3 Co-Development Agreements and licensing</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_Toc215312846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5</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7" w:history="1">
            <w:r w:rsidR="0045260B" w:rsidRPr="0045260B">
              <w:rPr>
                <w:rStyle w:val="Hyperlink"/>
                <w:rFonts w:ascii="Arial" w:hAnsi="Arial" w:cs="Arial"/>
                <w:noProof/>
              </w:rPr>
              <w:t>2.3.4 Acquisitions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_Toc215312847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5</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8" w:history="1">
            <w:r w:rsidR="0045260B" w:rsidRPr="0045260B">
              <w:rPr>
                <w:rStyle w:val="Hyperlink"/>
                <w:rFonts w:ascii="Arial" w:hAnsi="Arial" w:cs="Arial"/>
                <w:noProof/>
              </w:rPr>
              <w:t>2.3.5 Exporting</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_Toc215312848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5</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49" w:history="1">
            <w:r w:rsidR="0045260B" w:rsidRPr="0045260B">
              <w:rPr>
                <w:rStyle w:val="Hyperlink"/>
                <w:rFonts w:ascii="Arial" w:hAnsi="Arial" w:cs="Arial"/>
                <w:noProof/>
              </w:rPr>
              <w:t>2.3.6 Dominant Entry Mode</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_Toc215312849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5</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0" w:history="1">
            <w:r w:rsidR="0045260B" w:rsidRPr="0045260B">
              <w:rPr>
                <w:rStyle w:val="Hyperlink"/>
                <w:rFonts w:ascii="Arial" w:hAnsi="Arial" w:cs="Arial"/>
                <w:noProof/>
              </w:rPr>
              <w:t>2.4 Key Benefits of International Operations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_Toc215312850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5</w:t>
            </w:r>
            <w:r w:rsidRPr="0045260B">
              <w:rPr>
                <w:rFonts w:ascii="Arial" w:hAnsi="Arial" w:cs="Arial"/>
                <w:noProof/>
                <w:webHidden/>
              </w:rPr>
              <w:fldChar w:fldCharType="end"/>
            </w:r>
          </w:hyperlink>
        </w:p>
        <w:p w:rsidR="0045260B" w:rsidRPr="0045260B" w:rsidRDefault="00AA71DE" w:rsidP="0045260B">
          <w:pPr>
            <w:pStyle w:val="TOC1"/>
            <w:rPr>
              <w:rFonts w:eastAsiaTheme="minorEastAsia"/>
            </w:rPr>
          </w:pPr>
          <w:hyperlink w:anchor="_Toc215312851" w:history="1">
            <w:r w:rsidR="0045260B" w:rsidRPr="0045260B">
              <w:rPr>
                <w:rStyle w:val="Hyperlink"/>
              </w:rPr>
              <w:t>3. Impact of OLI Factors on International Market Entry Mode</w:t>
            </w:r>
            <w:r w:rsidR="0045260B" w:rsidRPr="0045260B">
              <w:rPr>
                <w:webHidden/>
              </w:rPr>
              <w:tab/>
            </w:r>
            <w:r w:rsidRPr="0045260B">
              <w:rPr>
                <w:webHidden/>
              </w:rPr>
              <w:fldChar w:fldCharType="begin"/>
            </w:r>
            <w:r w:rsidR="0045260B" w:rsidRPr="0045260B">
              <w:rPr>
                <w:webHidden/>
              </w:rPr>
              <w:instrText xml:space="preserve"> PAGEREF _Toc215312851 \h </w:instrText>
            </w:r>
            <w:r w:rsidRPr="0045260B">
              <w:rPr>
                <w:webHidden/>
              </w:rPr>
            </w:r>
            <w:r w:rsidRPr="0045260B">
              <w:rPr>
                <w:webHidden/>
              </w:rPr>
              <w:fldChar w:fldCharType="separate"/>
            </w:r>
            <w:r w:rsidR="0045260B" w:rsidRPr="0045260B">
              <w:rPr>
                <w:webHidden/>
              </w:rPr>
              <w:t>7</w:t>
            </w:r>
            <w:r w:rsidRPr="0045260B">
              <w:rPr>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2" w:history="1">
            <w:r w:rsidR="0045260B" w:rsidRPr="0045260B">
              <w:rPr>
                <w:rStyle w:val="Hyperlink"/>
                <w:rFonts w:ascii="Arial" w:hAnsi="Arial" w:cs="Arial"/>
                <w:noProof/>
              </w:rPr>
              <w:t>3.1 Ownership Advantages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_Toc215312852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7</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3" w:history="1">
            <w:r w:rsidR="0045260B" w:rsidRPr="0045260B">
              <w:rPr>
                <w:rStyle w:val="Hyperlink"/>
                <w:rFonts w:ascii="Arial" w:hAnsi="Arial" w:cs="Arial"/>
                <w:noProof/>
              </w:rPr>
              <w:t>3.2 Location Advantages of India</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_Toc215312853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8</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4" w:history="1">
            <w:r w:rsidR="0045260B" w:rsidRPr="0045260B">
              <w:rPr>
                <w:rStyle w:val="Hyperlink"/>
                <w:rFonts w:ascii="Arial" w:hAnsi="Arial" w:cs="Arial"/>
                <w:noProof/>
              </w:rPr>
              <w:t>3.3 Internalisation Advantages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_Toc215312854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9</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5" w:history="1">
            <w:r w:rsidR="0045260B" w:rsidRPr="0045260B">
              <w:rPr>
                <w:rStyle w:val="Hyperlink"/>
                <w:rFonts w:ascii="Arial" w:hAnsi="Arial" w:cs="Arial"/>
                <w:noProof/>
              </w:rPr>
              <w:t>3.4 Impact of OLI Factors on Entry Mode Selection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_Toc215312855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10</w:t>
            </w:r>
            <w:r w:rsidRPr="0045260B">
              <w:rPr>
                <w:rFonts w:ascii="Arial" w:hAnsi="Arial" w:cs="Arial"/>
                <w:noProof/>
                <w:webHidden/>
              </w:rPr>
              <w:fldChar w:fldCharType="end"/>
            </w:r>
          </w:hyperlink>
        </w:p>
        <w:p w:rsidR="0045260B" w:rsidRPr="0045260B" w:rsidRDefault="00AA71DE" w:rsidP="0045260B">
          <w:pPr>
            <w:pStyle w:val="TOC1"/>
            <w:rPr>
              <w:rFonts w:eastAsiaTheme="minorEastAsia"/>
            </w:rPr>
          </w:pPr>
          <w:hyperlink w:anchor="_Toc215312856" w:history="1">
            <w:r w:rsidR="0045260B" w:rsidRPr="0045260B">
              <w:rPr>
                <w:rStyle w:val="Hyperlink"/>
              </w:rPr>
              <w:t>4. Cultural Differences Between the Home Country and the Emerging Economy</w:t>
            </w:r>
            <w:r w:rsidR="0045260B" w:rsidRPr="0045260B">
              <w:rPr>
                <w:webHidden/>
              </w:rPr>
              <w:tab/>
            </w:r>
            <w:r w:rsidRPr="0045260B">
              <w:rPr>
                <w:webHidden/>
              </w:rPr>
              <w:fldChar w:fldCharType="begin"/>
            </w:r>
            <w:r w:rsidR="0045260B" w:rsidRPr="0045260B">
              <w:rPr>
                <w:webHidden/>
              </w:rPr>
              <w:instrText xml:space="preserve"> PAGEREF _Toc215312856 \h </w:instrText>
            </w:r>
            <w:r w:rsidRPr="0045260B">
              <w:rPr>
                <w:webHidden/>
              </w:rPr>
            </w:r>
            <w:r w:rsidRPr="0045260B">
              <w:rPr>
                <w:webHidden/>
              </w:rPr>
              <w:fldChar w:fldCharType="separate"/>
            </w:r>
            <w:r w:rsidR="0045260B" w:rsidRPr="0045260B">
              <w:rPr>
                <w:webHidden/>
              </w:rPr>
              <w:t>11</w:t>
            </w:r>
            <w:r w:rsidRPr="0045260B">
              <w:rPr>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57" w:history="1">
            <w:r w:rsidR="0045260B" w:rsidRPr="0045260B">
              <w:rPr>
                <w:rStyle w:val="Hyperlink"/>
                <w:rFonts w:ascii="Arial" w:hAnsi="Arial" w:cs="Arial"/>
                <w:noProof/>
              </w:rPr>
              <w:t>4.1 Key UK–India Cultural Differences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_Toc215312857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11</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58" w:history="1">
            <w:r w:rsidR="0045260B" w:rsidRPr="0045260B">
              <w:rPr>
                <w:rStyle w:val="Hyperlink"/>
                <w:rFonts w:ascii="Arial" w:hAnsi="Arial" w:cs="Arial"/>
                <w:noProof/>
              </w:rPr>
              <w:t>4.1.1 Power Distance</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_Toc215312858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11</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59" w:history="1">
            <w:r w:rsidR="0045260B" w:rsidRPr="0045260B">
              <w:rPr>
                <w:rStyle w:val="Hyperlink"/>
                <w:rFonts w:ascii="Arial" w:hAnsi="Arial" w:cs="Arial"/>
                <w:noProof/>
              </w:rPr>
              <w:t>4.1.2 Collectivism vs. Individualism.</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_Toc215312859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12</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60" w:history="1">
            <w:r w:rsidR="0045260B" w:rsidRPr="0045260B">
              <w:rPr>
                <w:rStyle w:val="Hyperlink"/>
                <w:rFonts w:ascii="Arial" w:hAnsi="Arial" w:cs="Arial"/>
                <w:noProof/>
              </w:rPr>
              <w:t>4.1.3 Uncertainty Avoidance</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_Toc215312860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12</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61" w:history="1">
            <w:r w:rsidR="0045260B" w:rsidRPr="0045260B">
              <w:rPr>
                <w:rStyle w:val="Hyperlink"/>
                <w:rFonts w:ascii="Arial" w:hAnsi="Arial" w:cs="Arial"/>
                <w:noProof/>
              </w:rPr>
              <w:t>4.1.4 Long-Term Orientation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_Toc215312861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12</w:t>
            </w:r>
            <w:r w:rsidRPr="0045260B">
              <w:rPr>
                <w:rFonts w:ascii="Arial" w:hAnsi="Arial" w:cs="Arial"/>
                <w:noProof/>
                <w:webHidden/>
              </w:rPr>
              <w:fldChar w:fldCharType="end"/>
            </w:r>
          </w:hyperlink>
        </w:p>
        <w:p w:rsidR="0045260B" w:rsidRPr="0045260B" w:rsidRDefault="00AA71DE" w:rsidP="0045260B">
          <w:pPr>
            <w:pStyle w:val="TOC3"/>
            <w:tabs>
              <w:tab w:val="right" w:leader="dot" w:pos="9350"/>
            </w:tabs>
            <w:spacing w:line="360" w:lineRule="auto"/>
            <w:rPr>
              <w:rFonts w:ascii="Arial" w:eastAsiaTheme="minorEastAsia" w:hAnsi="Arial" w:cs="Arial"/>
              <w:noProof/>
            </w:rPr>
          </w:pPr>
          <w:hyperlink w:anchor="_Toc215312862" w:history="1">
            <w:r w:rsidR="0045260B" w:rsidRPr="0045260B">
              <w:rPr>
                <w:rStyle w:val="Hyperlink"/>
                <w:rFonts w:ascii="Arial" w:hAnsi="Arial" w:cs="Arial"/>
                <w:noProof/>
              </w:rPr>
              <w:t>4.1.5 Communication styles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_Toc215312862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12</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3" w:history="1">
            <w:r w:rsidR="0045260B" w:rsidRPr="0045260B">
              <w:rPr>
                <w:rStyle w:val="Hyperlink"/>
                <w:rFonts w:ascii="Arial" w:hAnsi="Arial" w:cs="Arial"/>
                <w:noProof/>
              </w:rPr>
              <w:t>4.2 Impact of Cultural Differences on Market Entry Strategy</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_Toc215312863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13</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4" w:history="1">
            <w:r w:rsidR="0045260B" w:rsidRPr="0045260B">
              <w:rPr>
                <w:rStyle w:val="Hyperlink"/>
                <w:rFonts w:ascii="Arial" w:hAnsi="Arial" w:cs="Arial"/>
                <w:noProof/>
              </w:rPr>
              <w:t>4.3 Impact of Cultural Differences on Long-Term Market Success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_Toc215312864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14</w:t>
            </w:r>
            <w:r w:rsidRPr="0045260B">
              <w:rPr>
                <w:rFonts w:ascii="Arial" w:hAnsi="Arial" w:cs="Arial"/>
                <w:noProof/>
                <w:webHidden/>
              </w:rPr>
              <w:fldChar w:fldCharType="end"/>
            </w:r>
          </w:hyperlink>
        </w:p>
        <w:p w:rsidR="0045260B" w:rsidRPr="0045260B" w:rsidRDefault="00AA71DE" w:rsidP="0045260B">
          <w:pPr>
            <w:pStyle w:val="TOC1"/>
            <w:rPr>
              <w:rFonts w:eastAsiaTheme="minorEastAsia"/>
            </w:rPr>
          </w:pPr>
          <w:hyperlink w:anchor="_Toc215312865" w:history="1">
            <w:r w:rsidR="0045260B" w:rsidRPr="0045260B">
              <w:rPr>
                <w:rStyle w:val="Hyperlink"/>
              </w:rPr>
              <w:t>5. Recommendations for SOP Adjustments</w:t>
            </w:r>
            <w:r w:rsidR="0045260B" w:rsidRPr="0045260B">
              <w:rPr>
                <w:webHidden/>
              </w:rPr>
              <w:tab/>
            </w:r>
            <w:r w:rsidRPr="0045260B">
              <w:rPr>
                <w:webHidden/>
              </w:rPr>
              <w:fldChar w:fldCharType="begin"/>
            </w:r>
            <w:r w:rsidR="0045260B" w:rsidRPr="0045260B">
              <w:rPr>
                <w:webHidden/>
              </w:rPr>
              <w:instrText xml:space="preserve"> PAGEREF _Toc215312865 \h </w:instrText>
            </w:r>
            <w:r w:rsidRPr="0045260B">
              <w:rPr>
                <w:webHidden/>
              </w:rPr>
            </w:r>
            <w:r w:rsidRPr="0045260B">
              <w:rPr>
                <w:webHidden/>
              </w:rPr>
              <w:fldChar w:fldCharType="separate"/>
            </w:r>
            <w:r w:rsidR="0045260B" w:rsidRPr="0045260B">
              <w:rPr>
                <w:webHidden/>
              </w:rPr>
              <w:t>15</w:t>
            </w:r>
            <w:r w:rsidRPr="0045260B">
              <w:rPr>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6" w:history="1">
            <w:r w:rsidR="0045260B" w:rsidRPr="0045260B">
              <w:rPr>
                <w:rStyle w:val="Hyperlink"/>
                <w:rFonts w:ascii="Arial" w:hAnsi="Arial" w:cs="Arial"/>
                <w:noProof/>
              </w:rPr>
              <w:t>5.1 SOP Adjustment 1: Localised Human Resource and Leadership Practices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_Toc215312866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15</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7" w:history="1">
            <w:r w:rsidR="0045260B" w:rsidRPr="0045260B">
              <w:rPr>
                <w:rStyle w:val="Hyperlink"/>
                <w:rFonts w:ascii="Arial" w:hAnsi="Arial" w:cs="Arial"/>
                <w:noProof/>
              </w:rPr>
              <w:t>5.2 SOP Adjustment 2: Localised Marketing, Patient Engagement and Market Access Strategies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_Toc215312867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17</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8" w:history="1">
            <w:r w:rsidR="0045260B" w:rsidRPr="0045260B">
              <w:rPr>
                <w:rStyle w:val="Hyperlink"/>
                <w:rFonts w:ascii="Arial" w:hAnsi="Arial" w:cs="Arial"/>
                <w:noProof/>
              </w:rPr>
              <w:t>5.3 SOP Adjustment 3: Strengthened Local Compliance, Regulatory Alignment, and Supply Chain Integration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_Toc215312868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18</w:t>
            </w:r>
            <w:r w:rsidRPr="0045260B">
              <w:rPr>
                <w:rFonts w:ascii="Arial" w:hAnsi="Arial" w:cs="Arial"/>
                <w:noProof/>
                <w:webHidden/>
              </w:rPr>
              <w:fldChar w:fldCharType="end"/>
            </w:r>
          </w:hyperlink>
        </w:p>
        <w:p w:rsidR="0045260B" w:rsidRPr="0045260B" w:rsidRDefault="00AA71DE" w:rsidP="0045260B">
          <w:pPr>
            <w:pStyle w:val="TOC2"/>
            <w:tabs>
              <w:tab w:val="right" w:leader="dot" w:pos="9350"/>
            </w:tabs>
            <w:spacing w:line="360" w:lineRule="auto"/>
            <w:rPr>
              <w:rFonts w:ascii="Arial" w:eastAsiaTheme="minorEastAsia" w:hAnsi="Arial" w:cs="Arial"/>
              <w:noProof/>
            </w:rPr>
          </w:pPr>
          <w:hyperlink w:anchor="_Toc215312869" w:history="1">
            <w:r w:rsidR="0045260B" w:rsidRPr="0045260B">
              <w:rPr>
                <w:rStyle w:val="Hyperlink"/>
                <w:rFonts w:ascii="Arial" w:hAnsi="Arial" w:cs="Arial"/>
                <w:noProof/>
              </w:rPr>
              <w:t>5.4 Alignment With OLI and Cultural Analysis</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_Toc215312869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20</w:t>
            </w:r>
            <w:r w:rsidRPr="0045260B">
              <w:rPr>
                <w:rFonts w:ascii="Arial" w:hAnsi="Arial" w:cs="Arial"/>
                <w:noProof/>
                <w:webHidden/>
              </w:rPr>
              <w:fldChar w:fldCharType="end"/>
            </w:r>
          </w:hyperlink>
        </w:p>
        <w:p w:rsidR="0045260B" w:rsidRPr="0045260B" w:rsidRDefault="00AA71DE" w:rsidP="0045260B">
          <w:pPr>
            <w:pStyle w:val="TOC1"/>
            <w:rPr>
              <w:rFonts w:eastAsiaTheme="minorEastAsia"/>
            </w:rPr>
          </w:pPr>
          <w:hyperlink w:anchor="_Toc215312870" w:history="1">
            <w:r w:rsidR="0045260B" w:rsidRPr="0045260B">
              <w:rPr>
                <w:rStyle w:val="Hyperlink"/>
              </w:rPr>
              <w:t>6. Conclusion</w:t>
            </w:r>
            <w:r w:rsidR="0045260B" w:rsidRPr="0045260B">
              <w:rPr>
                <w:webHidden/>
              </w:rPr>
              <w:tab/>
            </w:r>
            <w:r w:rsidRPr="0045260B">
              <w:rPr>
                <w:webHidden/>
              </w:rPr>
              <w:fldChar w:fldCharType="begin"/>
            </w:r>
            <w:r w:rsidR="0045260B" w:rsidRPr="0045260B">
              <w:rPr>
                <w:webHidden/>
              </w:rPr>
              <w:instrText xml:space="preserve"> PAGEREF _Toc215312870 \h </w:instrText>
            </w:r>
            <w:r w:rsidRPr="0045260B">
              <w:rPr>
                <w:webHidden/>
              </w:rPr>
            </w:r>
            <w:r w:rsidRPr="0045260B">
              <w:rPr>
                <w:webHidden/>
              </w:rPr>
              <w:fldChar w:fldCharType="separate"/>
            </w:r>
            <w:r w:rsidR="0045260B" w:rsidRPr="0045260B">
              <w:rPr>
                <w:webHidden/>
              </w:rPr>
              <w:t>20</w:t>
            </w:r>
            <w:r w:rsidRPr="0045260B">
              <w:rPr>
                <w:webHidden/>
              </w:rPr>
              <w:fldChar w:fldCharType="end"/>
            </w:r>
          </w:hyperlink>
        </w:p>
        <w:p w:rsidR="0045260B" w:rsidRPr="0045260B" w:rsidRDefault="00AA71DE" w:rsidP="0045260B">
          <w:pPr>
            <w:pStyle w:val="TOC1"/>
            <w:rPr>
              <w:rFonts w:eastAsiaTheme="minorEastAsia"/>
            </w:rPr>
          </w:pPr>
          <w:hyperlink w:anchor="_Toc215312871" w:history="1">
            <w:r w:rsidR="0045260B" w:rsidRPr="0045260B">
              <w:rPr>
                <w:rStyle w:val="Hyperlink"/>
              </w:rPr>
              <w:t>References</w:t>
            </w:r>
            <w:r w:rsidR="0045260B" w:rsidRPr="0045260B">
              <w:rPr>
                <w:webHidden/>
              </w:rPr>
              <w:tab/>
            </w:r>
            <w:r w:rsidRPr="0045260B">
              <w:rPr>
                <w:webHidden/>
              </w:rPr>
              <w:fldChar w:fldCharType="begin"/>
            </w:r>
            <w:r w:rsidR="0045260B" w:rsidRPr="0045260B">
              <w:rPr>
                <w:webHidden/>
              </w:rPr>
              <w:instrText xml:space="preserve"> PAGEREF _Toc215312871 \h </w:instrText>
            </w:r>
            <w:r w:rsidRPr="0045260B">
              <w:rPr>
                <w:webHidden/>
              </w:rPr>
            </w:r>
            <w:r w:rsidRPr="0045260B">
              <w:rPr>
                <w:webHidden/>
              </w:rPr>
              <w:fldChar w:fldCharType="separate"/>
            </w:r>
            <w:r w:rsidR="0045260B" w:rsidRPr="0045260B">
              <w:rPr>
                <w:webHidden/>
              </w:rPr>
              <w:t>21</w:t>
            </w:r>
            <w:r w:rsidRPr="0045260B">
              <w:rPr>
                <w:webHidden/>
              </w:rPr>
              <w:fldChar w:fldCharType="end"/>
            </w:r>
          </w:hyperlink>
        </w:p>
        <w:p w:rsidR="0045260B" w:rsidRPr="0045260B" w:rsidRDefault="00AA71DE" w:rsidP="0045260B">
          <w:pPr>
            <w:pStyle w:val="TOC1"/>
            <w:rPr>
              <w:rFonts w:eastAsiaTheme="minorEastAsia"/>
            </w:rPr>
          </w:pPr>
          <w:hyperlink w:anchor="_Toc215312872" w:history="1">
            <w:r w:rsidR="0045260B" w:rsidRPr="0045260B">
              <w:rPr>
                <w:rStyle w:val="Hyperlink"/>
              </w:rPr>
              <w:t>Appendices</w:t>
            </w:r>
            <w:r w:rsidR="0045260B" w:rsidRPr="0045260B">
              <w:rPr>
                <w:webHidden/>
              </w:rPr>
              <w:tab/>
            </w:r>
            <w:r w:rsidRPr="0045260B">
              <w:rPr>
                <w:webHidden/>
              </w:rPr>
              <w:fldChar w:fldCharType="begin"/>
            </w:r>
            <w:r w:rsidR="0045260B" w:rsidRPr="0045260B">
              <w:rPr>
                <w:webHidden/>
              </w:rPr>
              <w:instrText xml:space="preserve"> PAGEREF _Toc215312872 \h </w:instrText>
            </w:r>
            <w:r w:rsidRPr="0045260B">
              <w:rPr>
                <w:webHidden/>
              </w:rPr>
            </w:r>
            <w:r w:rsidRPr="0045260B">
              <w:rPr>
                <w:webHidden/>
              </w:rPr>
              <w:fldChar w:fldCharType="separate"/>
            </w:r>
            <w:r w:rsidR="0045260B" w:rsidRPr="0045260B">
              <w:rPr>
                <w:webHidden/>
              </w:rPr>
              <w:t>23</w:t>
            </w:r>
            <w:r w:rsidRPr="0045260B">
              <w:rPr>
                <w:webHidden/>
              </w:rPr>
              <w:fldChar w:fldCharType="end"/>
            </w:r>
          </w:hyperlink>
        </w:p>
        <w:p w:rsidR="0045260B" w:rsidRDefault="00AA71DE" w:rsidP="0045260B">
          <w:pPr>
            <w:pStyle w:val="TOC2"/>
            <w:tabs>
              <w:tab w:val="right" w:leader="dot" w:pos="9350"/>
            </w:tabs>
            <w:spacing w:line="360" w:lineRule="auto"/>
            <w:rPr>
              <w:rFonts w:eastAsiaTheme="minorEastAsia"/>
              <w:noProof/>
            </w:rPr>
          </w:pPr>
          <w:hyperlink w:anchor="_Toc215312873" w:history="1">
            <w:r w:rsidR="0045260B" w:rsidRPr="0045260B">
              <w:rPr>
                <w:rStyle w:val="Hyperlink"/>
                <w:rFonts w:ascii="Arial" w:hAnsi="Arial" w:cs="Arial"/>
                <w:noProof/>
              </w:rPr>
              <w:t>A. OLI Framework Summary (Ownership–Location–Internalisation)</w:t>
            </w:r>
            <w:r w:rsidR="0045260B" w:rsidRPr="0045260B">
              <w:rPr>
                <w:rFonts w:ascii="Arial" w:hAnsi="Arial" w:cs="Arial"/>
                <w:noProof/>
                <w:webHidden/>
              </w:rPr>
              <w:tab/>
            </w:r>
            <w:r w:rsidRPr="0045260B">
              <w:rPr>
                <w:rFonts w:ascii="Arial" w:hAnsi="Arial" w:cs="Arial"/>
                <w:noProof/>
                <w:webHidden/>
              </w:rPr>
              <w:fldChar w:fldCharType="begin"/>
            </w:r>
            <w:r w:rsidR="0045260B" w:rsidRPr="0045260B">
              <w:rPr>
                <w:rFonts w:ascii="Arial" w:hAnsi="Arial" w:cs="Arial"/>
                <w:noProof/>
                <w:webHidden/>
              </w:rPr>
              <w:instrText xml:space="preserve"> PAGEREF _Toc215312873 \h </w:instrText>
            </w:r>
            <w:r w:rsidRPr="0045260B">
              <w:rPr>
                <w:rFonts w:ascii="Arial" w:hAnsi="Arial" w:cs="Arial"/>
                <w:noProof/>
                <w:webHidden/>
              </w:rPr>
            </w:r>
            <w:r w:rsidRPr="0045260B">
              <w:rPr>
                <w:rFonts w:ascii="Arial" w:hAnsi="Arial" w:cs="Arial"/>
                <w:noProof/>
                <w:webHidden/>
              </w:rPr>
              <w:fldChar w:fldCharType="separate"/>
            </w:r>
            <w:r w:rsidR="0045260B" w:rsidRPr="0045260B">
              <w:rPr>
                <w:rFonts w:ascii="Arial" w:hAnsi="Arial" w:cs="Arial"/>
                <w:noProof/>
                <w:webHidden/>
              </w:rPr>
              <w:t>23</w:t>
            </w:r>
            <w:r w:rsidRPr="0045260B">
              <w:rPr>
                <w:rFonts w:ascii="Arial" w:hAnsi="Arial" w:cs="Arial"/>
                <w:noProof/>
                <w:webHidden/>
              </w:rPr>
              <w:fldChar w:fldCharType="end"/>
            </w:r>
          </w:hyperlink>
        </w:p>
        <w:p w:rsidR="0045260B" w:rsidRDefault="00AA71DE">
          <w:r w:rsidRPr="0045260B">
            <w:rPr>
              <w:rFonts w:ascii="Arial" w:hAnsi="Arial" w:cs="Arial"/>
              <w:b/>
              <w:bCs/>
              <w:noProof/>
            </w:rPr>
            <w:fldChar w:fldCharType="end"/>
          </w:r>
        </w:p>
      </w:sdtContent>
    </w:sdt>
    <w:p w:rsidR="0045260B" w:rsidRDefault="0045260B" w:rsidP="007310DF">
      <w:pPr>
        <w:spacing w:line="360" w:lineRule="auto"/>
        <w:jc w:val="both"/>
        <w:rPr>
          <w:rFonts w:ascii="Arial" w:hAnsi="Arial" w:cs="Arial"/>
          <w:b/>
          <w:bCs/>
        </w:rPr>
      </w:pPr>
    </w:p>
    <w:p w:rsidR="00DF4E2C" w:rsidRDefault="00DF4E2C"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7310DF">
      <w:pPr>
        <w:spacing w:line="360" w:lineRule="auto"/>
        <w:jc w:val="both"/>
        <w:rPr>
          <w:rFonts w:ascii="Arial" w:hAnsi="Arial" w:cs="Arial"/>
          <w:b/>
          <w:bCs/>
        </w:rPr>
      </w:pPr>
    </w:p>
    <w:p w:rsidR="0045260B" w:rsidRDefault="0045260B" w:rsidP="0019059C">
      <w:pPr>
        <w:pStyle w:val="Heading1"/>
        <w:sectPr w:rsidR="0045260B" w:rsidSect="001F5206">
          <w:footerReference w:type="default" r:id="rId9"/>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pPr>
    </w:p>
    <w:p w:rsidR="003B6F4C" w:rsidRPr="007310DF" w:rsidRDefault="0045260B" w:rsidP="0019059C">
      <w:pPr>
        <w:pStyle w:val="Heading1"/>
      </w:pPr>
      <w:bookmarkStart w:id="0" w:name="_Toc215312834"/>
      <w:r>
        <w:lastRenderedPageBreak/>
        <w:t xml:space="preserve">1. </w:t>
      </w:r>
      <w:r w:rsidR="003B6F4C" w:rsidRPr="007310DF">
        <w:t>Introduction</w:t>
      </w:r>
      <w:bookmarkEnd w:id="0"/>
    </w:p>
    <w:p w:rsidR="00C135D4" w:rsidRPr="007310DF" w:rsidRDefault="00037FB1" w:rsidP="007310DF">
      <w:pPr>
        <w:spacing w:line="360" w:lineRule="auto"/>
        <w:jc w:val="both"/>
        <w:rPr>
          <w:rFonts w:ascii="Arial" w:hAnsi="Arial" w:cs="Arial"/>
        </w:rPr>
      </w:pPr>
      <w:r w:rsidRPr="007310DF">
        <w:rPr>
          <w:rFonts w:ascii="Arial" w:hAnsi="Arial" w:cs="Arial"/>
        </w:rPr>
        <w:t>The world business environment has become very complex</w:t>
      </w:r>
      <w:r w:rsidR="004C03AA">
        <w:rPr>
          <w:rFonts w:ascii="Arial" w:hAnsi="Arial" w:cs="Arial"/>
        </w:rPr>
        <w:t>,</w:t>
      </w:r>
      <w:r w:rsidRPr="007310DF">
        <w:rPr>
          <w:rFonts w:ascii="Arial" w:hAnsi="Arial" w:cs="Arial"/>
        </w:rPr>
        <w:t xml:space="preserve"> and multinational business enterprises are forced to develop strategies that can enhance innovation, endurance, and sustainable growth in the heterogeneous international markets. In the pharmaceutical industry, achievement depends especially on massive international research and development partnerships, international networks of production, and </w:t>
      </w:r>
      <w:r w:rsidR="004C03AA">
        <w:rPr>
          <w:rFonts w:ascii="Arial" w:hAnsi="Arial" w:cs="Arial"/>
        </w:rPr>
        <w:t xml:space="preserve">the </w:t>
      </w:r>
      <w:r w:rsidRPr="007310DF">
        <w:rPr>
          <w:rFonts w:ascii="Arial" w:hAnsi="Arial" w:cs="Arial"/>
        </w:rPr>
        <w:t xml:space="preserve">availability of large and </w:t>
      </w:r>
      <w:r w:rsidR="004C03AA">
        <w:rPr>
          <w:rFonts w:ascii="Arial" w:hAnsi="Arial" w:cs="Arial"/>
        </w:rPr>
        <w:t>fast-growing</w:t>
      </w:r>
      <w:r w:rsidRPr="007310DF">
        <w:rPr>
          <w:rFonts w:ascii="Arial" w:hAnsi="Arial" w:cs="Arial"/>
        </w:rPr>
        <w:t xml:space="preserve"> populations of patients. AstraZeneca is one of the largest biopharmaceutical companies in the United Kingdom, which conducts its business in more than a hundred different jurisdictions and develops a strong international presence with a vast research, manufacturing, and distribution network. </w:t>
      </w:r>
      <w:r w:rsidR="00C135D4" w:rsidRPr="007310DF">
        <w:rPr>
          <w:rFonts w:ascii="Arial" w:hAnsi="Arial" w:cs="Arial"/>
        </w:rPr>
        <w:t xml:space="preserve">The report is based </w:t>
      </w:r>
      <w:r w:rsidR="004C03AA">
        <w:rPr>
          <w:rFonts w:ascii="Arial" w:hAnsi="Arial" w:cs="Arial"/>
        </w:rPr>
        <w:t>on the emerging economy of India, with its comprehension of the growth of the Indian healthcare industry, its large population, and increasing rates of chronic illnesses, against which it is found that demand for advanced therapies has</w:t>
      </w:r>
      <w:r w:rsidR="00C135D4" w:rsidRPr="007310DF">
        <w:rPr>
          <w:rFonts w:ascii="Arial" w:hAnsi="Arial" w:cs="Arial"/>
        </w:rPr>
        <w:t xml:space="preserve"> increased. It appraises the opportunities of international operations and may cause problems to a firm </w:t>
      </w:r>
      <w:r w:rsidR="004C03AA">
        <w:rPr>
          <w:rFonts w:ascii="Arial" w:hAnsi="Arial" w:cs="Arial"/>
        </w:rPr>
        <w:t>as</w:t>
      </w:r>
      <w:r w:rsidR="00C135D4" w:rsidRPr="007310DF">
        <w:rPr>
          <w:rFonts w:ascii="Arial" w:hAnsi="Arial" w:cs="Arial"/>
        </w:rPr>
        <w:t xml:space="preserve"> it strategically enters a market in India and expands. Using the OLI paradigm and cultural analysis, the report writes about the market-entry decisions and adjustments that need to be made </w:t>
      </w:r>
      <w:r w:rsidR="004C03AA">
        <w:rPr>
          <w:rFonts w:ascii="Arial" w:hAnsi="Arial" w:cs="Arial"/>
        </w:rPr>
        <w:t>to</w:t>
      </w:r>
      <w:r w:rsidR="00C135D4" w:rsidRPr="007310DF">
        <w:rPr>
          <w:rFonts w:ascii="Arial" w:hAnsi="Arial" w:cs="Arial"/>
        </w:rPr>
        <w:t xml:space="preserve"> the standard operating procedures to ensure long-term performance in the Indian market.</w:t>
      </w:r>
    </w:p>
    <w:p w:rsidR="003B6F4C" w:rsidRPr="007310DF" w:rsidRDefault="003B6F4C" w:rsidP="006A628B">
      <w:pPr>
        <w:pStyle w:val="Heading1"/>
      </w:pPr>
      <w:bookmarkStart w:id="1" w:name="_Toc215312835"/>
      <w:r w:rsidRPr="007310DF">
        <w:t>2. Benefits and Challenges of International Operations</w:t>
      </w:r>
      <w:bookmarkEnd w:id="1"/>
    </w:p>
    <w:p w:rsidR="003B6F4C" w:rsidRPr="007310DF" w:rsidRDefault="00A43203" w:rsidP="006A628B">
      <w:pPr>
        <w:pStyle w:val="Heading2"/>
      </w:pPr>
      <w:bookmarkStart w:id="2" w:name="_Toc215312836"/>
      <w:r>
        <w:t xml:space="preserve">2.1 </w:t>
      </w:r>
      <w:r w:rsidR="003B6F4C" w:rsidRPr="007310DF">
        <w:t>Why the Company Can Be Designated an MNC/TNC</w:t>
      </w:r>
      <w:bookmarkEnd w:id="2"/>
    </w:p>
    <w:p w:rsidR="00C135D4" w:rsidRPr="007310DF" w:rsidRDefault="00C135D4" w:rsidP="007310DF">
      <w:pPr>
        <w:spacing w:line="360" w:lineRule="auto"/>
        <w:jc w:val="both"/>
        <w:rPr>
          <w:rFonts w:ascii="Arial" w:hAnsi="Arial" w:cs="Arial"/>
        </w:rPr>
      </w:pPr>
      <w:r w:rsidRPr="007310DF">
        <w:rPr>
          <w:rFonts w:ascii="Arial" w:hAnsi="Arial" w:cs="Arial"/>
        </w:rPr>
        <w:t xml:space="preserve">The structure that the organization is referred to is that of a multinational or transnational corporation because its activities are widespread and intricate in many countries. It demonstrates high internationalization because it conducts research and development, manufactures and trades in more than a hundred countries. Being a biopharmaceutical company, it is based on a distinct scientific competency, </w:t>
      </w:r>
      <w:r w:rsidR="004C03AA">
        <w:rPr>
          <w:rFonts w:ascii="Arial" w:hAnsi="Arial" w:cs="Arial"/>
        </w:rPr>
        <w:t>internationally located clinical trial networks, regulatory permits in different regions,</w:t>
      </w:r>
      <w:r w:rsidRPr="007310DF">
        <w:rPr>
          <w:rFonts w:ascii="Arial" w:hAnsi="Arial" w:cs="Arial"/>
        </w:rPr>
        <w:t xml:space="preserve"> as well as diversified supply chains with developed and developing markets</w:t>
      </w:r>
      <w:r w:rsidR="00DD5D97" w:rsidRPr="00DD5D97">
        <w:rPr>
          <w:rFonts w:ascii="Arial" w:hAnsi="Arial" w:cs="Arial"/>
        </w:rPr>
        <w:t>(AstraZeneca, 2024)</w:t>
      </w:r>
      <w:r w:rsidRPr="007310DF">
        <w:rPr>
          <w:rFonts w:ascii="Arial" w:hAnsi="Arial" w:cs="Arial"/>
        </w:rPr>
        <w:t xml:space="preserve">. The company uses </w:t>
      </w:r>
      <w:r w:rsidR="004C03AA">
        <w:rPr>
          <w:rFonts w:ascii="Arial" w:hAnsi="Arial" w:cs="Arial"/>
        </w:rPr>
        <w:t xml:space="preserve">a transnational structure with regional headquarters and </w:t>
      </w:r>
      <w:r w:rsidR="004C03AA">
        <w:rPr>
          <w:rFonts w:ascii="Arial" w:hAnsi="Arial" w:cs="Arial"/>
        </w:rPr>
        <w:lastRenderedPageBreak/>
        <w:t>country offices that make strategic decisions, alteration of product portfolio, and operations that are country-specific</w:t>
      </w:r>
      <w:r w:rsidRPr="007310DF">
        <w:rPr>
          <w:rFonts w:ascii="Arial" w:hAnsi="Arial" w:cs="Arial"/>
        </w:rPr>
        <w:t xml:space="preserve">. In addition, it is also efficient in managing resources, expertise, and innovation </w:t>
      </w:r>
      <w:r w:rsidR="004C03AA">
        <w:rPr>
          <w:rFonts w:ascii="Arial" w:hAnsi="Arial" w:cs="Arial"/>
        </w:rPr>
        <w:t>at the inter-country level,</w:t>
      </w:r>
      <w:r w:rsidRPr="007310DF">
        <w:rPr>
          <w:rFonts w:ascii="Arial" w:hAnsi="Arial" w:cs="Arial"/>
        </w:rPr>
        <w:t xml:space="preserve"> as the R&amp;D centers are strategically located throughout the world to access scientific expertise and different patient populations. It has well-distributed manufacturing plants in Europe, Asia, and </w:t>
      </w:r>
      <w:r w:rsidR="004C03AA">
        <w:rPr>
          <w:rFonts w:ascii="Arial" w:hAnsi="Arial" w:cs="Arial"/>
        </w:rPr>
        <w:t>the Americas,</w:t>
      </w:r>
      <w:r w:rsidRPr="007310DF">
        <w:rPr>
          <w:rFonts w:ascii="Arial" w:hAnsi="Arial" w:cs="Arial"/>
        </w:rPr>
        <w:t xml:space="preserve"> which play a major role in its revenues, particularly in the emerging markets. This amalgamation of international presence, integrated value chain, decentralized decision making</w:t>
      </w:r>
      <w:r w:rsidR="004C03AA">
        <w:rPr>
          <w:rFonts w:ascii="Arial" w:hAnsi="Arial" w:cs="Arial"/>
        </w:rPr>
        <w:t>, and cross-border flow of knowledge makes it a well-established multinational corporation (MNC) or transnational corporation</w:t>
      </w:r>
      <w:r w:rsidRPr="007310DF">
        <w:rPr>
          <w:rFonts w:ascii="Arial" w:hAnsi="Arial" w:cs="Arial"/>
        </w:rPr>
        <w:t xml:space="preserve"> (TNC) in a complex international environment</w:t>
      </w:r>
      <w:r w:rsidR="004F3A1F">
        <w:rPr>
          <w:rFonts w:ascii="Arial" w:hAnsi="Arial" w:cs="Arial"/>
        </w:rPr>
        <w:t xml:space="preserve"> (</w:t>
      </w:r>
      <w:r w:rsidR="004F3A1F" w:rsidRPr="004F3A1F">
        <w:rPr>
          <w:rFonts w:ascii="Arial" w:hAnsi="Arial" w:cs="Arial"/>
        </w:rPr>
        <w:t>Appendix B)</w:t>
      </w:r>
      <w:r w:rsidRPr="007310DF">
        <w:rPr>
          <w:rFonts w:ascii="Arial" w:hAnsi="Arial" w:cs="Arial"/>
        </w:rPr>
        <w:t>.</w:t>
      </w:r>
    </w:p>
    <w:p w:rsidR="003B6F4C" w:rsidRPr="007310DF" w:rsidRDefault="00A43203" w:rsidP="006A628B">
      <w:pPr>
        <w:pStyle w:val="Heading2"/>
      </w:pPr>
      <w:bookmarkStart w:id="3" w:name="_Toc215312837"/>
      <w:r>
        <w:t xml:space="preserve">2.2 </w:t>
      </w:r>
      <w:r w:rsidR="003B6F4C" w:rsidRPr="007310DF">
        <w:t>Summary of Global Operations and Value Chain</w:t>
      </w:r>
      <w:bookmarkEnd w:id="3"/>
    </w:p>
    <w:p w:rsidR="00037FB1" w:rsidRDefault="00037FB1" w:rsidP="007310DF">
      <w:pPr>
        <w:spacing w:line="360" w:lineRule="auto"/>
        <w:jc w:val="both"/>
        <w:rPr>
          <w:rFonts w:ascii="Arial" w:hAnsi="Arial" w:cs="Arial"/>
        </w:rPr>
      </w:pPr>
      <w:r w:rsidRPr="007310DF">
        <w:rPr>
          <w:rFonts w:ascii="Arial" w:hAnsi="Arial" w:cs="Arial"/>
        </w:rPr>
        <w:t xml:space="preserve">The global value chain of the organisation is vast and is designed in a way that will lead to innovation, compliance </w:t>
      </w:r>
      <w:r w:rsidR="004C03AA">
        <w:rPr>
          <w:rFonts w:ascii="Arial" w:hAnsi="Arial" w:cs="Arial"/>
        </w:rPr>
        <w:t>with regulations,</w:t>
      </w:r>
      <w:r w:rsidRPr="007310DF">
        <w:rPr>
          <w:rFonts w:ascii="Arial" w:hAnsi="Arial" w:cs="Arial"/>
        </w:rPr>
        <w:t xml:space="preserve"> and enable the efficient distribution of drugs on a global scale. Its activities involve the totality of </w:t>
      </w:r>
      <w:r w:rsidR="004C03AA">
        <w:rPr>
          <w:rFonts w:ascii="Arial" w:hAnsi="Arial" w:cs="Arial"/>
        </w:rPr>
        <w:t xml:space="preserve">the </w:t>
      </w:r>
      <w:r w:rsidRPr="007310DF">
        <w:rPr>
          <w:rFonts w:ascii="Arial" w:hAnsi="Arial" w:cs="Arial"/>
        </w:rPr>
        <w:t>drug life cycle that starts with the discovery research and ends with the provision of products to health practitioners and patients in diverse markets</w:t>
      </w:r>
      <w:r w:rsidR="0022639C" w:rsidRPr="0022639C">
        <w:rPr>
          <w:rFonts w:ascii="Arial" w:hAnsi="Arial" w:cs="Arial"/>
        </w:rPr>
        <w:t>(WHO, 2023)</w:t>
      </w:r>
      <w:r w:rsidRPr="007310DF">
        <w:rPr>
          <w:rFonts w:ascii="Arial" w:hAnsi="Arial" w:cs="Arial"/>
        </w:rPr>
        <w:t xml:space="preserve">.  </w:t>
      </w:r>
    </w:p>
    <w:p w:rsidR="00892329" w:rsidRDefault="00892329" w:rsidP="00892329">
      <w:pPr>
        <w:keepNext/>
        <w:spacing w:line="360" w:lineRule="auto"/>
        <w:jc w:val="center"/>
      </w:pPr>
      <w:r>
        <w:rPr>
          <w:noProof/>
          <w:lang w:bidi="hi-IN"/>
        </w:rPr>
        <w:drawing>
          <wp:inline distT="0" distB="0" distL="0" distR="0">
            <wp:extent cx="3733800" cy="2749550"/>
            <wp:effectExtent l="0" t="0" r="0" b="0"/>
            <wp:docPr id="11712242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0705" b="9765"/>
                    <a:stretch>
                      <a:fillRect/>
                    </a:stretch>
                  </pic:blipFill>
                  <pic:spPr bwMode="auto">
                    <a:xfrm>
                      <a:off x="0" y="0"/>
                      <a:ext cx="3733800" cy="274955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92329" w:rsidRPr="00892329" w:rsidRDefault="00892329" w:rsidP="00892329">
      <w:pPr>
        <w:pStyle w:val="Caption"/>
        <w:jc w:val="center"/>
        <w:rPr>
          <w:rFonts w:ascii="Arial" w:hAnsi="Arial" w:cs="Arial"/>
          <w:sz w:val="24"/>
          <w:szCs w:val="24"/>
        </w:rPr>
      </w:pPr>
      <w:r w:rsidRPr="00892329">
        <w:rPr>
          <w:rFonts w:ascii="Arial" w:hAnsi="Arial" w:cs="Arial"/>
          <w:sz w:val="24"/>
          <w:szCs w:val="24"/>
        </w:rPr>
        <w:t xml:space="preserve">Figure </w:t>
      </w:r>
      <w:r w:rsidR="00AA71DE" w:rsidRPr="00892329">
        <w:rPr>
          <w:rFonts w:ascii="Arial" w:hAnsi="Arial" w:cs="Arial"/>
          <w:sz w:val="24"/>
          <w:szCs w:val="24"/>
        </w:rPr>
        <w:fldChar w:fldCharType="begin"/>
      </w:r>
      <w:r w:rsidRPr="00892329">
        <w:rPr>
          <w:rFonts w:ascii="Arial" w:hAnsi="Arial" w:cs="Arial"/>
          <w:sz w:val="24"/>
          <w:szCs w:val="24"/>
        </w:rPr>
        <w:instrText xml:space="preserve"> SEQ Figure \* ARABIC </w:instrText>
      </w:r>
      <w:r w:rsidR="00AA71DE" w:rsidRPr="00892329">
        <w:rPr>
          <w:rFonts w:ascii="Arial" w:hAnsi="Arial" w:cs="Arial"/>
          <w:sz w:val="24"/>
          <w:szCs w:val="24"/>
        </w:rPr>
        <w:fldChar w:fldCharType="separate"/>
      </w:r>
      <w:r w:rsidRPr="00892329">
        <w:rPr>
          <w:rFonts w:ascii="Arial" w:hAnsi="Arial" w:cs="Arial"/>
          <w:noProof/>
          <w:sz w:val="24"/>
          <w:szCs w:val="24"/>
        </w:rPr>
        <w:t>1</w:t>
      </w:r>
      <w:r w:rsidR="00AA71DE" w:rsidRPr="00892329">
        <w:rPr>
          <w:rFonts w:ascii="Arial" w:hAnsi="Arial" w:cs="Arial"/>
          <w:sz w:val="24"/>
          <w:szCs w:val="24"/>
        </w:rPr>
        <w:fldChar w:fldCharType="end"/>
      </w:r>
      <w:r w:rsidRPr="00892329">
        <w:rPr>
          <w:rFonts w:ascii="Arial" w:hAnsi="Arial" w:cs="Arial"/>
          <w:sz w:val="24"/>
          <w:szCs w:val="24"/>
        </w:rPr>
        <w:t xml:space="preserve"> AstraZeneca Global Revenue Distribution by Region</w:t>
      </w:r>
    </w:p>
    <w:p w:rsidR="00037FB1" w:rsidRPr="00A43203" w:rsidRDefault="00A43203" w:rsidP="006A628B">
      <w:pPr>
        <w:pStyle w:val="Heading3"/>
      </w:pPr>
      <w:bookmarkStart w:id="4" w:name="_Toc215312838"/>
      <w:r w:rsidRPr="00A43203">
        <w:lastRenderedPageBreak/>
        <w:t xml:space="preserve">2.2.1 </w:t>
      </w:r>
      <w:r w:rsidR="00037FB1" w:rsidRPr="00A43203">
        <w:t>Research and Development</w:t>
      </w:r>
      <w:bookmarkEnd w:id="4"/>
    </w:p>
    <w:p w:rsidR="00037FB1" w:rsidRPr="007310DF" w:rsidRDefault="00037FB1" w:rsidP="007310DF">
      <w:pPr>
        <w:spacing w:line="360" w:lineRule="auto"/>
        <w:jc w:val="both"/>
        <w:rPr>
          <w:rFonts w:ascii="Arial" w:hAnsi="Arial" w:cs="Arial"/>
        </w:rPr>
      </w:pPr>
      <w:r w:rsidRPr="007310DF">
        <w:rPr>
          <w:rFonts w:ascii="Arial" w:hAnsi="Arial" w:cs="Arial"/>
        </w:rPr>
        <w:t>The competitive advantage of the organisation comprises research and development. The network of research is represented by laboratories and innovation centers spread over Europe, North America, and Asia</w:t>
      </w:r>
      <w:r w:rsidR="004C03AA">
        <w:rPr>
          <w:rFonts w:ascii="Arial" w:hAnsi="Arial" w:cs="Arial"/>
        </w:rPr>
        <w:t>,</w:t>
      </w:r>
      <w:r w:rsidRPr="007310DF">
        <w:rPr>
          <w:rFonts w:ascii="Arial" w:hAnsi="Arial" w:cs="Arial"/>
        </w:rPr>
        <w:t xml:space="preserve"> and each </w:t>
      </w:r>
      <w:r w:rsidR="004C03AA">
        <w:rPr>
          <w:rFonts w:ascii="Arial" w:hAnsi="Arial" w:cs="Arial"/>
        </w:rPr>
        <w:t>with</w:t>
      </w:r>
      <w:r w:rsidRPr="007310DF">
        <w:rPr>
          <w:rFonts w:ascii="Arial" w:hAnsi="Arial" w:cs="Arial"/>
        </w:rPr>
        <w:t xml:space="preserve"> its focus on drug discovery, early-stage development, and translational science. The organisation conducts global clinical trials in hospitals, universities, and research </w:t>
      </w:r>
      <w:r w:rsidR="008C072C" w:rsidRPr="007310DF">
        <w:rPr>
          <w:rFonts w:ascii="Arial" w:hAnsi="Arial" w:cs="Arial"/>
        </w:rPr>
        <w:t>centers</w:t>
      </w:r>
      <w:r w:rsidRPr="007310DF">
        <w:rPr>
          <w:rFonts w:ascii="Arial" w:hAnsi="Arial" w:cs="Arial"/>
        </w:rPr>
        <w:t xml:space="preserve"> in many countries</w:t>
      </w:r>
      <w:r w:rsidR="004C03AA">
        <w:rPr>
          <w:rFonts w:ascii="Arial" w:hAnsi="Arial" w:cs="Arial"/>
        </w:rPr>
        <w:t>,</w:t>
      </w:r>
      <w:r w:rsidRPr="007310DF">
        <w:rPr>
          <w:rFonts w:ascii="Arial" w:hAnsi="Arial" w:cs="Arial"/>
        </w:rPr>
        <w:t xml:space="preserve"> and thus, the compounds get tested on different population groups and meet regulatory requirements of full evidence. The global nature of R&amp;D offers </w:t>
      </w:r>
      <w:r w:rsidR="004C03AA">
        <w:rPr>
          <w:rFonts w:ascii="Arial" w:hAnsi="Arial" w:cs="Arial"/>
        </w:rPr>
        <w:t>extensive access to scientific talent,</w:t>
      </w:r>
      <w:r w:rsidRPr="007310DF">
        <w:rPr>
          <w:rFonts w:ascii="Arial" w:hAnsi="Arial" w:cs="Arial"/>
        </w:rPr>
        <w:t xml:space="preserve"> hence accelerating the development of oncology, cardiovascular, respiratory, and immunological therapeutics</w:t>
      </w:r>
      <w:r w:rsidR="00DD5D97" w:rsidRPr="00DD5D97">
        <w:rPr>
          <w:rFonts w:ascii="Arial" w:hAnsi="Arial" w:cs="Arial"/>
        </w:rPr>
        <w:t>(AstraZeneca, 2024)</w:t>
      </w:r>
      <w:r w:rsidRPr="007310DF">
        <w:rPr>
          <w:rFonts w:ascii="Arial" w:hAnsi="Arial" w:cs="Arial"/>
        </w:rPr>
        <w:t>.</w:t>
      </w:r>
    </w:p>
    <w:p w:rsidR="003B6F4C" w:rsidRPr="007310DF" w:rsidRDefault="00A43203" w:rsidP="006A628B">
      <w:pPr>
        <w:pStyle w:val="Heading3"/>
      </w:pPr>
      <w:bookmarkStart w:id="5" w:name="_Toc215312839"/>
      <w:r>
        <w:t xml:space="preserve">2.2.2 </w:t>
      </w:r>
      <w:r w:rsidR="003B6F4C" w:rsidRPr="007310DF">
        <w:t>Sourcing and Supply Chain</w:t>
      </w:r>
      <w:bookmarkEnd w:id="5"/>
    </w:p>
    <w:p w:rsidR="00693303" w:rsidRPr="007310DF" w:rsidRDefault="00693303" w:rsidP="007310DF">
      <w:pPr>
        <w:spacing w:line="360" w:lineRule="auto"/>
        <w:jc w:val="both"/>
        <w:rPr>
          <w:rFonts w:ascii="Arial" w:hAnsi="Arial" w:cs="Arial"/>
        </w:rPr>
      </w:pPr>
      <w:r w:rsidRPr="007310DF">
        <w:rPr>
          <w:rFonts w:ascii="Arial" w:hAnsi="Arial" w:cs="Arial"/>
        </w:rPr>
        <w:t xml:space="preserve">The company pursues </w:t>
      </w:r>
      <w:r w:rsidR="004C03AA">
        <w:rPr>
          <w:rFonts w:ascii="Arial" w:hAnsi="Arial" w:cs="Arial"/>
        </w:rPr>
        <w:t>a complex and geographically diversified sourcing strategy, purchasing raw materials, active pharmaceutical ingredients (APIs),</w:t>
      </w:r>
      <w:r w:rsidRPr="007310DF">
        <w:rPr>
          <w:rFonts w:ascii="Arial" w:hAnsi="Arial" w:cs="Arial"/>
        </w:rPr>
        <w:t xml:space="preserve"> and specialised components with certified suppliers worldwide. This kind of diversification serves to reduce risk because it reduces an overdependence on a single region. The supply chain also features modern digital trackers, </w:t>
      </w:r>
      <w:r w:rsidR="004C03AA">
        <w:rPr>
          <w:rFonts w:ascii="Arial" w:hAnsi="Arial" w:cs="Arial"/>
        </w:rPr>
        <w:t>a temperature-monitored network, and strict quality checks,</w:t>
      </w:r>
      <w:r w:rsidRPr="007310DF">
        <w:rPr>
          <w:rFonts w:ascii="Arial" w:hAnsi="Arial" w:cs="Arial"/>
        </w:rPr>
        <w:t xml:space="preserve"> hence safety and compliance assurance</w:t>
      </w:r>
      <w:r w:rsidR="0022639C" w:rsidRPr="0022639C">
        <w:rPr>
          <w:rFonts w:ascii="Arial" w:hAnsi="Arial" w:cs="Arial"/>
        </w:rPr>
        <w:t>(Hofstede Insights, 2024)</w:t>
      </w:r>
      <w:r w:rsidRPr="007310DF">
        <w:rPr>
          <w:rFonts w:ascii="Arial" w:hAnsi="Arial" w:cs="Arial"/>
        </w:rPr>
        <w:t>. Certain strategic alliances with the suppliers create resilience</w:t>
      </w:r>
      <w:r w:rsidR="004C03AA">
        <w:rPr>
          <w:rFonts w:ascii="Arial" w:hAnsi="Arial" w:cs="Arial"/>
        </w:rPr>
        <w:t>,</w:t>
      </w:r>
      <w:r w:rsidRPr="007310DF">
        <w:rPr>
          <w:rFonts w:ascii="Arial" w:hAnsi="Arial" w:cs="Arial"/>
        </w:rPr>
        <w:t xml:space="preserve"> especially in the emerging economies whose pharmaceutical manufacturing capacity is rising</w:t>
      </w:r>
      <w:r w:rsidR="004F3A1F">
        <w:rPr>
          <w:rFonts w:ascii="Arial" w:hAnsi="Arial" w:cs="Arial"/>
        </w:rPr>
        <w:t xml:space="preserve"> (</w:t>
      </w:r>
      <w:r w:rsidR="004F3A1F" w:rsidRPr="004F3A1F">
        <w:rPr>
          <w:rFonts w:ascii="Arial" w:hAnsi="Arial" w:cs="Arial"/>
        </w:rPr>
        <w:t>Appendix B)</w:t>
      </w:r>
      <w:r w:rsidRPr="007310DF">
        <w:rPr>
          <w:rFonts w:ascii="Arial" w:hAnsi="Arial" w:cs="Arial"/>
        </w:rPr>
        <w:t>.</w:t>
      </w:r>
    </w:p>
    <w:p w:rsidR="00693303" w:rsidRPr="007310DF" w:rsidRDefault="00A43203" w:rsidP="006A628B">
      <w:pPr>
        <w:pStyle w:val="Heading3"/>
      </w:pPr>
      <w:bookmarkStart w:id="6" w:name="_Toc215312840"/>
      <w:r>
        <w:t xml:space="preserve">2.2.3 </w:t>
      </w:r>
      <w:r w:rsidR="00693303" w:rsidRPr="007310DF">
        <w:t>Production and Manufacturing</w:t>
      </w:r>
      <w:bookmarkEnd w:id="6"/>
    </w:p>
    <w:p w:rsidR="00C135D4" w:rsidRPr="007310DF" w:rsidRDefault="00C135D4" w:rsidP="007310DF">
      <w:pPr>
        <w:spacing w:line="360" w:lineRule="auto"/>
        <w:jc w:val="both"/>
        <w:rPr>
          <w:rFonts w:ascii="Arial" w:hAnsi="Arial" w:cs="Arial"/>
        </w:rPr>
      </w:pPr>
      <w:r w:rsidRPr="007310DF">
        <w:rPr>
          <w:rFonts w:ascii="Arial" w:hAnsi="Arial" w:cs="Arial"/>
        </w:rPr>
        <w:t xml:space="preserve">Its manufacturing network comprises </w:t>
      </w:r>
      <w:r w:rsidR="004C03AA">
        <w:rPr>
          <w:rFonts w:ascii="Arial" w:hAnsi="Arial" w:cs="Arial"/>
        </w:rPr>
        <w:t>large capacity production plants in Europe, the United States, China, and other parts of Asia and Latin America that are specialized in biologics, small-molecule drugs, inhalation therapy,</w:t>
      </w:r>
      <w:r w:rsidRPr="007310DF">
        <w:rPr>
          <w:rFonts w:ascii="Arial" w:hAnsi="Arial" w:cs="Arial"/>
        </w:rPr>
        <w:t xml:space="preserve"> and sterile injectables. The factors that define location decisions include distance to the large markets, availability of skilled labour, availability of technology</w:t>
      </w:r>
      <w:r w:rsidR="004C03AA">
        <w:rPr>
          <w:rFonts w:ascii="Arial" w:hAnsi="Arial" w:cs="Arial"/>
        </w:rPr>
        <w:t>,</w:t>
      </w:r>
      <w:r w:rsidRPr="007310DF">
        <w:rPr>
          <w:rFonts w:ascii="Arial" w:hAnsi="Arial" w:cs="Arial"/>
        </w:rPr>
        <w:t xml:space="preserve"> and regulation. There are numerous facilities that are used as export centers</w:t>
      </w:r>
      <w:r w:rsidR="004C03AA">
        <w:rPr>
          <w:rFonts w:ascii="Arial" w:hAnsi="Arial" w:cs="Arial"/>
        </w:rPr>
        <w:t>,</w:t>
      </w:r>
      <w:r w:rsidRPr="007310DF">
        <w:rPr>
          <w:rFonts w:ascii="Arial" w:hAnsi="Arial" w:cs="Arial"/>
        </w:rPr>
        <w:t xml:space="preserve"> and they make it possible to distribute worldwide</w:t>
      </w:r>
      <w:r w:rsidR="00DD5D97" w:rsidRPr="00DD5D97">
        <w:rPr>
          <w:rFonts w:ascii="Arial" w:hAnsi="Arial" w:cs="Arial"/>
        </w:rPr>
        <w:t>(AstraZeneca, 2024)</w:t>
      </w:r>
      <w:r w:rsidRPr="007310DF">
        <w:rPr>
          <w:rFonts w:ascii="Arial" w:hAnsi="Arial" w:cs="Arial"/>
        </w:rPr>
        <w:t>.</w:t>
      </w:r>
    </w:p>
    <w:p w:rsidR="003B6F4C" w:rsidRPr="007310DF" w:rsidRDefault="00A43203" w:rsidP="006A628B">
      <w:pPr>
        <w:pStyle w:val="Heading3"/>
      </w:pPr>
      <w:bookmarkStart w:id="7" w:name="_Toc215312841"/>
      <w:r>
        <w:lastRenderedPageBreak/>
        <w:t xml:space="preserve">2.2.4 </w:t>
      </w:r>
      <w:r w:rsidR="003B6F4C" w:rsidRPr="007310DF">
        <w:t>Sales, Marketing</w:t>
      </w:r>
      <w:r w:rsidR="004C03AA">
        <w:t>,</w:t>
      </w:r>
      <w:r w:rsidR="003B6F4C" w:rsidRPr="007310DF">
        <w:t xml:space="preserve"> and Commercial Operations</w:t>
      </w:r>
      <w:bookmarkEnd w:id="7"/>
    </w:p>
    <w:p w:rsidR="00693303" w:rsidRPr="007310DF" w:rsidRDefault="00693303" w:rsidP="007310DF">
      <w:pPr>
        <w:spacing w:line="360" w:lineRule="auto"/>
        <w:jc w:val="both"/>
        <w:rPr>
          <w:rFonts w:ascii="Arial" w:hAnsi="Arial" w:cs="Arial"/>
        </w:rPr>
      </w:pPr>
      <w:r w:rsidRPr="007310DF">
        <w:rPr>
          <w:rFonts w:ascii="Arial" w:hAnsi="Arial" w:cs="Arial"/>
        </w:rPr>
        <w:t>The corporate commercial is structured in regional business units</w:t>
      </w:r>
      <w:r w:rsidR="004C03AA">
        <w:rPr>
          <w:rFonts w:ascii="Arial" w:hAnsi="Arial" w:cs="Arial"/>
        </w:rPr>
        <w:t>, which are mandated with the responsibility of managing the introduction of new products, marketing campaigns, medical affairs,</w:t>
      </w:r>
      <w:r w:rsidRPr="007310DF">
        <w:rPr>
          <w:rFonts w:ascii="Arial" w:hAnsi="Arial" w:cs="Arial"/>
        </w:rPr>
        <w:t xml:space="preserve"> and government relations. On a national level, branding strategies, pricing regimes</w:t>
      </w:r>
      <w:r w:rsidR="004C03AA">
        <w:rPr>
          <w:rFonts w:ascii="Arial" w:hAnsi="Arial" w:cs="Arial"/>
        </w:rPr>
        <w:t>, and patient-access programmes are tailored to the cultural, economic,</w:t>
      </w:r>
      <w:r w:rsidRPr="007310DF">
        <w:rPr>
          <w:rFonts w:ascii="Arial" w:hAnsi="Arial" w:cs="Arial"/>
        </w:rPr>
        <w:t xml:space="preserve"> and regulatory environment of teams operating at national levels. In the emerging markets, such as India, Brazil</w:t>
      </w:r>
      <w:r w:rsidR="004C03AA">
        <w:rPr>
          <w:rFonts w:ascii="Arial" w:hAnsi="Arial" w:cs="Arial"/>
        </w:rPr>
        <w:t>, and China, the company collaborates with native healthcare practitioners, hospitals,</w:t>
      </w:r>
      <w:r w:rsidRPr="007310DF">
        <w:rPr>
          <w:rFonts w:ascii="Arial" w:hAnsi="Arial" w:cs="Arial"/>
        </w:rPr>
        <w:t xml:space="preserve"> and distributors in an effort to expand the reach of patients</w:t>
      </w:r>
      <w:r w:rsidR="0022639C" w:rsidRPr="0022639C">
        <w:rPr>
          <w:rFonts w:ascii="Arial" w:hAnsi="Arial" w:cs="Arial"/>
        </w:rPr>
        <w:t>(Hofstede Insights, 2024)</w:t>
      </w:r>
      <w:r w:rsidRPr="007310DF">
        <w:rPr>
          <w:rFonts w:ascii="Arial" w:hAnsi="Arial" w:cs="Arial"/>
        </w:rPr>
        <w:t>.</w:t>
      </w:r>
    </w:p>
    <w:p w:rsidR="00693303" w:rsidRPr="007310DF" w:rsidRDefault="00A43203" w:rsidP="006A628B">
      <w:pPr>
        <w:pStyle w:val="Heading3"/>
      </w:pPr>
      <w:bookmarkStart w:id="8" w:name="_Toc215312842"/>
      <w:r>
        <w:t xml:space="preserve">2.2.5 </w:t>
      </w:r>
      <w:r w:rsidR="00693303" w:rsidRPr="007310DF">
        <w:t>Funding and International Organisation</w:t>
      </w:r>
      <w:bookmarkEnd w:id="8"/>
    </w:p>
    <w:p w:rsidR="00C135D4" w:rsidRPr="007310DF" w:rsidRDefault="00C135D4" w:rsidP="007310DF">
      <w:pPr>
        <w:spacing w:line="360" w:lineRule="auto"/>
        <w:jc w:val="both"/>
        <w:rPr>
          <w:rFonts w:ascii="Arial" w:hAnsi="Arial" w:cs="Arial"/>
        </w:rPr>
      </w:pPr>
      <w:r w:rsidRPr="007310DF">
        <w:rPr>
          <w:rFonts w:ascii="Arial" w:hAnsi="Arial" w:cs="Arial"/>
        </w:rPr>
        <w:t xml:space="preserve">The centralization of financial operations centers on finance centers in the regions that deal </w:t>
      </w:r>
      <w:r w:rsidR="004C03AA">
        <w:rPr>
          <w:rFonts w:ascii="Arial" w:hAnsi="Arial" w:cs="Arial"/>
        </w:rPr>
        <w:t>with</w:t>
      </w:r>
      <w:r w:rsidRPr="007310DF">
        <w:rPr>
          <w:rFonts w:ascii="Arial" w:hAnsi="Arial" w:cs="Arial"/>
        </w:rPr>
        <w:t xml:space="preserve"> budgetary, investment allocation, tax planning</w:t>
      </w:r>
      <w:r w:rsidR="004C03AA">
        <w:rPr>
          <w:rFonts w:ascii="Arial" w:hAnsi="Arial" w:cs="Arial"/>
        </w:rPr>
        <w:t>, and risk management</w:t>
      </w:r>
      <w:r w:rsidRPr="007310DF">
        <w:rPr>
          <w:rFonts w:ascii="Arial" w:hAnsi="Arial" w:cs="Arial"/>
        </w:rPr>
        <w:t xml:space="preserve"> of the currency. The company </w:t>
      </w:r>
      <w:r w:rsidR="004C03AA">
        <w:rPr>
          <w:rFonts w:ascii="Arial" w:hAnsi="Arial" w:cs="Arial"/>
        </w:rPr>
        <w:t>places</w:t>
      </w:r>
      <w:r w:rsidRPr="007310DF">
        <w:rPr>
          <w:rFonts w:ascii="Arial" w:hAnsi="Arial" w:cs="Arial"/>
        </w:rPr>
        <w:t xml:space="preserve"> a lot of emphasis on research and development and production in different continents</w:t>
      </w:r>
      <w:r w:rsidR="00DD5D97" w:rsidRPr="00DD5D97">
        <w:rPr>
          <w:rFonts w:ascii="Arial" w:hAnsi="Arial" w:cs="Arial"/>
        </w:rPr>
        <w:t>(AstraZeneca, 2024)</w:t>
      </w:r>
      <w:r w:rsidRPr="007310DF">
        <w:rPr>
          <w:rFonts w:ascii="Arial" w:hAnsi="Arial" w:cs="Arial"/>
        </w:rPr>
        <w:t xml:space="preserve">. Global governance systems make financial strategies in line with the regulatory requirements, sustainability, and long-term growth objectives. </w:t>
      </w:r>
      <w:r w:rsidR="004C03AA">
        <w:rPr>
          <w:rFonts w:ascii="Arial" w:hAnsi="Arial" w:cs="Arial"/>
        </w:rPr>
        <w:t>The global value chain is an indication of the coordinated system that</w:t>
      </w:r>
      <w:r w:rsidRPr="007310DF">
        <w:rPr>
          <w:rFonts w:ascii="Arial" w:hAnsi="Arial" w:cs="Arial"/>
        </w:rPr>
        <w:t xml:space="preserve"> involves research, manufacturing, commercialization, financial management</w:t>
      </w:r>
      <w:r w:rsidR="004C03AA">
        <w:rPr>
          <w:rFonts w:ascii="Arial" w:hAnsi="Arial" w:cs="Arial"/>
        </w:rPr>
        <w:t xml:space="preserve">, and supply-chain operations that facilitate competitive efficiency in the </w:t>
      </w:r>
      <w:r w:rsidRPr="007310DF">
        <w:rPr>
          <w:rFonts w:ascii="Arial" w:hAnsi="Arial" w:cs="Arial"/>
        </w:rPr>
        <w:t>pharmaceutical industry</w:t>
      </w:r>
      <w:r w:rsidR="0022639C" w:rsidRPr="0022639C">
        <w:rPr>
          <w:rFonts w:ascii="Arial" w:hAnsi="Arial" w:cs="Arial"/>
        </w:rPr>
        <w:t>(WHO, 2023)</w:t>
      </w:r>
      <w:r w:rsidRPr="007310DF">
        <w:rPr>
          <w:rFonts w:ascii="Arial" w:hAnsi="Arial" w:cs="Arial"/>
        </w:rPr>
        <w:t>.</w:t>
      </w:r>
    </w:p>
    <w:p w:rsidR="003B6F4C" w:rsidRPr="007310DF" w:rsidRDefault="003B6F4C" w:rsidP="006A628B">
      <w:pPr>
        <w:pStyle w:val="Heading2"/>
      </w:pPr>
      <w:bookmarkStart w:id="9" w:name="_Toc215312843"/>
      <w:r w:rsidRPr="007310DF">
        <w:t>2</w:t>
      </w:r>
      <w:r w:rsidR="00A43203">
        <w:t>.3</w:t>
      </w:r>
      <w:r w:rsidRPr="007310DF">
        <w:t xml:space="preserve"> Entry Modes Used Across International Markets</w:t>
      </w:r>
      <w:bookmarkEnd w:id="9"/>
    </w:p>
    <w:p w:rsidR="00693303" w:rsidRPr="007310DF" w:rsidRDefault="00693303" w:rsidP="007310DF">
      <w:pPr>
        <w:spacing w:line="360" w:lineRule="auto"/>
        <w:jc w:val="both"/>
        <w:rPr>
          <w:rFonts w:ascii="Arial" w:hAnsi="Arial" w:cs="Arial"/>
        </w:rPr>
      </w:pPr>
      <w:r w:rsidRPr="007310DF">
        <w:rPr>
          <w:rFonts w:ascii="Arial" w:hAnsi="Arial" w:cs="Arial"/>
        </w:rPr>
        <w:t>Based on the current regulatory systems, the maturity of target markets, local capabilities, and general strategic needs, the organisation embraces the diversified portfolio of entry modalities. The pharmaceutical market, which has a high level of regulatory checks and balances</w:t>
      </w:r>
      <w:r w:rsidR="004C03AA">
        <w:rPr>
          <w:rFonts w:ascii="Arial" w:hAnsi="Arial" w:cs="Arial"/>
        </w:rPr>
        <w:t>,</w:t>
      </w:r>
      <w:r w:rsidRPr="007310DF">
        <w:rPr>
          <w:rFonts w:ascii="Arial" w:hAnsi="Arial" w:cs="Arial"/>
        </w:rPr>
        <w:t xml:space="preserve"> hence has a decisive role in the determination of the right market-entry strategy</w:t>
      </w:r>
      <w:r w:rsidR="0022639C" w:rsidRPr="0022639C">
        <w:rPr>
          <w:rFonts w:ascii="Arial" w:hAnsi="Arial" w:cs="Arial"/>
        </w:rPr>
        <w:t>(Hofstede Insights, 2024)</w:t>
      </w:r>
      <w:r w:rsidRPr="007310DF">
        <w:rPr>
          <w:rFonts w:ascii="Arial" w:hAnsi="Arial" w:cs="Arial"/>
        </w:rPr>
        <w:t xml:space="preserve">.  </w:t>
      </w:r>
    </w:p>
    <w:p w:rsidR="00C135D4" w:rsidRPr="00C135D4" w:rsidRDefault="00892329" w:rsidP="006A628B">
      <w:pPr>
        <w:pStyle w:val="Heading3"/>
      </w:pPr>
      <w:bookmarkStart w:id="10" w:name="_Toc215312844"/>
      <w:r>
        <w:t xml:space="preserve">2.3.1 </w:t>
      </w:r>
      <w:r w:rsidR="00C135D4" w:rsidRPr="00C135D4">
        <w:t>Wholly Owned Subsidiaries</w:t>
      </w:r>
      <w:bookmarkEnd w:id="10"/>
    </w:p>
    <w:p w:rsidR="00C135D4" w:rsidRPr="007310DF" w:rsidRDefault="00C135D4" w:rsidP="007310DF">
      <w:pPr>
        <w:spacing w:line="360" w:lineRule="auto"/>
        <w:jc w:val="both"/>
        <w:rPr>
          <w:rFonts w:ascii="Arial" w:hAnsi="Arial" w:cs="Arial"/>
        </w:rPr>
      </w:pPr>
      <w:r w:rsidRPr="007310DF">
        <w:rPr>
          <w:rFonts w:ascii="Arial" w:hAnsi="Arial" w:cs="Arial"/>
        </w:rPr>
        <w:t>It has wholly owned subsidiaries in major developed markets (e.g.</w:t>
      </w:r>
      <w:r w:rsidR="004C03AA">
        <w:rPr>
          <w:rFonts w:ascii="Arial" w:hAnsi="Arial" w:cs="Arial"/>
        </w:rPr>
        <w:t xml:space="preserve">, the US, the UK, and </w:t>
      </w:r>
      <w:r w:rsidRPr="007310DF">
        <w:rPr>
          <w:rFonts w:ascii="Arial" w:hAnsi="Arial" w:cs="Arial"/>
        </w:rPr>
        <w:t xml:space="preserve">major European countries). With this structure, complete control of R&amp;D, manufacturing, </w:t>
      </w:r>
      <w:r w:rsidRPr="007310DF">
        <w:rPr>
          <w:rFonts w:ascii="Arial" w:hAnsi="Arial" w:cs="Arial"/>
        </w:rPr>
        <w:lastRenderedPageBreak/>
        <w:t xml:space="preserve">marketing, and regulatory compliance </w:t>
      </w:r>
      <w:r w:rsidR="004C03AA">
        <w:rPr>
          <w:rFonts w:ascii="Arial" w:hAnsi="Arial" w:cs="Arial"/>
        </w:rPr>
        <w:t>is realized, and</w:t>
      </w:r>
      <w:r w:rsidRPr="007310DF">
        <w:rPr>
          <w:rFonts w:ascii="Arial" w:hAnsi="Arial" w:cs="Arial"/>
        </w:rPr>
        <w:t xml:space="preserve"> the protection of intellectual property is highly preserved</w:t>
      </w:r>
      <w:r w:rsidR="0022639C" w:rsidRPr="0022639C">
        <w:rPr>
          <w:rFonts w:ascii="Arial" w:hAnsi="Arial" w:cs="Arial"/>
        </w:rPr>
        <w:t>(Hofstede Insights, 2024)</w:t>
      </w:r>
      <w:r w:rsidRPr="007310DF">
        <w:rPr>
          <w:rFonts w:ascii="Arial" w:hAnsi="Arial" w:cs="Arial"/>
        </w:rPr>
        <w:t>.</w:t>
      </w:r>
    </w:p>
    <w:p w:rsidR="00C135D4" w:rsidRPr="007310DF" w:rsidRDefault="00892329" w:rsidP="006A628B">
      <w:pPr>
        <w:pStyle w:val="Heading3"/>
      </w:pPr>
      <w:bookmarkStart w:id="11" w:name="_Toc215312845"/>
      <w:r>
        <w:t xml:space="preserve">2.3.2 </w:t>
      </w:r>
      <w:r w:rsidR="00C135D4" w:rsidRPr="007310DF">
        <w:t>Joint Ventures/ Strategic Alliances</w:t>
      </w:r>
      <w:bookmarkEnd w:id="11"/>
    </w:p>
    <w:p w:rsidR="00C135D4" w:rsidRPr="007310DF" w:rsidRDefault="00C135D4" w:rsidP="007310DF">
      <w:pPr>
        <w:spacing w:line="360" w:lineRule="auto"/>
        <w:jc w:val="both"/>
        <w:rPr>
          <w:rFonts w:ascii="Arial" w:hAnsi="Arial" w:cs="Arial"/>
        </w:rPr>
      </w:pPr>
      <w:r w:rsidRPr="007310DF">
        <w:rPr>
          <w:rFonts w:ascii="Arial" w:hAnsi="Arial" w:cs="Arial"/>
        </w:rPr>
        <w:t xml:space="preserve">The company enters into joint ventures or </w:t>
      </w:r>
      <w:r w:rsidR="004C03AA">
        <w:rPr>
          <w:rFonts w:ascii="Arial" w:hAnsi="Arial" w:cs="Arial"/>
        </w:rPr>
        <w:t>long-term</w:t>
      </w:r>
      <w:r w:rsidRPr="007310DF">
        <w:rPr>
          <w:rFonts w:ascii="Arial" w:hAnsi="Arial" w:cs="Arial"/>
        </w:rPr>
        <w:t xml:space="preserve"> partnerships in most of the emerging economies with local firms, research </w:t>
      </w:r>
      <w:r w:rsidR="008C072C" w:rsidRPr="007310DF">
        <w:rPr>
          <w:rFonts w:ascii="Arial" w:hAnsi="Arial" w:cs="Arial"/>
        </w:rPr>
        <w:t>centers</w:t>
      </w:r>
      <w:r w:rsidRPr="007310DF">
        <w:rPr>
          <w:rFonts w:ascii="Arial" w:hAnsi="Arial" w:cs="Arial"/>
        </w:rPr>
        <w:t>, and government bodies. Examples are in India</w:t>
      </w:r>
      <w:r w:rsidR="004C03AA">
        <w:rPr>
          <w:rFonts w:ascii="Arial" w:hAnsi="Arial" w:cs="Arial"/>
        </w:rPr>
        <w:t>,</w:t>
      </w:r>
      <w:r w:rsidRPr="007310DF">
        <w:rPr>
          <w:rFonts w:ascii="Arial" w:hAnsi="Arial" w:cs="Arial"/>
        </w:rPr>
        <w:t xml:space="preserve"> where they form alliances with local manufacturers and biotech companies, which give them access to domestic supply chains and clinical trial networks</w:t>
      </w:r>
      <w:r w:rsidR="0022639C" w:rsidRPr="0022639C">
        <w:rPr>
          <w:rFonts w:ascii="Arial" w:hAnsi="Arial" w:cs="Arial"/>
        </w:rPr>
        <w:t>(WHO, 2023)</w:t>
      </w:r>
      <w:r w:rsidRPr="007310DF">
        <w:rPr>
          <w:rFonts w:ascii="Arial" w:hAnsi="Arial" w:cs="Arial"/>
        </w:rPr>
        <w:t>.</w:t>
      </w:r>
    </w:p>
    <w:p w:rsidR="00C135D4" w:rsidRPr="007310DF" w:rsidRDefault="006A628B" w:rsidP="006A628B">
      <w:pPr>
        <w:pStyle w:val="Heading3"/>
      </w:pPr>
      <w:bookmarkStart w:id="12" w:name="_Toc215312846"/>
      <w:r>
        <w:t xml:space="preserve">2.3.3 </w:t>
      </w:r>
      <w:r w:rsidR="00C135D4" w:rsidRPr="007310DF">
        <w:t>Co-Development Agreements and licensing</w:t>
      </w:r>
      <w:bookmarkEnd w:id="12"/>
    </w:p>
    <w:p w:rsidR="00C135D4" w:rsidRPr="007310DF" w:rsidRDefault="00C135D4" w:rsidP="007310DF">
      <w:pPr>
        <w:spacing w:line="360" w:lineRule="auto"/>
        <w:jc w:val="both"/>
        <w:rPr>
          <w:rFonts w:ascii="Arial" w:hAnsi="Arial" w:cs="Arial"/>
        </w:rPr>
      </w:pPr>
      <w:r w:rsidRPr="007310DF">
        <w:rPr>
          <w:rFonts w:ascii="Arial" w:hAnsi="Arial" w:cs="Arial"/>
        </w:rPr>
        <w:t>The company often works with biotech firms and universities</w:t>
      </w:r>
      <w:r w:rsidR="004C03AA">
        <w:rPr>
          <w:rFonts w:ascii="Arial" w:hAnsi="Arial" w:cs="Arial"/>
        </w:rPr>
        <w:t>,</w:t>
      </w:r>
      <w:r w:rsidRPr="007310DF">
        <w:rPr>
          <w:rFonts w:ascii="Arial" w:hAnsi="Arial" w:cs="Arial"/>
        </w:rPr>
        <w:t xml:space="preserve"> and research centers by signing licensing and co-development contracts. It </w:t>
      </w:r>
      <w:r w:rsidR="004C03AA">
        <w:rPr>
          <w:rFonts w:ascii="Arial" w:hAnsi="Arial" w:cs="Arial"/>
        </w:rPr>
        <w:t>in-licenses the promising molecules or technologies and out-licenses its own innovations in the designated markets, wherein it shares the investment, risk,</w:t>
      </w:r>
      <w:r w:rsidRPr="007310DF">
        <w:rPr>
          <w:rFonts w:ascii="Arial" w:hAnsi="Arial" w:cs="Arial"/>
        </w:rPr>
        <w:t xml:space="preserve"> and adaptation to the market</w:t>
      </w:r>
      <w:r w:rsidR="00DD5D97" w:rsidRPr="00DD5D97">
        <w:rPr>
          <w:rFonts w:ascii="Arial" w:hAnsi="Arial" w:cs="Arial"/>
        </w:rPr>
        <w:t>(AstraZeneca, 2024)</w:t>
      </w:r>
      <w:r w:rsidRPr="007310DF">
        <w:rPr>
          <w:rFonts w:ascii="Arial" w:hAnsi="Arial" w:cs="Arial"/>
        </w:rPr>
        <w:t>.</w:t>
      </w:r>
    </w:p>
    <w:p w:rsidR="00C135D4" w:rsidRPr="00C135D4" w:rsidRDefault="006A628B" w:rsidP="006A628B">
      <w:pPr>
        <w:pStyle w:val="Heading3"/>
      </w:pPr>
      <w:bookmarkStart w:id="13" w:name="_Toc215312847"/>
      <w:r>
        <w:t xml:space="preserve">2.3.4 </w:t>
      </w:r>
      <w:r w:rsidR="00C135D4" w:rsidRPr="00C135D4">
        <w:t>Acquisitions</w:t>
      </w:r>
      <w:bookmarkEnd w:id="13"/>
    </w:p>
    <w:p w:rsidR="00C135D4" w:rsidRPr="007310DF" w:rsidRDefault="00C135D4" w:rsidP="007310DF">
      <w:pPr>
        <w:spacing w:line="360" w:lineRule="auto"/>
        <w:jc w:val="both"/>
        <w:rPr>
          <w:rFonts w:ascii="Arial" w:hAnsi="Arial" w:cs="Arial"/>
        </w:rPr>
      </w:pPr>
      <w:r w:rsidRPr="007310DF">
        <w:rPr>
          <w:rFonts w:ascii="Arial" w:hAnsi="Arial" w:cs="Arial"/>
        </w:rPr>
        <w:t>Acquisitions have enabled the firm to build its therapeutic portfolio as well as increase its presence in the world. The acquisition of specific companies helps to catapult into new lines of therapy, as well as gain extra research, production, and distribution capacities</w:t>
      </w:r>
      <w:r w:rsidR="0022639C" w:rsidRPr="0022639C">
        <w:rPr>
          <w:rFonts w:ascii="Arial" w:hAnsi="Arial" w:cs="Arial"/>
        </w:rPr>
        <w:t>(Dunning and Lundan, 2021)</w:t>
      </w:r>
      <w:r w:rsidRPr="007310DF">
        <w:rPr>
          <w:rFonts w:ascii="Arial" w:hAnsi="Arial" w:cs="Arial"/>
        </w:rPr>
        <w:t>.</w:t>
      </w:r>
    </w:p>
    <w:p w:rsidR="00C135D4" w:rsidRPr="007310DF" w:rsidRDefault="006A628B" w:rsidP="006A628B">
      <w:pPr>
        <w:pStyle w:val="Heading3"/>
      </w:pPr>
      <w:bookmarkStart w:id="14" w:name="_Toc215312848"/>
      <w:r>
        <w:t xml:space="preserve">2.3.5 </w:t>
      </w:r>
      <w:r w:rsidR="00C135D4" w:rsidRPr="007310DF">
        <w:t>Exporting</w:t>
      </w:r>
      <w:bookmarkEnd w:id="14"/>
    </w:p>
    <w:p w:rsidR="00C135D4" w:rsidRPr="007310DF" w:rsidRDefault="00C135D4" w:rsidP="007310DF">
      <w:pPr>
        <w:spacing w:line="360" w:lineRule="auto"/>
        <w:jc w:val="both"/>
        <w:rPr>
          <w:rFonts w:ascii="Arial" w:hAnsi="Arial" w:cs="Arial"/>
        </w:rPr>
      </w:pPr>
      <w:r w:rsidRPr="007310DF">
        <w:rPr>
          <w:rFonts w:ascii="Arial" w:hAnsi="Arial" w:cs="Arial"/>
        </w:rPr>
        <w:t xml:space="preserve">In small or extremely controlled markets where local plants are not viable, the company distributes products through exports </w:t>
      </w:r>
      <w:r w:rsidR="004C03AA">
        <w:rPr>
          <w:rFonts w:ascii="Arial" w:hAnsi="Arial" w:cs="Arial"/>
        </w:rPr>
        <w:t>from</w:t>
      </w:r>
      <w:r w:rsidRPr="007310DF">
        <w:rPr>
          <w:rFonts w:ascii="Arial" w:hAnsi="Arial" w:cs="Arial"/>
        </w:rPr>
        <w:t xml:space="preserve"> regional production centers. This allows the presence without the heavy fixed investment</w:t>
      </w:r>
      <w:r w:rsidR="0022639C" w:rsidRPr="0022639C">
        <w:rPr>
          <w:rFonts w:ascii="Arial" w:hAnsi="Arial" w:cs="Arial"/>
        </w:rPr>
        <w:t>(WHO, 2023)</w:t>
      </w:r>
      <w:r w:rsidRPr="007310DF">
        <w:rPr>
          <w:rFonts w:ascii="Arial" w:hAnsi="Arial" w:cs="Arial"/>
        </w:rPr>
        <w:t>.</w:t>
      </w:r>
    </w:p>
    <w:p w:rsidR="00C135D4" w:rsidRPr="007310DF" w:rsidRDefault="006A628B" w:rsidP="006A628B">
      <w:pPr>
        <w:pStyle w:val="Heading3"/>
      </w:pPr>
      <w:bookmarkStart w:id="15" w:name="_Toc215312849"/>
      <w:r>
        <w:t xml:space="preserve">2.3.6 </w:t>
      </w:r>
      <w:r w:rsidR="00C135D4" w:rsidRPr="007310DF">
        <w:t>Dominant Entry Mode</w:t>
      </w:r>
      <w:bookmarkEnd w:id="15"/>
    </w:p>
    <w:p w:rsidR="00C135D4" w:rsidRPr="007310DF" w:rsidRDefault="00C135D4" w:rsidP="007310DF">
      <w:pPr>
        <w:spacing w:line="360" w:lineRule="auto"/>
        <w:jc w:val="both"/>
        <w:rPr>
          <w:rFonts w:ascii="Arial" w:hAnsi="Arial" w:cs="Arial"/>
        </w:rPr>
      </w:pPr>
      <w:r w:rsidRPr="007310DF">
        <w:rPr>
          <w:rFonts w:ascii="Arial" w:hAnsi="Arial" w:cs="Arial"/>
        </w:rPr>
        <w:t>In general, the company is largely dependent on a combination of wholly owned subsidiaries and strategic alliances. Complete ownership would give close control and protection of the IP, and at the same time, partnerships in new markets will assist in complying with the local regulations, use the local knowledge, and expand the range of distribution</w:t>
      </w:r>
      <w:r w:rsidR="0022639C" w:rsidRPr="0022639C">
        <w:rPr>
          <w:rFonts w:ascii="Arial" w:hAnsi="Arial" w:cs="Arial"/>
        </w:rPr>
        <w:t>(Dunning and Lundan, 2021)</w:t>
      </w:r>
      <w:r w:rsidRPr="007310DF">
        <w:rPr>
          <w:rFonts w:ascii="Arial" w:hAnsi="Arial" w:cs="Arial"/>
        </w:rPr>
        <w:t>.</w:t>
      </w:r>
    </w:p>
    <w:p w:rsidR="00C75C71" w:rsidRPr="007310DF" w:rsidRDefault="003B6F4C" w:rsidP="006A628B">
      <w:pPr>
        <w:pStyle w:val="Heading2"/>
      </w:pPr>
      <w:bookmarkStart w:id="16" w:name="_Toc215312850"/>
      <w:r w:rsidRPr="007310DF">
        <w:lastRenderedPageBreak/>
        <w:t>2</w:t>
      </w:r>
      <w:r w:rsidR="006A628B">
        <w:t>.4</w:t>
      </w:r>
      <w:r w:rsidR="00C75C71" w:rsidRPr="007310DF">
        <w:t>Key Benefits of International Operations</w:t>
      </w:r>
      <w:bookmarkEnd w:id="16"/>
    </w:p>
    <w:p w:rsidR="00817459" w:rsidRPr="007310DF" w:rsidRDefault="00817459" w:rsidP="007310DF">
      <w:pPr>
        <w:spacing w:line="360" w:lineRule="auto"/>
        <w:jc w:val="both"/>
        <w:rPr>
          <w:rFonts w:ascii="Arial" w:hAnsi="Arial" w:cs="Arial"/>
        </w:rPr>
      </w:pPr>
      <w:r w:rsidRPr="007310DF">
        <w:rPr>
          <w:rFonts w:ascii="Arial" w:hAnsi="Arial" w:cs="Arial"/>
        </w:rPr>
        <w:t>The company has numerous strategic benefits that enable it to compete better, be innovative</w:t>
      </w:r>
      <w:r w:rsidR="004C03AA">
        <w:rPr>
          <w:rFonts w:ascii="Arial" w:hAnsi="Arial" w:cs="Arial"/>
        </w:rPr>
        <w:t>, and achieve long-term</w:t>
      </w:r>
      <w:r w:rsidRPr="007310DF">
        <w:rPr>
          <w:rFonts w:ascii="Arial" w:hAnsi="Arial" w:cs="Arial"/>
        </w:rPr>
        <w:t xml:space="preserve"> financial performance when it works internationally. The spread of operations in a wide variety of markets and scientific ecosystems helps the firm tap into talent resources, mitigate risk, improve efficiency</w:t>
      </w:r>
      <w:r w:rsidR="004C03AA">
        <w:rPr>
          <w:rFonts w:ascii="Arial" w:hAnsi="Arial" w:cs="Arial"/>
        </w:rPr>
        <w:t>,</w:t>
      </w:r>
      <w:r w:rsidRPr="007310DF">
        <w:rPr>
          <w:rFonts w:ascii="Arial" w:hAnsi="Arial" w:cs="Arial"/>
        </w:rPr>
        <w:t xml:space="preserve"> and respond better to global health demands</w:t>
      </w:r>
      <w:r w:rsidR="00DD5D97" w:rsidRPr="00DD5D97">
        <w:rPr>
          <w:rFonts w:ascii="Arial" w:hAnsi="Arial" w:cs="Arial"/>
        </w:rPr>
        <w:t>(AstraZeneca, 2024)</w:t>
      </w:r>
      <w:r w:rsidRPr="007310DF">
        <w:rPr>
          <w:rFonts w:ascii="Arial" w:hAnsi="Arial" w:cs="Arial"/>
        </w:rPr>
        <w:t>.</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Availability of multicultural skills and scientific knowledge.</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t xml:space="preserve">The large pool of </w:t>
      </w:r>
      <w:r w:rsidR="004C03AA" w:rsidRPr="006A628B">
        <w:rPr>
          <w:rFonts w:ascii="Arial" w:hAnsi="Arial" w:cs="Arial"/>
        </w:rPr>
        <w:t>scientists, clinicians,</w:t>
      </w:r>
      <w:r w:rsidRPr="006A628B">
        <w:rPr>
          <w:rFonts w:ascii="Arial" w:hAnsi="Arial" w:cs="Arial"/>
        </w:rPr>
        <w:t xml:space="preserve"> and technical experts that is offered by the global operations is quick to develop the drug and enhances the production of research.</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Diversification of revenue and expanding the market.</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t>The mature markets will provide stable income</w:t>
      </w:r>
      <w:r w:rsidR="004C03AA" w:rsidRPr="006A628B">
        <w:rPr>
          <w:rFonts w:ascii="Arial" w:hAnsi="Arial" w:cs="Arial"/>
        </w:rPr>
        <w:t>, and the emerging markets will provide high growth potential and, reducing dependence on any particular country and absorbing country-specific</w:t>
      </w:r>
      <w:r w:rsidRPr="006A628B">
        <w:rPr>
          <w:rFonts w:ascii="Arial" w:hAnsi="Arial" w:cs="Arial"/>
        </w:rPr>
        <w:t xml:space="preserve"> economic shocks.</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Cost-efficiency and economies of scale.</w:t>
      </w:r>
    </w:p>
    <w:p w:rsidR="00817459" w:rsidRPr="006A628B" w:rsidRDefault="0022639C" w:rsidP="006A628B">
      <w:pPr>
        <w:pStyle w:val="ListParagraph"/>
        <w:numPr>
          <w:ilvl w:val="0"/>
          <w:numId w:val="1"/>
        </w:numPr>
        <w:spacing w:line="360" w:lineRule="auto"/>
        <w:jc w:val="both"/>
        <w:rPr>
          <w:rFonts w:ascii="Arial" w:hAnsi="Arial" w:cs="Arial"/>
        </w:rPr>
      </w:pPr>
      <w:r w:rsidRPr="006A628B">
        <w:rPr>
          <w:rFonts w:ascii="Arial" w:hAnsi="Arial" w:cs="Arial"/>
        </w:rPr>
        <w:t>Centralized</w:t>
      </w:r>
      <w:r w:rsidR="00817459" w:rsidRPr="006A628B">
        <w:rPr>
          <w:rFonts w:ascii="Arial" w:hAnsi="Arial" w:cs="Arial"/>
        </w:rPr>
        <w:t xml:space="preserve"> production and global sourcing reduce the unit cost and procurement cost, </w:t>
      </w:r>
      <w:r w:rsidR="004C03AA" w:rsidRPr="006A628B">
        <w:rPr>
          <w:rFonts w:ascii="Arial" w:hAnsi="Arial" w:cs="Arial"/>
        </w:rPr>
        <w:t xml:space="preserve">and the </w:t>
      </w:r>
      <w:r w:rsidR="00817459" w:rsidRPr="006A628B">
        <w:rPr>
          <w:rFonts w:ascii="Arial" w:hAnsi="Arial" w:cs="Arial"/>
        </w:rPr>
        <w:t>shared research platform and global testing reduce duplication.</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International cooperation in the context of enhanced innovation.</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t>Collaborations with universities, hospitals, biotech companies</w:t>
      </w:r>
      <w:r w:rsidR="004C03AA" w:rsidRPr="006A628B">
        <w:rPr>
          <w:rFonts w:ascii="Arial" w:hAnsi="Arial" w:cs="Arial"/>
        </w:rPr>
        <w:t>,</w:t>
      </w:r>
      <w:r w:rsidRPr="006A628B">
        <w:rPr>
          <w:rFonts w:ascii="Arial" w:hAnsi="Arial" w:cs="Arial"/>
        </w:rPr>
        <w:t xml:space="preserve"> and government research institutions around the globe lead to innovation and enhance the capacity of the firm to respond to global health issues</w:t>
      </w:r>
      <w:r w:rsidR="0022639C" w:rsidRPr="0022639C">
        <w:rPr>
          <w:rFonts w:ascii="Arial" w:hAnsi="Arial" w:cs="Arial"/>
        </w:rPr>
        <w:t>(Verbeke, 2022)</w:t>
      </w:r>
      <w:r w:rsidRPr="006A628B">
        <w:rPr>
          <w:rFonts w:ascii="Arial" w:hAnsi="Arial" w:cs="Arial"/>
        </w:rPr>
        <w:t>.</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Resilience in risk mitigation and operation.</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t xml:space="preserve">The distribution and production can be relocated to geographically dispersed facilities in case of political or regulatory </w:t>
      </w:r>
      <w:r w:rsidR="004C03AA" w:rsidRPr="006A628B">
        <w:rPr>
          <w:rFonts w:ascii="Arial" w:hAnsi="Arial" w:cs="Arial"/>
        </w:rPr>
        <w:t xml:space="preserve">disruptions </w:t>
      </w:r>
      <w:r w:rsidRPr="006A628B">
        <w:rPr>
          <w:rFonts w:ascii="Arial" w:hAnsi="Arial" w:cs="Arial"/>
        </w:rPr>
        <w:t>and supply chain disruptions</w:t>
      </w:r>
      <w:r w:rsidR="0022639C" w:rsidRPr="0022639C">
        <w:rPr>
          <w:rFonts w:ascii="Arial" w:hAnsi="Arial" w:cs="Arial"/>
        </w:rPr>
        <w:t>(Deloitte, 2023)</w:t>
      </w:r>
      <w:r w:rsidRPr="006A628B">
        <w:rPr>
          <w:rFonts w:ascii="Arial" w:hAnsi="Arial" w:cs="Arial"/>
        </w:rPr>
        <w:t>.</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Local adaptation and competitive advantage.</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t xml:space="preserve">International operations can facilitate </w:t>
      </w:r>
      <w:r w:rsidR="008C072C" w:rsidRPr="006A628B">
        <w:rPr>
          <w:rFonts w:ascii="Arial" w:hAnsi="Arial" w:cs="Arial"/>
        </w:rPr>
        <w:t>customized</w:t>
      </w:r>
      <w:r w:rsidRPr="006A628B">
        <w:rPr>
          <w:rFonts w:ascii="Arial" w:hAnsi="Arial" w:cs="Arial"/>
        </w:rPr>
        <w:t xml:space="preserve"> products, patient access programmes</w:t>
      </w:r>
      <w:r w:rsidR="004C03AA" w:rsidRPr="006A628B">
        <w:rPr>
          <w:rFonts w:ascii="Arial" w:hAnsi="Arial" w:cs="Arial"/>
        </w:rPr>
        <w:t>,</w:t>
      </w:r>
      <w:r w:rsidRPr="006A628B">
        <w:rPr>
          <w:rFonts w:ascii="Arial" w:hAnsi="Arial" w:cs="Arial"/>
        </w:rPr>
        <w:t xml:space="preserve"> and localized marketing, building brand image and access to patients in international markets like India</w:t>
      </w:r>
      <w:r w:rsidR="0022639C" w:rsidRPr="0022639C">
        <w:rPr>
          <w:rFonts w:ascii="Arial" w:hAnsi="Arial" w:cs="Arial"/>
        </w:rPr>
        <w:t>(Verbeke, 2022)</w:t>
      </w:r>
      <w:r w:rsidRPr="006A628B">
        <w:rPr>
          <w:rFonts w:ascii="Arial" w:hAnsi="Arial" w:cs="Arial"/>
        </w:rPr>
        <w:t>.</w:t>
      </w:r>
    </w:p>
    <w:p w:rsidR="00817459" w:rsidRPr="006A628B" w:rsidRDefault="00817459" w:rsidP="006A628B">
      <w:pPr>
        <w:pStyle w:val="ListParagraph"/>
        <w:numPr>
          <w:ilvl w:val="0"/>
          <w:numId w:val="1"/>
        </w:numPr>
        <w:spacing w:line="360" w:lineRule="auto"/>
        <w:jc w:val="both"/>
        <w:rPr>
          <w:rFonts w:ascii="Arial" w:hAnsi="Arial" w:cs="Arial"/>
          <w:b/>
          <w:bCs/>
        </w:rPr>
      </w:pPr>
      <w:r w:rsidRPr="006A628B">
        <w:rPr>
          <w:rFonts w:ascii="Arial" w:hAnsi="Arial" w:cs="Arial"/>
          <w:b/>
          <w:bCs/>
        </w:rPr>
        <w:t>Regulatory learning and international quality standards.</w:t>
      </w:r>
    </w:p>
    <w:p w:rsidR="00817459" w:rsidRPr="006A628B" w:rsidRDefault="00817459" w:rsidP="006A628B">
      <w:pPr>
        <w:pStyle w:val="ListParagraph"/>
        <w:numPr>
          <w:ilvl w:val="0"/>
          <w:numId w:val="1"/>
        </w:numPr>
        <w:spacing w:line="360" w:lineRule="auto"/>
        <w:jc w:val="both"/>
        <w:rPr>
          <w:rFonts w:ascii="Arial" w:hAnsi="Arial" w:cs="Arial"/>
        </w:rPr>
      </w:pPr>
      <w:r w:rsidRPr="006A628B">
        <w:rPr>
          <w:rFonts w:ascii="Arial" w:hAnsi="Arial" w:cs="Arial"/>
        </w:rPr>
        <w:lastRenderedPageBreak/>
        <w:t>The experience of dealing with regulators in major markets (e.g.</w:t>
      </w:r>
      <w:r w:rsidR="004C03AA" w:rsidRPr="006A628B">
        <w:rPr>
          <w:rFonts w:ascii="Arial" w:hAnsi="Arial" w:cs="Arial"/>
        </w:rPr>
        <w:t>, the US, Europe, China, India) enhances compliance capabilities, facilitates approvals,</w:t>
      </w:r>
      <w:r w:rsidRPr="006A628B">
        <w:rPr>
          <w:rFonts w:ascii="Arial" w:hAnsi="Arial" w:cs="Arial"/>
        </w:rPr>
        <w:t xml:space="preserve"> and promotes globally uniform quality standards.</w:t>
      </w:r>
    </w:p>
    <w:p w:rsidR="00CE598E" w:rsidRPr="007310DF" w:rsidRDefault="00CE598E" w:rsidP="006A628B">
      <w:pPr>
        <w:pStyle w:val="Heading1"/>
      </w:pPr>
      <w:bookmarkStart w:id="17" w:name="_Toc215312851"/>
      <w:r w:rsidRPr="007310DF">
        <w:t>3. Impact of OLI Factors on International Market Entry Mode</w:t>
      </w:r>
      <w:bookmarkEnd w:id="17"/>
    </w:p>
    <w:p w:rsidR="003B0882" w:rsidRPr="007310DF" w:rsidRDefault="003B0882" w:rsidP="007310DF">
      <w:pPr>
        <w:spacing w:line="360" w:lineRule="auto"/>
        <w:jc w:val="both"/>
        <w:rPr>
          <w:rFonts w:ascii="Arial" w:hAnsi="Arial" w:cs="Arial"/>
        </w:rPr>
      </w:pPr>
      <w:r w:rsidRPr="007310DF">
        <w:rPr>
          <w:rFonts w:ascii="Arial" w:hAnsi="Arial" w:cs="Arial"/>
        </w:rPr>
        <w:t>This part evaluates how the factors of the Ownership, Location, and Internalisation (OLI) influence the mode of entry of the firm in India</w:t>
      </w:r>
      <w:r w:rsidR="004C03AA">
        <w:rPr>
          <w:rFonts w:ascii="Arial" w:hAnsi="Arial" w:cs="Arial"/>
        </w:rPr>
        <w:t>,</w:t>
      </w:r>
      <w:r w:rsidRPr="007310DF">
        <w:rPr>
          <w:rFonts w:ascii="Arial" w:hAnsi="Arial" w:cs="Arial"/>
        </w:rPr>
        <w:t xml:space="preserve"> which is an emerging economy. The OLI paradigm provides a comprehensive paradigm </w:t>
      </w:r>
      <w:r w:rsidR="004C03AA">
        <w:rPr>
          <w:rFonts w:ascii="Arial" w:hAnsi="Arial" w:cs="Arial"/>
        </w:rPr>
        <w:t xml:space="preserve">for explaining the reasons behind the international expansion of multinational enterprises, as well as predicting the choice of the best entry strategies in </w:t>
      </w:r>
      <w:r w:rsidRPr="007310DF">
        <w:rPr>
          <w:rFonts w:ascii="Arial" w:hAnsi="Arial" w:cs="Arial"/>
        </w:rPr>
        <w:t>foreign markets</w:t>
      </w:r>
      <w:r w:rsidR="00DD5D97" w:rsidRPr="00DD5D97">
        <w:rPr>
          <w:rFonts w:ascii="Arial" w:hAnsi="Arial" w:cs="Arial"/>
        </w:rPr>
        <w:t>(AstraZeneca, 2024)</w:t>
      </w:r>
      <w:r w:rsidRPr="007310DF">
        <w:rPr>
          <w:rFonts w:ascii="Arial" w:hAnsi="Arial" w:cs="Arial"/>
        </w:rPr>
        <w:t>.</w:t>
      </w:r>
    </w:p>
    <w:p w:rsidR="00CE598E" w:rsidRPr="007310DF" w:rsidRDefault="00CE598E" w:rsidP="006A628B">
      <w:pPr>
        <w:pStyle w:val="Heading2"/>
      </w:pPr>
      <w:bookmarkStart w:id="18" w:name="_Toc215312852"/>
      <w:r w:rsidRPr="007310DF">
        <w:t>3.1 Ownership Advantages</w:t>
      </w:r>
      <w:bookmarkEnd w:id="18"/>
    </w:p>
    <w:p w:rsidR="003B0882" w:rsidRPr="007310DF" w:rsidRDefault="003B0882" w:rsidP="007310DF">
      <w:pPr>
        <w:spacing w:line="360" w:lineRule="auto"/>
        <w:jc w:val="both"/>
        <w:rPr>
          <w:rFonts w:ascii="Arial" w:hAnsi="Arial" w:cs="Arial"/>
        </w:rPr>
      </w:pPr>
      <w:r w:rsidRPr="007310DF">
        <w:rPr>
          <w:rFonts w:ascii="Arial" w:hAnsi="Arial" w:cs="Arial"/>
        </w:rPr>
        <w:t xml:space="preserve">Ownership advantages refer to firm-specific assets that would help a multinational enterprise to compete favorably in the international markets. These benefits are especially relevant to a global biopharmaceutical organisation since the source of competitive success lies in innovation, intellectual property rights, </w:t>
      </w:r>
      <w:r w:rsidR="004C03AA">
        <w:rPr>
          <w:rFonts w:ascii="Arial" w:hAnsi="Arial" w:cs="Arial"/>
        </w:rPr>
        <w:t>and</w:t>
      </w:r>
      <w:r w:rsidRPr="007310DF">
        <w:rPr>
          <w:rFonts w:ascii="Arial" w:hAnsi="Arial" w:cs="Arial"/>
        </w:rPr>
        <w:t>specialised capabilities</w:t>
      </w:r>
      <w:r w:rsidR="0022639C" w:rsidRPr="0022639C">
        <w:rPr>
          <w:rFonts w:ascii="Arial" w:hAnsi="Arial" w:cs="Arial"/>
        </w:rPr>
        <w:t>(Deloitte, 2023)</w:t>
      </w:r>
      <w:r w:rsidRPr="007310DF">
        <w:rPr>
          <w:rFonts w:ascii="Arial" w:hAnsi="Arial" w:cs="Arial"/>
        </w:rPr>
        <w:t>.</w:t>
      </w:r>
    </w:p>
    <w:p w:rsidR="003B0882" w:rsidRPr="007310DF" w:rsidRDefault="003B0882" w:rsidP="007310DF">
      <w:pPr>
        <w:spacing w:line="360" w:lineRule="auto"/>
        <w:jc w:val="both"/>
        <w:rPr>
          <w:rFonts w:ascii="Arial" w:hAnsi="Arial" w:cs="Arial"/>
        </w:rPr>
      </w:pPr>
      <w:r w:rsidRPr="007310DF">
        <w:rPr>
          <w:rFonts w:ascii="Arial" w:hAnsi="Arial" w:cs="Arial"/>
        </w:rPr>
        <w:t>The benefits of ownership of the organisation begin with its strong brand name globally that has been built upon several decades of scientific accomplishments, effective product releases, and quality, safety, and reliability. It has a significant competitive advantage in terms of its large intellectual property portfolio</w:t>
      </w:r>
      <w:r w:rsidR="004C03AA">
        <w:rPr>
          <w:rFonts w:ascii="Arial" w:hAnsi="Arial" w:cs="Arial"/>
        </w:rPr>
        <w:t>, such as patents, proprietary research data,</w:t>
      </w:r>
      <w:r w:rsidRPr="007310DF">
        <w:rPr>
          <w:rFonts w:ascii="Arial" w:hAnsi="Arial" w:cs="Arial"/>
        </w:rPr>
        <w:t xml:space="preserve"> and sophisticated drug-discovery technologies</w:t>
      </w:r>
      <w:r w:rsidR="0022639C" w:rsidRPr="0022639C">
        <w:rPr>
          <w:rFonts w:ascii="Arial" w:hAnsi="Arial" w:cs="Arial"/>
        </w:rPr>
        <w:t>(Deloitte, 2023)</w:t>
      </w:r>
      <w:r w:rsidRPr="007310DF">
        <w:rPr>
          <w:rFonts w:ascii="Arial" w:hAnsi="Arial" w:cs="Arial"/>
        </w:rPr>
        <w:t xml:space="preserve">. Such technological capabilities reduce risks of </w:t>
      </w:r>
      <w:r w:rsidR="004C03AA">
        <w:rPr>
          <w:rFonts w:ascii="Arial" w:hAnsi="Arial" w:cs="Arial"/>
        </w:rPr>
        <w:t xml:space="preserve">foreign market entry, enabling the firm to maintain product differentiation even in </w:t>
      </w:r>
      <w:r w:rsidRPr="007310DF">
        <w:rPr>
          <w:rFonts w:ascii="Arial" w:hAnsi="Arial" w:cs="Arial"/>
        </w:rPr>
        <w:t>markets where the local competition is intense</w:t>
      </w:r>
      <w:r w:rsidR="004F3A1F">
        <w:rPr>
          <w:rFonts w:ascii="Arial" w:hAnsi="Arial" w:cs="Arial"/>
        </w:rPr>
        <w:t xml:space="preserve"> (</w:t>
      </w:r>
      <w:r w:rsidR="004F3A1F" w:rsidRPr="004F3A1F">
        <w:rPr>
          <w:rFonts w:ascii="Arial" w:hAnsi="Arial" w:cs="Arial"/>
        </w:rPr>
        <w:t>Appendix B)</w:t>
      </w:r>
      <w:r w:rsidRPr="007310DF">
        <w:rPr>
          <w:rFonts w:ascii="Arial" w:hAnsi="Arial" w:cs="Arial"/>
        </w:rPr>
        <w:t>.</w:t>
      </w:r>
    </w:p>
    <w:p w:rsidR="003B0882" w:rsidRPr="007310DF" w:rsidRDefault="003B0882" w:rsidP="007310DF">
      <w:pPr>
        <w:spacing w:line="360" w:lineRule="auto"/>
        <w:jc w:val="both"/>
        <w:rPr>
          <w:rFonts w:ascii="Arial" w:hAnsi="Arial" w:cs="Arial"/>
        </w:rPr>
      </w:pPr>
      <w:r w:rsidRPr="007310DF">
        <w:rPr>
          <w:rFonts w:ascii="Arial" w:hAnsi="Arial" w:cs="Arial"/>
        </w:rPr>
        <w:t xml:space="preserve">The organisation has </w:t>
      </w:r>
      <w:r w:rsidR="004C03AA">
        <w:rPr>
          <w:rFonts w:ascii="Arial" w:hAnsi="Arial" w:cs="Arial"/>
        </w:rPr>
        <w:t>excellent organisational and managerial knowledge,</w:t>
      </w:r>
      <w:r w:rsidRPr="007310DF">
        <w:rPr>
          <w:rFonts w:ascii="Arial" w:hAnsi="Arial" w:cs="Arial"/>
        </w:rPr>
        <w:t xml:space="preserve"> besides scientific and technological capabilities. It has </w:t>
      </w:r>
      <w:r w:rsidR="004C03AA">
        <w:rPr>
          <w:rFonts w:ascii="Arial" w:hAnsi="Arial" w:cs="Arial"/>
        </w:rPr>
        <w:t>an international research and development chain, an integrated supply chain,</w:t>
      </w:r>
      <w:r w:rsidRPr="007310DF">
        <w:rPr>
          <w:rFonts w:ascii="Arial" w:hAnsi="Arial" w:cs="Arial"/>
        </w:rPr>
        <w:t xml:space="preserve"> and advanced regulatory compliance systems that point to complex management structures </w:t>
      </w:r>
      <w:r w:rsidR="004C03AA">
        <w:rPr>
          <w:rFonts w:ascii="Arial" w:hAnsi="Arial" w:cs="Arial"/>
        </w:rPr>
        <w:t>that</w:t>
      </w:r>
      <w:r w:rsidRPr="007310DF">
        <w:rPr>
          <w:rFonts w:ascii="Arial" w:hAnsi="Arial" w:cs="Arial"/>
        </w:rPr>
        <w:t xml:space="preserve"> are replicable in foreign markets. The experience that the organisation has in the global process of conducting </w:t>
      </w:r>
      <w:r w:rsidRPr="007310DF">
        <w:rPr>
          <w:rFonts w:ascii="Arial" w:hAnsi="Arial" w:cs="Arial"/>
        </w:rPr>
        <w:lastRenderedPageBreak/>
        <w:t>clinical trials, working with various regulatory organizations, and commercialisation of complex therapies provides the operational knowledge needed to make it in new markets</w:t>
      </w:r>
      <w:r w:rsidR="0022639C" w:rsidRPr="0022639C">
        <w:rPr>
          <w:rFonts w:ascii="Arial" w:hAnsi="Arial" w:cs="Arial"/>
        </w:rPr>
        <w:t>(Verbeke, 2022)</w:t>
      </w:r>
      <w:r w:rsidRPr="007310DF">
        <w:rPr>
          <w:rFonts w:ascii="Arial" w:hAnsi="Arial" w:cs="Arial"/>
        </w:rPr>
        <w:t>.</w:t>
      </w:r>
    </w:p>
    <w:p w:rsidR="003B0882" w:rsidRPr="007310DF" w:rsidRDefault="003B0882" w:rsidP="007310DF">
      <w:pPr>
        <w:spacing w:line="360" w:lineRule="auto"/>
        <w:jc w:val="both"/>
        <w:rPr>
          <w:rFonts w:ascii="Arial" w:hAnsi="Arial" w:cs="Arial"/>
        </w:rPr>
      </w:pPr>
      <w:r w:rsidRPr="007310DF">
        <w:rPr>
          <w:rFonts w:ascii="Arial" w:hAnsi="Arial" w:cs="Arial"/>
        </w:rPr>
        <w:t>Moreover, the substantial financial capabilities allow the organisation to invest in local collaborations and manufacturing expansions</w:t>
      </w:r>
      <w:r w:rsidR="004C03AA">
        <w:rPr>
          <w:rFonts w:ascii="Arial" w:hAnsi="Arial" w:cs="Arial"/>
        </w:rPr>
        <w:t>,</w:t>
      </w:r>
      <w:r w:rsidRPr="007310DF">
        <w:rPr>
          <w:rFonts w:ascii="Arial" w:hAnsi="Arial" w:cs="Arial"/>
        </w:rPr>
        <w:t xml:space="preserve"> as well as patient-access initiatives in India to a large degree. Such financial and managerial strengths make it possible to ensure that in the strategy of entering the Indian market, the organisation may apply higher-order entry modes like wholly owned subsidiaries or joint ventures, thus responding to the imperative in the interest of preserving intellectual property and ensuring the quality of operations</w:t>
      </w:r>
      <w:r w:rsidR="0022639C" w:rsidRPr="0022639C">
        <w:rPr>
          <w:rFonts w:ascii="Arial" w:hAnsi="Arial" w:cs="Arial"/>
        </w:rPr>
        <w:t>(Hofstede Insights, 2024)</w:t>
      </w:r>
      <w:r w:rsidRPr="007310DF">
        <w:rPr>
          <w:rFonts w:ascii="Arial" w:hAnsi="Arial" w:cs="Arial"/>
        </w:rPr>
        <w:t>.</w:t>
      </w:r>
    </w:p>
    <w:p w:rsidR="00CE598E" w:rsidRPr="007310DF" w:rsidRDefault="00CE598E" w:rsidP="006A628B">
      <w:pPr>
        <w:pStyle w:val="Heading2"/>
      </w:pPr>
      <w:bookmarkStart w:id="19" w:name="_Toc215312853"/>
      <w:r w:rsidRPr="007310DF">
        <w:t>3.2 Location Advantages of India</w:t>
      </w:r>
      <w:bookmarkEnd w:id="19"/>
    </w:p>
    <w:p w:rsidR="003B0882" w:rsidRPr="007310DF" w:rsidRDefault="003B0882" w:rsidP="007310DF">
      <w:pPr>
        <w:spacing w:line="360" w:lineRule="auto"/>
        <w:jc w:val="both"/>
        <w:rPr>
          <w:rFonts w:ascii="Arial" w:hAnsi="Arial" w:cs="Arial"/>
        </w:rPr>
      </w:pPr>
      <w:r w:rsidRPr="007310DF">
        <w:rPr>
          <w:rFonts w:ascii="Arial" w:hAnsi="Arial" w:cs="Arial"/>
        </w:rPr>
        <w:t xml:space="preserve">A cluster of location-specific benefits, present in India, </w:t>
      </w:r>
      <w:r w:rsidR="004C03AA">
        <w:rPr>
          <w:rFonts w:ascii="Arial" w:hAnsi="Arial" w:cs="Arial"/>
        </w:rPr>
        <w:t>has</w:t>
      </w:r>
      <w:r w:rsidRPr="007310DF">
        <w:rPr>
          <w:rFonts w:ascii="Arial" w:hAnsi="Arial" w:cs="Arial"/>
        </w:rPr>
        <w:t xml:space="preserve"> a major effect on the strategic decision of pharmaceutical companies to develop operations through high-commitment, structured entry modes. The most significant opportunity is associated with a large and rapidly growing pharmaceutical sector in India</w:t>
      </w:r>
      <w:r w:rsidR="004C03AA">
        <w:rPr>
          <w:rFonts w:ascii="Arial" w:hAnsi="Arial" w:cs="Arial"/>
        </w:rPr>
        <w:t>,</w:t>
      </w:r>
      <w:r w:rsidRPr="007310DF">
        <w:rPr>
          <w:rFonts w:ascii="Arial" w:hAnsi="Arial" w:cs="Arial"/>
        </w:rPr>
        <w:t xml:space="preserve"> where the ratio is motivated by the population of more than 1.4 billion people and the growing chronic illnesses like diabetes, cancer, and respiratory disease</w:t>
      </w:r>
      <w:r w:rsidR="0022639C" w:rsidRPr="0022639C">
        <w:rPr>
          <w:rFonts w:ascii="Arial" w:hAnsi="Arial" w:cs="Arial"/>
        </w:rPr>
        <w:t>(Hofstede Insights, 2024)</w:t>
      </w:r>
      <w:r w:rsidRPr="007310DF">
        <w:rPr>
          <w:rFonts w:ascii="Arial" w:hAnsi="Arial" w:cs="Arial"/>
        </w:rPr>
        <w:t xml:space="preserve">. This increased demand has huge growth prospects </w:t>
      </w:r>
      <w:r w:rsidR="004C03AA">
        <w:rPr>
          <w:rFonts w:ascii="Arial" w:hAnsi="Arial" w:cs="Arial"/>
        </w:rPr>
        <w:t>for</w:t>
      </w:r>
      <w:r w:rsidRPr="007310DF">
        <w:rPr>
          <w:rFonts w:ascii="Arial" w:hAnsi="Arial" w:cs="Arial"/>
        </w:rPr>
        <w:t xml:space="preserve"> multinational pharmaceutical companies</w:t>
      </w:r>
      <w:r w:rsidR="00B2042F">
        <w:rPr>
          <w:rFonts w:ascii="Arial" w:hAnsi="Arial" w:cs="Arial"/>
        </w:rPr>
        <w:t xml:space="preserve"> (</w:t>
      </w:r>
      <w:r w:rsidR="00B2042F" w:rsidRPr="00B2042F">
        <w:rPr>
          <w:rFonts w:ascii="Arial" w:hAnsi="Arial" w:cs="Arial"/>
        </w:rPr>
        <w:t>Appendix B)</w:t>
      </w:r>
      <w:r w:rsidRPr="007310DF">
        <w:rPr>
          <w:rFonts w:ascii="Arial" w:hAnsi="Arial" w:cs="Arial"/>
        </w:rPr>
        <w:t>.</w:t>
      </w:r>
    </w:p>
    <w:p w:rsidR="003B0882" w:rsidRPr="007310DF" w:rsidRDefault="003B0882" w:rsidP="007310DF">
      <w:pPr>
        <w:spacing w:line="360" w:lineRule="auto"/>
        <w:jc w:val="both"/>
        <w:rPr>
          <w:rFonts w:ascii="Arial" w:hAnsi="Arial" w:cs="Arial"/>
        </w:rPr>
      </w:pPr>
      <w:r w:rsidRPr="007310DF">
        <w:rPr>
          <w:rFonts w:ascii="Arial" w:hAnsi="Arial" w:cs="Arial"/>
        </w:rPr>
        <w:t>This has seen the Indian healthcare industry undergo a significant change</w:t>
      </w:r>
      <w:r w:rsidR="004C03AA">
        <w:rPr>
          <w:rFonts w:ascii="Arial" w:hAnsi="Arial" w:cs="Arial"/>
        </w:rPr>
        <w:t>,</w:t>
      </w:r>
      <w:r w:rsidRPr="007310DF">
        <w:rPr>
          <w:rFonts w:ascii="Arial" w:hAnsi="Arial" w:cs="Arial"/>
        </w:rPr>
        <w:t xml:space="preserve"> given the growth in incomes, expansion in government spending on health, and introduction of universal health coverage programs. Improved access to medical care and increased confidence in high-level treatments make India </w:t>
      </w:r>
      <w:r w:rsidR="004C03AA">
        <w:rPr>
          <w:rFonts w:ascii="Arial" w:hAnsi="Arial" w:cs="Arial"/>
        </w:rPr>
        <w:t>a particularly promising destination for</w:t>
      </w:r>
      <w:r w:rsidRPr="007310DF">
        <w:rPr>
          <w:rFonts w:ascii="Arial" w:hAnsi="Arial" w:cs="Arial"/>
        </w:rPr>
        <w:t xml:space="preserve"> biopharmaceutical products. Additionally, the nation has a strong domestic pharmaceutical sector that has much experience </w:t>
      </w:r>
      <w:r w:rsidR="004C03AA">
        <w:rPr>
          <w:rFonts w:ascii="Arial" w:hAnsi="Arial" w:cs="Arial"/>
        </w:rPr>
        <w:t xml:space="preserve">in generics production, thus providing ample potential to collaborate, exchange knowledge, and integrate the </w:t>
      </w:r>
      <w:r w:rsidRPr="007310DF">
        <w:rPr>
          <w:rFonts w:ascii="Arial" w:hAnsi="Arial" w:cs="Arial"/>
        </w:rPr>
        <w:t>supply chain</w:t>
      </w:r>
      <w:r w:rsidR="0022639C" w:rsidRPr="0022639C">
        <w:rPr>
          <w:rFonts w:ascii="Arial" w:hAnsi="Arial" w:cs="Arial"/>
        </w:rPr>
        <w:t>(Verbeke, 2022)</w:t>
      </w:r>
      <w:r w:rsidRPr="007310DF">
        <w:rPr>
          <w:rFonts w:ascii="Arial" w:hAnsi="Arial" w:cs="Arial"/>
        </w:rPr>
        <w:t>.</w:t>
      </w:r>
    </w:p>
    <w:p w:rsidR="003B0882" w:rsidRPr="007310DF" w:rsidRDefault="00817459" w:rsidP="007310DF">
      <w:pPr>
        <w:spacing w:line="360" w:lineRule="auto"/>
        <w:jc w:val="both"/>
        <w:rPr>
          <w:rFonts w:ascii="Arial" w:hAnsi="Arial" w:cs="Arial"/>
        </w:rPr>
      </w:pPr>
      <w:r w:rsidRPr="007310DF">
        <w:rPr>
          <w:rFonts w:ascii="Arial" w:hAnsi="Arial" w:cs="Arial"/>
        </w:rPr>
        <w:t xml:space="preserve">India has been a major destination where the labor cost will be advantageous because it can access </w:t>
      </w:r>
      <w:r w:rsidR="004C03AA">
        <w:rPr>
          <w:rFonts w:ascii="Arial" w:hAnsi="Arial" w:cs="Arial"/>
        </w:rPr>
        <w:t>highly trained scientists and professionals at effective wages,</w:t>
      </w:r>
      <w:r w:rsidRPr="007310DF">
        <w:rPr>
          <w:rFonts w:ascii="Arial" w:hAnsi="Arial" w:cs="Arial"/>
        </w:rPr>
        <w:t xml:space="preserve"> which will </w:t>
      </w:r>
      <w:r w:rsidRPr="007310DF">
        <w:rPr>
          <w:rFonts w:ascii="Arial" w:hAnsi="Arial" w:cs="Arial"/>
        </w:rPr>
        <w:lastRenderedPageBreak/>
        <w:t>lead to research collaborations and efficiency in operations. The attractiveness is further boosted by the availability of regulatory rewards like easy drug approval procedures and friendly policies of foreign direct investment in the pharmaceutical industry. In cities such as Hyderabad, Bangalore</w:t>
      </w:r>
      <w:r w:rsidR="004C03AA">
        <w:rPr>
          <w:rFonts w:ascii="Arial" w:hAnsi="Arial" w:cs="Arial"/>
        </w:rPr>
        <w:t>,</w:t>
      </w:r>
      <w:r w:rsidRPr="007310DF">
        <w:rPr>
          <w:rFonts w:ascii="Arial" w:hAnsi="Arial" w:cs="Arial"/>
        </w:rPr>
        <w:t xml:space="preserve"> and Mumbai, there has been research collaboration and local innovation facilitated by the biotechnology clusters</w:t>
      </w:r>
      <w:r w:rsidR="0022639C" w:rsidRPr="0022639C">
        <w:rPr>
          <w:rFonts w:ascii="Arial" w:hAnsi="Arial" w:cs="Arial"/>
        </w:rPr>
        <w:t>(Hofstede Insights, 2024)</w:t>
      </w:r>
      <w:r w:rsidRPr="007310DF">
        <w:rPr>
          <w:rFonts w:ascii="Arial" w:hAnsi="Arial" w:cs="Arial"/>
        </w:rPr>
        <w:t>.</w:t>
      </w:r>
    </w:p>
    <w:p w:rsidR="003B0882" w:rsidRDefault="003B0882" w:rsidP="007310DF">
      <w:pPr>
        <w:spacing w:line="360" w:lineRule="auto"/>
        <w:jc w:val="both"/>
        <w:rPr>
          <w:rFonts w:ascii="Arial" w:hAnsi="Arial" w:cs="Arial"/>
        </w:rPr>
      </w:pPr>
      <w:r w:rsidRPr="007310DF">
        <w:rPr>
          <w:rFonts w:ascii="Arial" w:hAnsi="Arial" w:cs="Arial"/>
        </w:rPr>
        <w:t>Altogether, these locational benefits support the process of joint venture, strategic alliance, and a fully owned subsidiary where the company can integrate itself into the Indian healthcare ecosystem without losing control over intellectual property and scientific resources.</w:t>
      </w:r>
    </w:p>
    <w:p w:rsidR="00A43203" w:rsidRDefault="00A43203" w:rsidP="00A43203">
      <w:pPr>
        <w:keepNext/>
        <w:spacing w:line="360" w:lineRule="auto"/>
        <w:jc w:val="center"/>
      </w:pPr>
      <w:r>
        <w:rPr>
          <w:noProof/>
          <w:lang w:bidi="hi-IN"/>
        </w:rPr>
        <w:drawing>
          <wp:inline distT="0" distB="0" distL="0" distR="0">
            <wp:extent cx="5943600" cy="4068445"/>
            <wp:effectExtent l="0" t="0" r="0" b="8255"/>
            <wp:docPr id="1130984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4068445"/>
                    </a:xfrm>
                    <a:prstGeom prst="rect">
                      <a:avLst/>
                    </a:prstGeom>
                    <a:noFill/>
                    <a:ln>
                      <a:noFill/>
                    </a:ln>
                  </pic:spPr>
                </pic:pic>
              </a:graphicData>
            </a:graphic>
          </wp:inline>
        </w:drawing>
      </w:r>
    </w:p>
    <w:p w:rsidR="00A43203" w:rsidRPr="003543F9" w:rsidRDefault="00A43203" w:rsidP="00A43203">
      <w:pPr>
        <w:pStyle w:val="Caption"/>
        <w:jc w:val="center"/>
        <w:rPr>
          <w:rFonts w:ascii="Arial" w:hAnsi="Arial" w:cs="Arial"/>
          <w:sz w:val="24"/>
          <w:szCs w:val="24"/>
        </w:rPr>
      </w:pPr>
      <w:r w:rsidRPr="003543F9">
        <w:rPr>
          <w:rFonts w:ascii="Arial" w:hAnsi="Arial" w:cs="Arial"/>
          <w:sz w:val="24"/>
          <w:szCs w:val="24"/>
        </w:rPr>
        <w:t xml:space="preserve">Figure </w:t>
      </w:r>
      <w:r w:rsidR="00AA71DE" w:rsidRPr="003543F9">
        <w:rPr>
          <w:rFonts w:ascii="Arial" w:hAnsi="Arial" w:cs="Arial"/>
          <w:sz w:val="24"/>
          <w:szCs w:val="24"/>
        </w:rPr>
        <w:fldChar w:fldCharType="begin"/>
      </w:r>
      <w:r w:rsidRPr="003543F9">
        <w:rPr>
          <w:rFonts w:ascii="Arial" w:hAnsi="Arial" w:cs="Arial"/>
          <w:sz w:val="24"/>
          <w:szCs w:val="24"/>
        </w:rPr>
        <w:instrText xml:space="preserve"> SEQ Figure \* ARABIC </w:instrText>
      </w:r>
      <w:r w:rsidR="00AA71DE" w:rsidRPr="003543F9">
        <w:rPr>
          <w:rFonts w:ascii="Arial" w:hAnsi="Arial" w:cs="Arial"/>
          <w:sz w:val="24"/>
          <w:szCs w:val="24"/>
        </w:rPr>
        <w:fldChar w:fldCharType="separate"/>
      </w:r>
      <w:r w:rsidR="00892329" w:rsidRPr="003543F9">
        <w:rPr>
          <w:rFonts w:ascii="Arial" w:hAnsi="Arial" w:cs="Arial"/>
          <w:noProof/>
          <w:sz w:val="24"/>
          <w:szCs w:val="24"/>
        </w:rPr>
        <w:t>2</w:t>
      </w:r>
      <w:r w:rsidR="00AA71DE" w:rsidRPr="003543F9">
        <w:rPr>
          <w:rFonts w:ascii="Arial" w:hAnsi="Arial" w:cs="Arial"/>
          <w:sz w:val="24"/>
          <w:szCs w:val="24"/>
        </w:rPr>
        <w:fldChar w:fldCharType="end"/>
      </w:r>
      <w:r w:rsidRPr="003543F9">
        <w:rPr>
          <w:rFonts w:ascii="Arial" w:hAnsi="Arial" w:cs="Arial"/>
          <w:sz w:val="24"/>
          <w:szCs w:val="24"/>
        </w:rPr>
        <w:t xml:space="preserve">  India Pharmaceutical Market Growth (2019–2023)</w:t>
      </w:r>
    </w:p>
    <w:p w:rsidR="00CE598E" w:rsidRPr="007310DF" w:rsidRDefault="00CE598E" w:rsidP="006A628B">
      <w:pPr>
        <w:pStyle w:val="Heading2"/>
      </w:pPr>
      <w:bookmarkStart w:id="20" w:name="_Toc215312854"/>
      <w:r w:rsidRPr="007310DF">
        <w:t>3.3 Internalisation Advantages</w:t>
      </w:r>
      <w:bookmarkEnd w:id="20"/>
    </w:p>
    <w:p w:rsidR="003B0882" w:rsidRPr="007310DF" w:rsidRDefault="003B0882" w:rsidP="007310DF">
      <w:pPr>
        <w:spacing w:line="360" w:lineRule="auto"/>
        <w:jc w:val="both"/>
        <w:rPr>
          <w:rFonts w:ascii="Arial" w:hAnsi="Arial" w:cs="Arial"/>
        </w:rPr>
      </w:pPr>
      <w:r w:rsidRPr="007310DF">
        <w:rPr>
          <w:rFonts w:ascii="Arial" w:hAnsi="Arial" w:cs="Arial"/>
        </w:rPr>
        <w:t xml:space="preserve">Internalisation provides strategic reasons why a biopharmaceutical company should not delegate certain areas of operations to external contractors. In the Indian environment, where the regulatory environment is highly regulated and intellectual property protection </w:t>
      </w:r>
      <w:r w:rsidRPr="007310DF">
        <w:rPr>
          <w:rFonts w:ascii="Arial" w:hAnsi="Arial" w:cs="Arial"/>
        </w:rPr>
        <w:lastRenderedPageBreak/>
        <w:t>has been a primary goal, internalisation becomes an important management requirement</w:t>
      </w:r>
      <w:r w:rsidR="0022639C" w:rsidRPr="0022639C">
        <w:rPr>
          <w:rFonts w:ascii="Arial" w:hAnsi="Arial" w:cs="Arial"/>
        </w:rPr>
        <w:t>(Hofstede Insights, 2024)</w:t>
      </w:r>
      <w:r w:rsidRPr="007310DF">
        <w:rPr>
          <w:rFonts w:ascii="Arial" w:hAnsi="Arial" w:cs="Arial"/>
        </w:rPr>
        <w:t xml:space="preserve">.  </w:t>
      </w:r>
    </w:p>
    <w:p w:rsidR="003B0882" w:rsidRPr="007310DF" w:rsidRDefault="003B0882" w:rsidP="007310DF">
      <w:pPr>
        <w:spacing w:line="360" w:lineRule="auto"/>
        <w:jc w:val="both"/>
        <w:rPr>
          <w:rFonts w:ascii="Arial" w:hAnsi="Arial" w:cs="Arial"/>
        </w:rPr>
      </w:pPr>
      <w:r w:rsidRPr="007310DF">
        <w:rPr>
          <w:rFonts w:ascii="Arial" w:hAnsi="Arial" w:cs="Arial"/>
        </w:rPr>
        <w:t xml:space="preserve">The company invests a lot of capital, which is in the tune of several </w:t>
      </w:r>
      <w:r w:rsidR="004C03AA">
        <w:rPr>
          <w:rFonts w:ascii="Arial" w:hAnsi="Arial" w:cs="Arial"/>
        </w:rPr>
        <w:t xml:space="preserve">billion </w:t>
      </w:r>
      <w:r w:rsidRPr="007310DF">
        <w:rPr>
          <w:rFonts w:ascii="Arial" w:hAnsi="Arial" w:cs="Arial"/>
        </w:rPr>
        <w:t xml:space="preserve">dollars, in its research, clinical </w:t>
      </w:r>
      <w:r w:rsidR="004C03AA">
        <w:rPr>
          <w:rFonts w:ascii="Arial" w:hAnsi="Arial" w:cs="Arial"/>
        </w:rPr>
        <w:t>trials</w:t>
      </w:r>
      <w:r w:rsidRPr="007310DF">
        <w:rPr>
          <w:rFonts w:ascii="Arial" w:hAnsi="Arial" w:cs="Arial"/>
        </w:rPr>
        <w:t>, and product development pipeline. This investment demands careful management of proprietary technologies, manufacturing guidelines, and formulation techniques to protect such an investment</w:t>
      </w:r>
      <w:r w:rsidR="00DD5D97" w:rsidRPr="00DD5D97">
        <w:rPr>
          <w:rFonts w:ascii="Arial" w:hAnsi="Arial" w:cs="Arial"/>
        </w:rPr>
        <w:t>(AstraZeneca, 2024)</w:t>
      </w:r>
      <w:r w:rsidRPr="007310DF">
        <w:rPr>
          <w:rFonts w:ascii="Arial" w:hAnsi="Arial" w:cs="Arial"/>
        </w:rPr>
        <w:t>. The firm would reduce the risk of intellectual property leakage, which has remained a challenge in the emerging economies with changing legal regimes</w:t>
      </w:r>
      <w:r w:rsidR="004C03AA">
        <w:rPr>
          <w:rFonts w:ascii="Arial" w:hAnsi="Arial" w:cs="Arial"/>
        </w:rPr>
        <w:t>,</w:t>
      </w:r>
      <w:r w:rsidRPr="007310DF">
        <w:rPr>
          <w:rFonts w:ascii="Arial" w:hAnsi="Arial" w:cs="Arial"/>
        </w:rPr>
        <w:t xml:space="preserve"> by having major activities like research and development, high-value pharmaceutical production, and regulatory submissions in-house</w:t>
      </w:r>
      <w:r w:rsidR="0022639C" w:rsidRPr="0022639C">
        <w:rPr>
          <w:rFonts w:ascii="Arial" w:hAnsi="Arial" w:cs="Arial"/>
        </w:rPr>
        <w:t>(Verbeke, 2022)</w:t>
      </w:r>
      <w:r w:rsidRPr="007310DF">
        <w:rPr>
          <w:rFonts w:ascii="Arial" w:hAnsi="Arial" w:cs="Arial"/>
        </w:rPr>
        <w:t xml:space="preserve">.  </w:t>
      </w:r>
    </w:p>
    <w:p w:rsidR="003B0882" w:rsidRPr="007310DF" w:rsidRDefault="003B0882" w:rsidP="007310DF">
      <w:pPr>
        <w:spacing w:line="360" w:lineRule="auto"/>
        <w:jc w:val="both"/>
        <w:rPr>
          <w:rFonts w:ascii="Arial" w:hAnsi="Arial" w:cs="Arial"/>
        </w:rPr>
      </w:pPr>
      <w:r w:rsidRPr="007310DF">
        <w:rPr>
          <w:rFonts w:ascii="Arial" w:hAnsi="Arial" w:cs="Arial"/>
        </w:rPr>
        <w:t>Internalisation also concerns a uniform quality of the product and compliance with the global safety standards. Drugs have to meet and fulfill strict regulatory requirements</w:t>
      </w:r>
      <w:r w:rsidR="004C03AA">
        <w:rPr>
          <w:rFonts w:ascii="Arial" w:hAnsi="Arial" w:cs="Arial"/>
        </w:rPr>
        <w:t>,</w:t>
      </w:r>
      <w:r w:rsidRPr="007310DF">
        <w:rPr>
          <w:rFonts w:ascii="Arial" w:hAnsi="Arial" w:cs="Arial"/>
        </w:rPr>
        <w:t xml:space="preserve"> and any compromise in the quality of production can trigger serious consequences, </w:t>
      </w:r>
      <w:r w:rsidR="004C03AA">
        <w:rPr>
          <w:rFonts w:ascii="Arial" w:hAnsi="Arial" w:cs="Arial"/>
        </w:rPr>
        <w:t>including recalls</w:t>
      </w:r>
      <w:r w:rsidRPr="007310DF">
        <w:rPr>
          <w:rFonts w:ascii="Arial" w:hAnsi="Arial" w:cs="Arial"/>
        </w:rPr>
        <w:t xml:space="preserve"> or lawsuits. Maintaining internal control over the production and quality assurance processes will help the company to respond to the demands of global regulations as well as domestic Indian standards</w:t>
      </w:r>
      <w:r w:rsidR="00DD5D97" w:rsidRPr="00DD5D97">
        <w:rPr>
          <w:rFonts w:ascii="Arial" w:hAnsi="Arial" w:cs="Arial"/>
        </w:rPr>
        <w:t>(Dunning and Lundan, 2021)</w:t>
      </w:r>
      <w:r w:rsidRPr="007310DF">
        <w:rPr>
          <w:rFonts w:ascii="Arial" w:hAnsi="Arial" w:cs="Arial"/>
        </w:rPr>
        <w:t xml:space="preserve">.  </w:t>
      </w:r>
    </w:p>
    <w:p w:rsidR="00817459" w:rsidRPr="007310DF" w:rsidRDefault="00817459" w:rsidP="007310DF">
      <w:pPr>
        <w:spacing w:line="360" w:lineRule="auto"/>
        <w:jc w:val="both"/>
        <w:rPr>
          <w:rFonts w:ascii="Arial" w:hAnsi="Arial" w:cs="Arial"/>
        </w:rPr>
      </w:pPr>
      <w:r w:rsidRPr="007310DF">
        <w:rPr>
          <w:rFonts w:ascii="Arial" w:hAnsi="Arial" w:cs="Arial"/>
        </w:rPr>
        <w:t>The internalisation process improves the coordination of the different functional units</w:t>
      </w:r>
      <w:r w:rsidR="004C03AA">
        <w:rPr>
          <w:rFonts w:ascii="Arial" w:hAnsi="Arial" w:cs="Arial"/>
        </w:rPr>
        <w:t>,</w:t>
      </w:r>
      <w:r w:rsidRPr="007310DF">
        <w:rPr>
          <w:rFonts w:ascii="Arial" w:hAnsi="Arial" w:cs="Arial"/>
        </w:rPr>
        <w:t xml:space="preserve"> whereby quick adjustment to market changes, regulations, and competition is achieved in the dynamic Indian healthcare market. It promotes flexibility in operations and interdepartmental cohesiveness and allows direct interaction with the most important stakeholders, including regulators and healthcare professionals</w:t>
      </w:r>
      <w:r w:rsidR="0022639C" w:rsidRPr="0022639C">
        <w:rPr>
          <w:rFonts w:ascii="Arial" w:hAnsi="Arial" w:cs="Arial"/>
        </w:rPr>
        <w:t>(Hofstede Insights, 2024)</w:t>
      </w:r>
      <w:r w:rsidRPr="007310DF">
        <w:rPr>
          <w:rFonts w:ascii="Arial" w:hAnsi="Arial" w:cs="Arial"/>
        </w:rPr>
        <w:t xml:space="preserve">. This engagement enhances trust and brings in synchronization between the market entry and expansion strategies and the </w:t>
      </w:r>
      <w:r w:rsidR="004C03AA">
        <w:rPr>
          <w:rFonts w:ascii="Arial" w:hAnsi="Arial" w:cs="Arial"/>
        </w:rPr>
        <w:t>long-term</w:t>
      </w:r>
      <w:r w:rsidRPr="007310DF">
        <w:rPr>
          <w:rFonts w:ascii="Arial" w:hAnsi="Arial" w:cs="Arial"/>
        </w:rPr>
        <w:t xml:space="preserve"> objectives of the company. Internalisation therefore prefers entry modes where </w:t>
      </w:r>
      <w:r w:rsidR="004C03AA">
        <w:rPr>
          <w:rFonts w:ascii="Arial" w:hAnsi="Arial" w:cs="Arial"/>
        </w:rPr>
        <w:t>a high degree of control is required, such as through a wholly owned subsidiary or well-organised</w:t>
      </w:r>
      <w:r w:rsidRPr="007310DF">
        <w:rPr>
          <w:rFonts w:ascii="Arial" w:hAnsi="Arial" w:cs="Arial"/>
        </w:rPr>
        <w:t xml:space="preserve"> joint ventures</w:t>
      </w:r>
      <w:r w:rsidR="00DD5D97" w:rsidRPr="00DD5D97">
        <w:rPr>
          <w:rFonts w:ascii="Arial" w:hAnsi="Arial" w:cs="Arial"/>
        </w:rPr>
        <w:t>(Dunning and Lundan, 2021)</w:t>
      </w:r>
      <w:r w:rsidRPr="007310DF">
        <w:rPr>
          <w:rFonts w:ascii="Arial" w:hAnsi="Arial" w:cs="Arial"/>
        </w:rPr>
        <w:t>.</w:t>
      </w:r>
    </w:p>
    <w:p w:rsidR="00CE598E" w:rsidRPr="007310DF" w:rsidRDefault="00CE598E" w:rsidP="006A628B">
      <w:pPr>
        <w:pStyle w:val="Heading2"/>
      </w:pPr>
      <w:bookmarkStart w:id="21" w:name="_Toc215312855"/>
      <w:r w:rsidRPr="007310DF">
        <w:t>3.4 Impact of OLI Factors on Entry Mode Selection</w:t>
      </w:r>
      <w:bookmarkEnd w:id="21"/>
    </w:p>
    <w:p w:rsidR="00817459" w:rsidRPr="007310DF" w:rsidRDefault="003B0882" w:rsidP="007310DF">
      <w:pPr>
        <w:spacing w:line="360" w:lineRule="auto"/>
        <w:jc w:val="both"/>
        <w:rPr>
          <w:rFonts w:ascii="Arial" w:hAnsi="Arial" w:cs="Arial"/>
        </w:rPr>
      </w:pPr>
      <w:r w:rsidRPr="007310DF">
        <w:rPr>
          <w:rFonts w:ascii="Arial" w:hAnsi="Arial" w:cs="Arial"/>
        </w:rPr>
        <w:t xml:space="preserve">With a combination of these three factors, the OLI framework has a strong impact on the mode of entry that the firm would adopt into India. </w:t>
      </w:r>
      <w:r w:rsidR="00817459" w:rsidRPr="007310DF">
        <w:rPr>
          <w:rFonts w:ascii="Arial" w:hAnsi="Arial" w:cs="Arial"/>
        </w:rPr>
        <w:t xml:space="preserve">The company will also embrace </w:t>
      </w:r>
      <w:r w:rsidR="00817459" w:rsidRPr="007310DF">
        <w:rPr>
          <w:rFonts w:ascii="Arial" w:hAnsi="Arial" w:cs="Arial"/>
        </w:rPr>
        <w:lastRenderedPageBreak/>
        <w:t xml:space="preserve">high-control measures to protect the intellectual property by using the ownership advantage (patent and a </w:t>
      </w:r>
      <w:r w:rsidR="008C072C" w:rsidRPr="007310DF">
        <w:rPr>
          <w:rFonts w:ascii="Arial" w:hAnsi="Arial" w:cs="Arial"/>
        </w:rPr>
        <w:t>well-established</w:t>
      </w:r>
      <w:r w:rsidR="00817459" w:rsidRPr="007310DF">
        <w:rPr>
          <w:rFonts w:ascii="Arial" w:hAnsi="Arial" w:cs="Arial"/>
        </w:rPr>
        <w:t xml:space="preserve"> brand)</w:t>
      </w:r>
      <w:r w:rsidR="0022639C" w:rsidRPr="0022639C">
        <w:rPr>
          <w:rFonts w:ascii="Arial" w:hAnsi="Arial" w:cs="Arial"/>
        </w:rPr>
        <w:t>(Hofstede Insights, 2024)</w:t>
      </w:r>
      <w:r w:rsidR="00817459" w:rsidRPr="007310DF">
        <w:rPr>
          <w:rFonts w:ascii="Arial" w:hAnsi="Arial" w:cs="Arial"/>
        </w:rPr>
        <w:t>. It also has locational advantages in India, including a large market, skilled labor force</w:t>
      </w:r>
      <w:r w:rsidR="004C03AA">
        <w:rPr>
          <w:rFonts w:ascii="Arial" w:hAnsi="Arial" w:cs="Arial"/>
        </w:rPr>
        <w:t>, and positive regulatory environment, which makes long-term</w:t>
      </w:r>
      <w:r w:rsidR="00817459" w:rsidRPr="007310DF">
        <w:rPr>
          <w:rFonts w:ascii="Arial" w:hAnsi="Arial" w:cs="Arial"/>
        </w:rPr>
        <w:t xml:space="preserve"> investments in the form of partnership or wholly owned subsidiaries. The centrality of internalization is emphasized by direct control of research, manufacturing</w:t>
      </w:r>
      <w:r w:rsidR="004C03AA">
        <w:rPr>
          <w:rFonts w:ascii="Arial" w:hAnsi="Arial" w:cs="Arial"/>
        </w:rPr>
        <w:t>,</w:t>
      </w:r>
      <w:r w:rsidR="00817459" w:rsidRPr="007310DF">
        <w:rPr>
          <w:rFonts w:ascii="Arial" w:hAnsi="Arial" w:cs="Arial"/>
        </w:rPr>
        <w:t xml:space="preserve"> and regulatory processes</w:t>
      </w:r>
      <w:r w:rsidR="00DD5D97" w:rsidRPr="00DD5D97">
        <w:rPr>
          <w:rFonts w:ascii="Arial" w:hAnsi="Arial" w:cs="Arial"/>
        </w:rPr>
        <w:t>(Dunning and Lundan, 2021)</w:t>
      </w:r>
      <w:r w:rsidR="00817459" w:rsidRPr="007310DF">
        <w:rPr>
          <w:rFonts w:ascii="Arial" w:hAnsi="Arial" w:cs="Arial"/>
        </w:rPr>
        <w:t>. As a result, the company has been trying to apply a mix of wholly owned subsidiaries, research partnerships, and strategic joint ventures to balance between control and local integration.</w:t>
      </w:r>
    </w:p>
    <w:p w:rsidR="00CE598E" w:rsidRPr="007310DF" w:rsidRDefault="00CE598E" w:rsidP="006A628B">
      <w:pPr>
        <w:pStyle w:val="Heading1"/>
      </w:pPr>
      <w:bookmarkStart w:id="22" w:name="_Toc215312856"/>
      <w:r w:rsidRPr="007310DF">
        <w:t>4. Cultural Differences Between the Home Country and the Emerging Economy</w:t>
      </w:r>
      <w:bookmarkEnd w:id="22"/>
    </w:p>
    <w:p w:rsidR="003B0882" w:rsidRPr="007310DF" w:rsidRDefault="003B0882" w:rsidP="007310DF">
      <w:pPr>
        <w:spacing w:line="360" w:lineRule="auto"/>
        <w:jc w:val="both"/>
        <w:rPr>
          <w:rFonts w:ascii="Arial" w:hAnsi="Arial" w:cs="Arial"/>
        </w:rPr>
      </w:pPr>
      <w:r w:rsidRPr="007310DF">
        <w:rPr>
          <w:rFonts w:ascii="Arial" w:hAnsi="Arial" w:cs="Arial"/>
        </w:rPr>
        <w:t xml:space="preserve">The cultural dynamics play an important role in determining the strategic decisions, </w:t>
      </w:r>
      <w:r w:rsidR="008C072C" w:rsidRPr="007310DF">
        <w:rPr>
          <w:rFonts w:ascii="Arial" w:hAnsi="Arial" w:cs="Arial"/>
        </w:rPr>
        <w:t>behavioral</w:t>
      </w:r>
      <w:r w:rsidRPr="007310DF">
        <w:rPr>
          <w:rFonts w:ascii="Arial" w:hAnsi="Arial" w:cs="Arial"/>
        </w:rPr>
        <w:t xml:space="preserve"> responses, and performance results of </w:t>
      </w:r>
      <w:r w:rsidR="004C03AA">
        <w:rPr>
          <w:rFonts w:ascii="Arial" w:hAnsi="Arial" w:cs="Arial"/>
        </w:rPr>
        <w:t xml:space="preserve">a multinational enterprise in a </w:t>
      </w:r>
      <w:r w:rsidRPr="007310DF">
        <w:rPr>
          <w:rFonts w:ascii="Arial" w:hAnsi="Arial" w:cs="Arial"/>
        </w:rPr>
        <w:t>foreign environment. When a UK-based biopharmaceutical company enters the Indian market, cultural differences between the UK and Indian cultural values may influence the approaches of leading the organisation, the manner of negotiation, the rules of communication, the attitudes of the employees to each other, the methods of communication with patients, and the positioning of the company in the Indian market</w:t>
      </w:r>
      <w:r w:rsidR="0022639C" w:rsidRPr="0022639C">
        <w:rPr>
          <w:rFonts w:ascii="Arial" w:hAnsi="Arial" w:cs="Arial"/>
        </w:rPr>
        <w:t>(Srinivasan and Venkatraman, 2020)</w:t>
      </w:r>
      <w:r w:rsidRPr="007310DF">
        <w:rPr>
          <w:rFonts w:ascii="Arial" w:hAnsi="Arial" w:cs="Arial"/>
        </w:rPr>
        <w:t xml:space="preserve">. This part provides a critical evaluation of these cultural differences based on the well-developed cultural models and analysis of the </w:t>
      </w:r>
      <w:r w:rsidR="004C03AA">
        <w:rPr>
          <w:rFonts w:ascii="Arial" w:hAnsi="Arial" w:cs="Arial"/>
        </w:rPr>
        <w:t>implications</w:t>
      </w:r>
      <w:r w:rsidRPr="007310DF">
        <w:rPr>
          <w:rFonts w:ascii="Arial" w:hAnsi="Arial" w:cs="Arial"/>
        </w:rPr>
        <w:t xml:space="preserve"> on the market entry strategy and future success of the company in India</w:t>
      </w:r>
      <w:r w:rsidR="0022639C" w:rsidRPr="0022639C">
        <w:rPr>
          <w:rFonts w:ascii="Arial" w:hAnsi="Arial" w:cs="Arial"/>
        </w:rPr>
        <w:t>(Deloitte, 2023)</w:t>
      </w:r>
      <w:r w:rsidRPr="007310DF">
        <w:rPr>
          <w:rFonts w:ascii="Arial" w:hAnsi="Arial" w:cs="Arial"/>
        </w:rPr>
        <w:t>.</w:t>
      </w:r>
    </w:p>
    <w:p w:rsidR="00CE598E" w:rsidRPr="007310DF" w:rsidRDefault="00CE598E" w:rsidP="006A628B">
      <w:pPr>
        <w:pStyle w:val="Heading2"/>
      </w:pPr>
      <w:bookmarkStart w:id="23" w:name="_Toc215312857"/>
      <w:r w:rsidRPr="007310DF">
        <w:t>4.1 Key UK–India Cultural Differences</w:t>
      </w:r>
      <w:bookmarkEnd w:id="23"/>
    </w:p>
    <w:p w:rsidR="003B0882" w:rsidRPr="007310DF" w:rsidRDefault="003B0882" w:rsidP="007310DF">
      <w:pPr>
        <w:spacing w:line="360" w:lineRule="auto"/>
        <w:jc w:val="both"/>
        <w:rPr>
          <w:rFonts w:ascii="Arial" w:hAnsi="Arial" w:cs="Arial"/>
        </w:rPr>
      </w:pPr>
      <w:r w:rsidRPr="007310DF">
        <w:rPr>
          <w:rFonts w:ascii="Arial" w:hAnsi="Arial" w:cs="Arial"/>
        </w:rPr>
        <w:t xml:space="preserve">Comparative cultural evaluation of the United Kingdom and India has shown that there is a great difference </w:t>
      </w:r>
      <w:r w:rsidR="004C03AA">
        <w:rPr>
          <w:rFonts w:ascii="Arial" w:hAnsi="Arial" w:cs="Arial"/>
        </w:rPr>
        <w:t>in</w:t>
      </w:r>
      <w:r w:rsidRPr="007310DF">
        <w:rPr>
          <w:rFonts w:ascii="Arial" w:hAnsi="Arial" w:cs="Arial"/>
        </w:rPr>
        <w:t xml:space="preserve"> various dimensions, especially those described by Hofstede. These variations influence the way organisations are run and how they relate with local stakeholders</w:t>
      </w:r>
      <w:r w:rsidR="0022639C" w:rsidRPr="0022639C">
        <w:rPr>
          <w:rFonts w:ascii="Arial" w:hAnsi="Arial" w:cs="Arial"/>
        </w:rPr>
        <w:t>(PwC, 2024)</w:t>
      </w:r>
      <w:r w:rsidRPr="007310DF">
        <w:rPr>
          <w:rFonts w:ascii="Arial" w:hAnsi="Arial" w:cs="Arial"/>
        </w:rPr>
        <w:t>.</w:t>
      </w:r>
    </w:p>
    <w:p w:rsidR="003B0882" w:rsidRPr="007310DF" w:rsidRDefault="006A628B" w:rsidP="006A628B">
      <w:pPr>
        <w:pStyle w:val="Heading3"/>
      </w:pPr>
      <w:bookmarkStart w:id="24" w:name="_Toc215312858"/>
      <w:r>
        <w:lastRenderedPageBreak/>
        <w:t xml:space="preserve">4.1.1 </w:t>
      </w:r>
      <w:r w:rsidR="003B0882" w:rsidRPr="007310DF">
        <w:t>Power Distance</w:t>
      </w:r>
      <w:bookmarkEnd w:id="24"/>
    </w:p>
    <w:p w:rsidR="003B0882" w:rsidRPr="007310DF" w:rsidRDefault="003B0882" w:rsidP="007310DF">
      <w:pPr>
        <w:spacing w:line="360" w:lineRule="auto"/>
        <w:jc w:val="both"/>
        <w:rPr>
          <w:rFonts w:ascii="Arial" w:hAnsi="Arial" w:cs="Arial"/>
        </w:rPr>
      </w:pPr>
      <w:r w:rsidRPr="007310DF">
        <w:rPr>
          <w:rFonts w:ascii="Arial" w:hAnsi="Arial" w:cs="Arial"/>
        </w:rPr>
        <w:t xml:space="preserve">The degree of power distance in India is considerably higher than </w:t>
      </w:r>
      <w:r w:rsidR="004C03AA">
        <w:rPr>
          <w:rFonts w:ascii="Arial" w:hAnsi="Arial" w:cs="Arial"/>
        </w:rPr>
        <w:t xml:space="preserve">that </w:t>
      </w:r>
      <w:r w:rsidRPr="007310DF">
        <w:rPr>
          <w:rFonts w:ascii="Arial" w:hAnsi="Arial" w:cs="Arial"/>
        </w:rPr>
        <w:t>in the UK. The British organisational culture is more inclined to consider the flatter hierarchy, open communication</w:t>
      </w:r>
      <w:r w:rsidR="004C03AA">
        <w:rPr>
          <w:rFonts w:ascii="Arial" w:hAnsi="Arial" w:cs="Arial"/>
        </w:rPr>
        <w:t>, and collaborative decision making, whereas the Indian workplaces</w:t>
      </w:r>
      <w:r w:rsidRPr="007310DF">
        <w:rPr>
          <w:rFonts w:ascii="Arial" w:hAnsi="Arial" w:cs="Arial"/>
        </w:rPr>
        <w:t xml:space="preserve"> are usually characterised by more hierarchical structures. In India, the subordinates are more predisposed to authority figures, directive leadership</w:t>
      </w:r>
      <w:r w:rsidR="004C03AA">
        <w:rPr>
          <w:rFonts w:ascii="Arial" w:hAnsi="Arial" w:cs="Arial"/>
        </w:rPr>
        <w:t>, and follow well-defined</w:t>
      </w:r>
      <w:r w:rsidRPr="007310DF">
        <w:rPr>
          <w:rFonts w:ascii="Arial" w:hAnsi="Arial" w:cs="Arial"/>
        </w:rPr>
        <w:t xml:space="preserve"> reporting lines</w:t>
      </w:r>
      <w:r w:rsidR="0022639C" w:rsidRPr="0022639C">
        <w:rPr>
          <w:rFonts w:ascii="Arial" w:hAnsi="Arial" w:cs="Arial"/>
        </w:rPr>
        <w:t>(Srinivasan and Venkatraman, 2020)</w:t>
      </w:r>
      <w:r w:rsidRPr="007310DF">
        <w:rPr>
          <w:rFonts w:ascii="Arial" w:hAnsi="Arial" w:cs="Arial"/>
        </w:rPr>
        <w:t xml:space="preserve">. Such </w:t>
      </w:r>
      <w:r w:rsidR="004C03AA">
        <w:rPr>
          <w:rFonts w:ascii="Arial" w:hAnsi="Arial" w:cs="Arial"/>
        </w:rPr>
        <w:t>a difference influences management style, team interactions,</w:t>
      </w:r>
      <w:r w:rsidRPr="007310DF">
        <w:rPr>
          <w:rFonts w:ascii="Arial" w:hAnsi="Arial" w:cs="Arial"/>
        </w:rPr>
        <w:t xml:space="preserve"> and management expectations</w:t>
      </w:r>
      <w:r w:rsidR="0022639C" w:rsidRPr="0022639C">
        <w:rPr>
          <w:rFonts w:ascii="Arial" w:hAnsi="Arial" w:cs="Arial"/>
        </w:rPr>
        <w:t>(Deloitte, 2023)</w:t>
      </w:r>
      <w:r w:rsidRPr="007310DF">
        <w:rPr>
          <w:rFonts w:ascii="Arial" w:hAnsi="Arial" w:cs="Arial"/>
        </w:rPr>
        <w:t>.</w:t>
      </w:r>
    </w:p>
    <w:p w:rsidR="003B0882" w:rsidRPr="007310DF" w:rsidRDefault="006A628B" w:rsidP="006A628B">
      <w:pPr>
        <w:pStyle w:val="Heading3"/>
      </w:pPr>
      <w:bookmarkStart w:id="25" w:name="_Toc215312859"/>
      <w:r>
        <w:t xml:space="preserve">4.1.2 </w:t>
      </w:r>
      <w:r w:rsidR="003B0882" w:rsidRPr="007310DF">
        <w:t>Collectivism vs. Individualism.</w:t>
      </w:r>
      <w:bookmarkEnd w:id="25"/>
    </w:p>
    <w:p w:rsidR="003B0882" w:rsidRPr="007310DF" w:rsidRDefault="004C03AA" w:rsidP="007310DF">
      <w:pPr>
        <w:spacing w:line="360" w:lineRule="auto"/>
        <w:jc w:val="both"/>
        <w:rPr>
          <w:rFonts w:ascii="Arial" w:hAnsi="Arial" w:cs="Arial"/>
        </w:rPr>
      </w:pPr>
      <w:r>
        <w:rPr>
          <w:rFonts w:ascii="Arial" w:hAnsi="Arial" w:cs="Arial"/>
        </w:rPr>
        <w:t xml:space="preserve">The </w:t>
      </w:r>
      <w:r w:rsidR="003B0882" w:rsidRPr="007310DF">
        <w:rPr>
          <w:rFonts w:ascii="Arial" w:hAnsi="Arial" w:cs="Arial"/>
        </w:rPr>
        <w:t>UK is a very individualistic country, and the society focuses on independence, personal success, and autonomy. Despite the fact that India is shifting towards individualism, it is more of a collectivist place. Working behaviour and consumer preferences are determined by family relations, interpersonal relationships within the community</w:t>
      </w:r>
      <w:r>
        <w:rPr>
          <w:rFonts w:ascii="Arial" w:hAnsi="Arial" w:cs="Arial"/>
        </w:rPr>
        <w:t>,</w:t>
      </w:r>
      <w:r w:rsidR="003B0882" w:rsidRPr="007310DF">
        <w:rPr>
          <w:rFonts w:ascii="Arial" w:hAnsi="Arial" w:cs="Arial"/>
        </w:rPr>
        <w:t xml:space="preserve"> and harmony among groups. Consequently, marketing and employee engagement strategies will have to be modified to appeal to </w:t>
      </w:r>
      <w:r>
        <w:rPr>
          <w:rFonts w:ascii="Arial" w:hAnsi="Arial" w:cs="Arial"/>
        </w:rPr>
        <w:t>group-oriented</w:t>
      </w:r>
      <w:r w:rsidR="003B0882" w:rsidRPr="007310DF">
        <w:rPr>
          <w:rFonts w:ascii="Arial" w:hAnsi="Arial" w:cs="Arial"/>
        </w:rPr>
        <w:t xml:space="preserve"> values</w:t>
      </w:r>
      <w:r w:rsidR="0022639C" w:rsidRPr="0022639C">
        <w:rPr>
          <w:rFonts w:ascii="Arial" w:hAnsi="Arial" w:cs="Arial"/>
        </w:rPr>
        <w:t>(PwC, 2024)</w:t>
      </w:r>
      <w:r w:rsidR="003B0882" w:rsidRPr="007310DF">
        <w:rPr>
          <w:rFonts w:ascii="Arial" w:hAnsi="Arial" w:cs="Arial"/>
        </w:rPr>
        <w:t>.</w:t>
      </w:r>
    </w:p>
    <w:p w:rsidR="003B0882" w:rsidRPr="007310DF" w:rsidRDefault="006A628B" w:rsidP="006A628B">
      <w:pPr>
        <w:pStyle w:val="Heading3"/>
      </w:pPr>
      <w:bookmarkStart w:id="26" w:name="_Toc215312860"/>
      <w:r>
        <w:t xml:space="preserve">4.1.3 </w:t>
      </w:r>
      <w:r w:rsidR="003B0882" w:rsidRPr="007310DF">
        <w:t>Uncertainty Avoidance</w:t>
      </w:r>
      <w:bookmarkEnd w:id="26"/>
    </w:p>
    <w:p w:rsidR="003B0882" w:rsidRPr="007310DF" w:rsidRDefault="003B0882" w:rsidP="007310DF">
      <w:pPr>
        <w:spacing w:line="360" w:lineRule="auto"/>
        <w:jc w:val="both"/>
        <w:rPr>
          <w:rFonts w:ascii="Arial" w:hAnsi="Arial" w:cs="Arial"/>
        </w:rPr>
      </w:pPr>
      <w:r w:rsidRPr="007310DF">
        <w:rPr>
          <w:rFonts w:ascii="Arial" w:hAnsi="Arial" w:cs="Arial"/>
        </w:rPr>
        <w:t xml:space="preserve">Indians have moderate uncertainty avoidance, which implies that they can operate within any kind of flexible environment yet require structure in rules and expectations. On the other hand, the </w:t>
      </w:r>
      <w:r w:rsidR="008C072C" w:rsidRPr="007310DF">
        <w:rPr>
          <w:rFonts w:ascii="Arial" w:hAnsi="Arial" w:cs="Arial"/>
        </w:rPr>
        <w:t>UK</w:t>
      </w:r>
      <w:r w:rsidRPr="007310DF">
        <w:rPr>
          <w:rFonts w:ascii="Arial" w:hAnsi="Arial" w:cs="Arial"/>
        </w:rPr>
        <w:t xml:space="preserve"> is more tolerant </w:t>
      </w:r>
      <w:r w:rsidR="004C03AA">
        <w:rPr>
          <w:rFonts w:ascii="Arial" w:hAnsi="Arial" w:cs="Arial"/>
        </w:rPr>
        <w:t>of</w:t>
      </w:r>
      <w:r w:rsidRPr="007310DF">
        <w:rPr>
          <w:rFonts w:ascii="Arial" w:hAnsi="Arial" w:cs="Arial"/>
        </w:rPr>
        <w:t xml:space="preserve"> ambiguity and change. This impacts </w:t>
      </w:r>
      <w:r w:rsidR="004C03AA">
        <w:rPr>
          <w:rFonts w:ascii="Arial" w:hAnsi="Arial" w:cs="Arial"/>
        </w:rPr>
        <w:t>regulatory expectations, contractual negotiations, and the manner</w:t>
      </w:r>
      <w:r w:rsidRPr="007310DF">
        <w:rPr>
          <w:rFonts w:ascii="Arial" w:hAnsi="Arial" w:cs="Arial"/>
        </w:rPr>
        <w:t xml:space="preserve"> in which employees understand organisational policies. Indian stakeholders might wish to have a more organized directive in the change processes</w:t>
      </w:r>
      <w:r w:rsidR="0022639C" w:rsidRPr="0022639C">
        <w:rPr>
          <w:rFonts w:ascii="Arial" w:hAnsi="Arial" w:cs="Arial"/>
        </w:rPr>
        <w:t>(PwC, 2024)</w:t>
      </w:r>
      <w:r w:rsidRPr="007310DF">
        <w:rPr>
          <w:rFonts w:ascii="Arial" w:hAnsi="Arial" w:cs="Arial"/>
        </w:rPr>
        <w:t>.</w:t>
      </w:r>
    </w:p>
    <w:p w:rsidR="007310DF" w:rsidRDefault="006A628B" w:rsidP="006A628B">
      <w:pPr>
        <w:pStyle w:val="Heading3"/>
      </w:pPr>
      <w:bookmarkStart w:id="27" w:name="_Toc215312861"/>
      <w:r>
        <w:t xml:space="preserve">4.1.4 </w:t>
      </w:r>
      <w:r w:rsidR="00CE598E" w:rsidRPr="007310DF">
        <w:t>Long-Term Orientation</w:t>
      </w:r>
      <w:bookmarkEnd w:id="27"/>
    </w:p>
    <w:p w:rsidR="00F21D8B" w:rsidRPr="007310DF" w:rsidRDefault="00F21D8B" w:rsidP="007310DF">
      <w:pPr>
        <w:spacing w:line="360" w:lineRule="auto"/>
        <w:jc w:val="both"/>
        <w:rPr>
          <w:rFonts w:ascii="Arial" w:hAnsi="Arial" w:cs="Arial"/>
        </w:rPr>
      </w:pPr>
      <w:r w:rsidRPr="007310DF">
        <w:rPr>
          <w:rFonts w:ascii="Arial" w:hAnsi="Arial" w:cs="Arial"/>
        </w:rPr>
        <w:t>India is characterized by a strong long-term orientation, foregrounding perseverance, relationship building</w:t>
      </w:r>
      <w:r w:rsidR="004C03AA">
        <w:rPr>
          <w:rFonts w:ascii="Arial" w:hAnsi="Arial" w:cs="Arial"/>
        </w:rPr>
        <w:t>,</w:t>
      </w:r>
      <w:r w:rsidRPr="007310DF">
        <w:rPr>
          <w:rFonts w:ascii="Arial" w:hAnsi="Arial" w:cs="Arial"/>
        </w:rPr>
        <w:t xml:space="preserve"> and strategic patience. In comparison, the United Kingdom takes a more moderate stance and values both long-term planning and short-term results. Indian business relationships are generally formed over a long period of time by way of a </w:t>
      </w:r>
      <w:r w:rsidR="004C03AA">
        <w:rPr>
          <w:rFonts w:ascii="Arial" w:hAnsi="Arial" w:cs="Arial"/>
        </w:rPr>
        <w:t xml:space="preserve">trust-building interaction, and corporate success is directly tied to the continuation of </w:t>
      </w:r>
      <w:r w:rsidR="004C03AA">
        <w:rPr>
          <w:rFonts w:ascii="Arial" w:hAnsi="Arial" w:cs="Arial"/>
        </w:rPr>
        <w:lastRenderedPageBreak/>
        <w:t>stable and lasting relationships with customers, suppliers,</w:t>
      </w:r>
      <w:r w:rsidRPr="007310DF">
        <w:rPr>
          <w:rFonts w:ascii="Arial" w:hAnsi="Arial" w:cs="Arial"/>
        </w:rPr>
        <w:t xml:space="preserve"> and regulators</w:t>
      </w:r>
      <w:r w:rsidR="0022639C" w:rsidRPr="0022639C">
        <w:rPr>
          <w:rFonts w:ascii="Arial" w:hAnsi="Arial" w:cs="Arial"/>
        </w:rPr>
        <w:t>(Srinivasan and Venkatraman, 2020)</w:t>
      </w:r>
      <w:r w:rsidRPr="007310DF">
        <w:rPr>
          <w:rFonts w:ascii="Arial" w:hAnsi="Arial" w:cs="Arial"/>
        </w:rPr>
        <w:t>.</w:t>
      </w:r>
    </w:p>
    <w:p w:rsidR="00F21D8B" w:rsidRPr="007310DF" w:rsidRDefault="006A628B" w:rsidP="006A628B">
      <w:pPr>
        <w:pStyle w:val="Heading3"/>
      </w:pPr>
      <w:bookmarkStart w:id="28" w:name="_Toc215312862"/>
      <w:r>
        <w:t xml:space="preserve">4.1.5 </w:t>
      </w:r>
      <w:r w:rsidR="00F21D8B" w:rsidRPr="007310DF">
        <w:t>Communication styles</w:t>
      </w:r>
      <w:bookmarkEnd w:id="28"/>
    </w:p>
    <w:p w:rsidR="00F21D8B" w:rsidRPr="007310DF" w:rsidRDefault="00F21D8B" w:rsidP="007310DF">
      <w:pPr>
        <w:spacing w:line="360" w:lineRule="auto"/>
        <w:jc w:val="both"/>
        <w:rPr>
          <w:rFonts w:ascii="Arial" w:hAnsi="Arial" w:cs="Arial"/>
        </w:rPr>
      </w:pPr>
      <w:r w:rsidRPr="007310DF">
        <w:rPr>
          <w:rFonts w:ascii="Arial" w:hAnsi="Arial" w:cs="Arial"/>
        </w:rPr>
        <w:t>Communication styles in India tend to be high-context</w:t>
      </w:r>
      <w:r w:rsidR="004C03AA">
        <w:rPr>
          <w:rFonts w:ascii="Arial" w:hAnsi="Arial" w:cs="Arial"/>
        </w:rPr>
        <w:t>,</w:t>
      </w:r>
      <w:r w:rsidRPr="007310DF">
        <w:rPr>
          <w:rFonts w:ascii="Arial" w:hAnsi="Arial" w:cs="Arial"/>
        </w:rPr>
        <w:t xml:space="preserve"> with the meaning being indirectly expressed and through social cues. In contrast, British communication has features of lower context, which is more direct and explicit. Communication training on cultural sensitivity must be provided to both expatriate managers and local teams because misinterpretations across cultural boundaries often occur due to misunderstandings in the transmission of instructions, feedback</w:t>
      </w:r>
      <w:r w:rsidR="004C03AA">
        <w:rPr>
          <w:rFonts w:ascii="Arial" w:hAnsi="Arial" w:cs="Arial"/>
        </w:rPr>
        <w:t>,</w:t>
      </w:r>
      <w:r w:rsidRPr="007310DF">
        <w:rPr>
          <w:rFonts w:ascii="Arial" w:hAnsi="Arial" w:cs="Arial"/>
        </w:rPr>
        <w:t xml:space="preserve"> or even negotiations</w:t>
      </w:r>
      <w:r w:rsidR="0022639C" w:rsidRPr="0022639C">
        <w:rPr>
          <w:rFonts w:ascii="Arial" w:hAnsi="Arial" w:cs="Arial"/>
        </w:rPr>
        <w:t>(Deloitte, 2023)</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Such conflicting cultural forces create different perceptions of leadership, teamwork, negotiation, and customer interactions. These cultural differences are subtle and require a responsive approach to successful entry and long-term operations of a company in India</w:t>
      </w:r>
      <w:r w:rsidR="0022639C" w:rsidRPr="0022639C">
        <w:rPr>
          <w:rFonts w:ascii="Arial" w:hAnsi="Arial" w:cs="Arial"/>
        </w:rPr>
        <w:t>(PwC, 2024)</w:t>
      </w:r>
      <w:r w:rsidRPr="007310DF">
        <w:rPr>
          <w:rFonts w:ascii="Arial" w:hAnsi="Arial" w:cs="Arial"/>
        </w:rPr>
        <w:t>.</w:t>
      </w:r>
    </w:p>
    <w:p w:rsidR="00CE598E" w:rsidRPr="007310DF" w:rsidRDefault="00CE598E" w:rsidP="006A628B">
      <w:pPr>
        <w:pStyle w:val="Heading2"/>
      </w:pPr>
      <w:bookmarkStart w:id="29" w:name="_Toc215312863"/>
      <w:r w:rsidRPr="007310DF">
        <w:t>4.2 Impact of Cultural Differences on Market Entry Strategy</w:t>
      </w:r>
      <w:bookmarkEnd w:id="29"/>
    </w:p>
    <w:p w:rsidR="00F21D8B" w:rsidRPr="007310DF" w:rsidRDefault="00F21D8B" w:rsidP="007310DF">
      <w:pPr>
        <w:spacing w:line="360" w:lineRule="auto"/>
        <w:jc w:val="both"/>
        <w:rPr>
          <w:rFonts w:ascii="Arial" w:hAnsi="Arial" w:cs="Arial"/>
        </w:rPr>
      </w:pPr>
      <w:r w:rsidRPr="007310DF">
        <w:rPr>
          <w:rFonts w:ascii="Arial" w:hAnsi="Arial" w:cs="Arial"/>
        </w:rPr>
        <w:t xml:space="preserve">The cultural difference between the United Kingdom and India has </w:t>
      </w:r>
      <w:r w:rsidR="004C03AA">
        <w:rPr>
          <w:rFonts w:ascii="Arial" w:hAnsi="Arial" w:cs="Arial"/>
        </w:rPr>
        <w:t>a direct effect on market entry strategies, selection,</w:t>
      </w:r>
      <w:r w:rsidRPr="007310DF">
        <w:rPr>
          <w:rFonts w:ascii="Arial" w:hAnsi="Arial" w:cs="Arial"/>
        </w:rPr>
        <w:t xml:space="preserve"> and implementation. Specifically, the high-power distance nature of the Indian society reinforces the need to form a partnership or joint venture with already established local companies; these organisations already have invested structures, influence, and connections in regulatory and healthcare systems</w:t>
      </w:r>
      <w:r w:rsidR="00251DE4" w:rsidRPr="00251DE4">
        <w:rPr>
          <w:rFonts w:ascii="Arial" w:hAnsi="Arial" w:cs="Arial"/>
        </w:rPr>
        <w:t>(Hill and Hult, 2023)</w:t>
      </w:r>
      <w:r w:rsidRPr="007310DF">
        <w:rPr>
          <w:rFonts w:ascii="Arial" w:hAnsi="Arial" w:cs="Arial"/>
        </w:rPr>
        <w:t xml:space="preserve">. The cultural friction can be mitigated by having local partners </w:t>
      </w:r>
      <w:r w:rsidR="004C03AA">
        <w:rPr>
          <w:rFonts w:ascii="Arial" w:hAnsi="Arial" w:cs="Arial"/>
        </w:rPr>
        <w:t>who</w:t>
      </w:r>
      <w:r w:rsidRPr="007310DF">
        <w:rPr>
          <w:rFonts w:ascii="Arial" w:hAnsi="Arial" w:cs="Arial"/>
        </w:rPr>
        <w:t xml:space="preserve"> will make interaction with the governmental agencies, hospital authorities, and regional distributors more efficient</w:t>
      </w:r>
      <w:r w:rsidR="0022639C" w:rsidRPr="0022639C">
        <w:rPr>
          <w:rFonts w:ascii="Arial" w:hAnsi="Arial" w:cs="Arial"/>
        </w:rPr>
        <w:t>(PwC, 2024)</w:t>
      </w:r>
      <w:r w:rsidRPr="007310DF">
        <w:rPr>
          <w:rFonts w:ascii="Arial" w:hAnsi="Arial" w:cs="Arial"/>
        </w:rPr>
        <w:t>.</w:t>
      </w:r>
    </w:p>
    <w:p w:rsidR="00F21D8B" w:rsidRPr="007310DF" w:rsidRDefault="00817459" w:rsidP="007310DF">
      <w:pPr>
        <w:spacing w:line="360" w:lineRule="auto"/>
        <w:jc w:val="both"/>
        <w:rPr>
          <w:rFonts w:ascii="Arial" w:hAnsi="Arial" w:cs="Arial"/>
        </w:rPr>
      </w:pPr>
      <w:r w:rsidRPr="007310DF">
        <w:rPr>
          <w:rFonts w:ascii="Arial" w:hAnsi="Arial" w:cs="Arial"/>
        </w:rPr>
        <w:t xml:space="preserve">The culture of collectivism has a huge impact on the negotiation styles of India and decision-making, whereby trust-building is more important than information exchange. There are other partners who are local and know the dynamics of relations and strategic entry that firms should rely on to improve collaboration. Moreover, cultural hierarchies and communication patterns influence the workforce management in India, requiring the expatriate managers to become </w:t>
      </w:r>
      <w:r w:rsidR="004C03AA">
        <w:rPr>
          <w:rFonts w:ascii="Arial" w:hAnsi="Arial" w:cs="Arial"/>
        </w:rPr>
        <w:t>egalitarian</w:t>
      </w:r>
      <w:r w:rsidR="0022639C" w:rsidRPr="0022639C">
        <w:rPr>
          <w:rFonts w:ascii="Arial" w:hAnsi="Arial" w:cs="Arial"/>
        </w:rPr>
        <w:t>(Deloitte, 2023)</w:t>
      </w:r>
      <w:r w:rsidRPr="007310DF">
        <w:rPr>
          <w:rFonts w:ascii="Arial" w:hAnsi="Arial" w:cs="Arial"/>
        </w:rPr>
        <w:t xml:space="preserve">. In order to alleviate misconceptions, customized </w:t>
      </w:r>
      <w:r w:rsidR="004C03AA">
        <w:rPr>
          <w:rFonts w:ascii="Arial" w:hAnsi="Arial" w:cs="Arial"/>
        </w:rPr>
        <w:t>human resource</w:t>
      </w:r>
      <w:r w:rsidRPr="007310DF">
        <w:rPr>
          <w:rFonts w:ascii="Arial" w:hAnsi="Arial" w:cs="Arial"/>
        </w:rPr>
        <w:t xml:space="preserve"> and recruitment practices should be </w:t>
      </w:r>
      <w:r w:rsidRPr="007310DF">
        <w:rPr>
          <w:rFonts w:ascii="Arial" w:hAnsi="Arial" w:cs="Arial"/>
        </w:rPr>
        <w:lastRenderedPageBreak/>
        <w:t>suggested</w:t>
      </w:r>
      <w:r w:rsidR="0022639C" w:rsidRPr="0022639C">
        <w:rPr>
          <w:rFonts w:ascii="Arial" w:hAnsi="Arial" w:cs="Arial"/>
        </w:rPr>
        <w:t>(Srinivasan and Venkatraman, 2020)</w:t>
      </w:r>
      <w:r w:rsidRPr="007310DF">
        <w:rPr>
          <w:rFonts w:ascii="Arial" w:hAnsi="Arial" w:cs="Arial"/>
        </w:rPr>
        <w:t>. Cultural issues in the healthcare sector dictate that family participation in the decision-making process is widely used, and firms will have to hire good medical liaisons and relationship-focused marketing strategies that are collectivist and long-term oriented, as is the case in the Indian market</w:t>
      </w:r>
      <w:r w:rsidR="0022639C" w:rsidRPr="0022639C">
        <w:rPr>
          <w:rFonts w:ascii="Arial" w:hAnsi="Arial" w:cs="Arial"/>
        </w:rPr>
        <w:t>(PwC, 2024)</w:t>
      </w:r>
      <w:r w:rsidRPr="007310DF">
        <w:rPr>
          <w:rFonts w:ascii="Arial" w:hAnsi="Arial" w:cs="Arial"/>
        </w:rPr>
        <w:t>.</w:t>
      </w:r>
    </w:p>
    <w:p w:rsidR="00F21D8B" w:rsidRDefault="00F21D8B" w:rsidP="007310DF">
      <w:pPr>
        <w:spacing w:line="360" w:lineRule="auto"/>
        <w:jc w:val="both"/>
        <w:rPr>
          <w:rFonts w:ascii="Arial" w:hAnsi="Arial" w:cs="Arial"/>
        </w:rPr>
      </w:pPr>
      <w:r w:rsidRPr="007310DF">
        <w:rPr>
          <w:rFonts w:ascii="Arial" w:hAnsi="Arial" w:cs="Arial"/>
        </w:rPr>
        <w:t xml:space="preserve">Overall, the cultural dimensions support a hybrid entry mode that combines wholly owned subsidiaries (to guarantee high levels of control over operations) with alliances or joint ventures (to facilitate the process of alignment of cultures, </w:t>
      </w:r>
      <w:r w:rsidR="004C03AA">
        <w:rPr>
          <w:rFonts w:ascii="Arial" w:hAnsi="Arial" w:cs="Arial"/>
        </w:rPr>
        <w:t>relationships</w:t>
      </w:r>
      <w:r w:rsidRPr="007310DF">
        <w:rPr>
          <w:rFonts w:ascii="Arial" w:hAnsi="Arial" w:cs="Arial"/>
        </w:rPr>
        <w:t>, and easier penetration of the market)</w:t>
      </w:r>
      <w:r w:rsidR="0022639C" w:rsidRPr="0022639C">
        <w:rPr>
          <w:rFonts w:ascii="Arial" w:hAnsi="Arial" w:cs="Arial"/>
        </w:rPr>
        <w:t>(Deloitte, 2023)</w:t>
      </w:r>
      <w:r w:rsidRPr="007310DF">
        <w:rPr>
          <w:rFonts w:ascii="Arial" w:hAnsi="Arial" w:cs="Arial"/>
        </w:rPr>
        <w:t>.</w:t>
      </w:r>
    </w:p>
    <w:p w:rsidR="00892329" w:rsidRDefault="00892329" w:rsidP="00892329">
      <w:pPr>
        <w:keepNext/>
        <w:spacing w:line="360" w:lineRule="auto"/>
        <w:jc w:val="center"/>
      </w:pPr>
      <w:r>
        <w:rPr>
          <w:noProof/>
          <w:lang w:bidi="hi-IN"/>
        </w:rPr>
        <w:drawing>
          <wp:inline distT="0" distB="0" distL="0" distR="0">
            <wp:extent cx="5943600" cy="4107815"/>
            <wp:effectExtent l="0" t="0" r="0" b="6985"/>
            <wp:docPr id="1164731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4107815"/>
                    </a:xfrm>
                    <a:prstGeom prst="rect">
                      <a:avLst/>
                    </a:prstGeom>
                    <a:noFill/>
                    <a:ln>
                      <a:noFill/>
                    </a:ln>
                  </pic:spPr>
                </pic:pic>
              </a:graphicData>
            </a:graphic>
          </wp:inline>
        </w:drawing>
      </w:r>
    </w:p>
    <w:p w:rsidR="00892329" w:rsidRPr="00892329" w:rsidRDefault="00892329" w:rsidP="00892329">
      <w:pPr>
        <w:pStyle w:val="Caption"/>
        <w:jc w:val="center"/>
        <w:rPr>
          <w:rFonts w:ascii="Arial" w:hAnsi="Arial" w:cs="Arial"/>
          <w:sz w:val="24"/>
          <w:szCs w:val="24"/>
        </w:rPr>
      </w:pPr>
      <w:r w:rsidRPr="00892329">
        <w:rPr>
          <w:rFonts w:ascii="Arial" w:hAnsi="Arial" w:cs="Arial"/>
          <w:sz w:val="24"/>
          <w:szCs w:val="24"/>
        </w:rPr>
        <w:t xml:space="preserve">Figure </w:t>
      </w:r>
      <w:r w:rsidR="00AA71DE" w:rsidRPr="00892329">
        <w:rPr>
          <w:rFonts w:ascii="Arial" w:hAnsi="Arial" w:cs="Arial"/>
          <w:sz w:val="24"/>
          <w:szCs w:val="24"/>
        </w:rPr>
        <w:fldChar w:fldCharType="begin"/>
      </w:r>
      <w:r w:rsidRPr="00892329">
        <w:rPr>
          <w:rFonts w:ascii="Arial" w:hAnsi="Arial" w:cs="Arial"/>
          <w:sz w:val="24"/>
          <w:szCs w:val="24"/>
        </w:rPr>
        <w:instrText xml:space="preserve"> SEQ Figure \* ARABIC </w:instrText>
      </w:r>
      <w:r w:rsidR="00AA71DE" w:rsidRPr="00892329">
        <w:rPr>
          <w:rFonts w:ascii="Arial" w:hAnsi="Arial" w:cs="Arial"/>
          <w:sz w:val="24"/>
          <w:szCs w:val="24"/>
        </w:rPr>
        <w:fldChar w:fldCharType="separate"/>
      </w:r>
      <w:r>
        <w:rPr>
          <w:rFonts w:ascii="Arial" w:hAnsi="Arial" w:cs="Arial"/>
          <w:noProof/>
          <w:sz w:val="24"/>
          <w:szCs w:val="24"/>
        </w:rPr>
        <w:t>3</w:t>
      </w:r>
      <w:r w:rsidR="00AA71DE" w:rsidRPr="00892329">
        <w:rPr>
          <w:rFonts w:ascii="Arial" w:hAnsi="Arial" w:cs="Arial"/>
          <w:sz w:val="24"/>
          <w:szCs w:val="24"/>
        </w:rPr>
        <w:fldChar w:fldCharType="end"/>
      </w:r>
      <w:r w:rsidRPr="00892329">
        <w:rPr>
          <w:rFonts w:ascii="Arial" w:hAnsi="Arial" w:cs="Arial"/>
          <w:sz w:val="24"/>
          <w:szCs w:val="24"/>
        </w:rPr>
        <w:t xml:space="preserve"> Hofstede Cultural Comparison Between the UK and India.</w:t>
      </w:r>
    </w:p>
    <w:p w:rsidR="00CE598E" w:rsidRPr="007310DF" w:rsidRDefault="00CE598E" w:rsidP="006A628B">
      <w:pPr>
        <w:pStyle w:val="Heading2"/>
      </w:pPr>
      <w:bookmarkStart w:id="30" w:name="_Toc215312864"/>
      <w:r w:rsidRPr="007310DF">
        <w:t>4.3 Impact of Cultural Differences on Long-Term Market Success</w:t>
      </w:r>
      <w:bookmarkEnd w:id="30"/>
    </w:p>
    <w:p w:rsidR="00F21D8B" w:rsidRPr="007310DF" w:rsidRDefault="00F21D8B" w:rsidP="007310DF">
      <w:pPr>
        <w:spacing w:line="360" w:lineRule="auto"/>
        <w:jc w:val="both"/>
        <w:rPr>
          <w:rFonts w:ascii="Arial" w:hAnsi="Arial" w:cs="Arial"/>
        </w:rPr>
      </w:pPr>
      <w:r w:rsidRPr="007310DF">
        <w:rPr>
          <w:rFonts w:ascii="Arial" w:hAnsi="Arial" w:cs="Arial"/>
        </w:rPr>
        <w:t xml:space="preserve">Cultural differences not only have an influence on the market entry strategy but also define the ability of a firm to realize </w:t>
      </w:r>
      <w:r w:rsidR="004C03AA">
        <w:rPr>
          <w:rFonts w:ascii="Arial" w:hAnsi="Arial" w:cs="Arial"/>
        </w:rPr>
        <w:t>long-term success in the Indian</w:t>
      </w:r>
      <w:r w:rsidRPr="007310DF">
        <w:rPr>
          <w:rFonts w:ascii="Arial" w:hAnsi="Arial" w:cs="Arial"/>
        </w:rPr>
        <w:t xml:space="preserve"> market. The most </w:t>
      </w:r>
      <w:r w:rsidRPr="007310DF">
        <w:rPr>
          <w:rFonts w:ascii="Arial" w:hAnsi="Arial" w:cs="Arial"/>
        </w:rPr>
        <w:lastRenderedPageBreak/>
        <w:t>prominent of these influences is the fact that relationship-building is of paramount importance in the Indian business environment</w:t>
      </w:r>
      <w:r w:rsidR="0022639C" w:rsidRPr="0022639C">
        <w:rPr>
          <w:rFonts w:ascii="Arial" w:hAnsi="Arial" w:cs="Arial"/>
        </w:rPr>
        <w:t>(PwC, 2024)</w:t>
      </w:r>
      <w:r w:rsidRPr="007310DF">
        <w:rPr>
          <w:rFonts w:ascii="Arial" w:hAnsi="Arial" w:cs="Arial"/>
        </w:rPr>
        <w:t>. The development of trust between the company and the regulators, healthcare providers, distributors, and local communities is the key to long-term success</w:t>
      </w:r>
      <w:r w:rsidR="0022639C" w:rsidRPr="0022639C">
        <w:rPr>
          <w:rFonts w:ascii="Arial" w:hAnsi="Arial" w:cs="Arial"/>
        </w:rPr>
        <w:t>(Srinivasan and Venkatraman, 2020)</w:t>
      </w:r>
      <w:r w:rsidRPr="007310DF">
        <w:rPr>
          <w:rFonts w:ascii="Arial" w:hAnsi="Arial" w:cs="Arial"/>
        </w:rPr>
        <w:t>. This relational focus requires the companies to focus on the aspect of regular interactions, openness, and cooperative efforts to make their credibility stronger</w:t>
      </w:r>
      <w:r w:rsidR="0022639C" w:rsidRPr="0022639C">
        <w:rPr>
          <w:rFonts w:ascii="Arial" w:hAnsi="Arial" w:cs="Arial"/>
        </w:rPr>
        <w:t>(Deloitte, 2023)</w:t>
      </w:r>
      <w:r w:rsidRPr="007310DF">
        <w:rPr>
          <w:rFonts w:ascii="Arial" w:hAnsi="Arial" w:cs="Arial"/>
        </w:rPr>
        <w:t>.</w:t>
      </w:r>
    </w:p>
    <w:p w:rsidR="00F21D8B" w:rsidRPr="007310DF" w:rsidRDefault="00817459" w:rsidP="007310DF">
      <w:pPr>
        <w:spacing w:line="360" w:lineRule="auto"/>
        <w:jc w:val="both"/>
        <w:rPr>
          <w:rFonts w:ascii="Arial" w:hAnsi="Arial" w:cs="Arial"/>
        </w:rPr>
      </w:pPr>
      <w:r w:rsidRPr="007310DF">
        <w:rPr>
          <w:rFonts w:ascii="Arial" w:hAnsi="Arial" w:cs="Arial"/>
        </w:rPr>
        <w:t xml:space="preserve">British and Indian human-resource management needs the adjustment of leadership styles to motivate and improve </w:t>
      </w:r>
      <w:r w:rsidR="004C03AA">
        <w:rPr>
          <w:rFonts w:ascii="Arial" w:hAnsi="Arial" w:cs="Arial"/>
        </w:rPr>
        <w:t xml:space="preserve">the </w:t>
      </w:r>
      <w:r w:rsidRPr="007310DF">
        <w:rPr>
          <w:rFonts w:ascii="Arial" w:hAnsi="Arial" w:cs="Arial"/>
        </w:rPr>
        <w:t>performance of the employees. Whereas the British companies encourage autonomy and horizontal structures, the Indian employees prefer a leadership structure and administration. These differences can be achieved through training on cross-cultural communication</w:t>
      </w:r>
      <w:r w:rsidR="0022639C" w:rsidRPr="0022639C">
        <w:rPr>
          <w:rFonts w:ascii="Arial" w:hAnsi="Arial" w:cs="Arial"/>
        </w:rPr>
        <w:t>(Hill and Hult, 2023)</w:t>
      </w:r>
      <w:r w:rsidRPr="007310DF">
        <w:rPr>
          <w:rFonts w:ascii="Arial" w:hAnsi="Arial" w:cs="Arial"/>
        </w:rPr>
        <w:t>. Also, high-context communication in India can bring about misunderstandings among the British expatriates</w:t>
      </w:r>
      <w:r w:rsidR="004C03AA">
        <w:rPr>
          <w:rFonts w:ascii="Arial" w:hAnsi="Arial" w:cs="Arial"/>
        </w:rPr>
        <w:t>,</w:t>
      </w:r>
      <w:r w:rsidRPr="007310DF">
        <w:rPr>
          <w:rFonts w:ascii="Arial" w:hAnsi="Arial" w:cs="Arial"/>
        </w:rPr>
        <w:t xml:space="preserve"> thus requiring constant cultural training. In the case of pharmaceutical companies, cultural norms can be used to build brand loyalty and enhance treatment adherence in various groups of patients through understanding of cultural norms and implementation of specific initiatives focused on patient education</w:t>
      </w:r>
      <w:r w:rsidR="0022639C" w:rsidRPr="0022639C">
        <w:rPr>
          <w:rFonts w:ascii="Arial" w:hAnsi="Arial" w:cs="Arial"/>
        </w:rPr>
        <w:t>(PwC, 2024)</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 xml:space="preserve">Finally, the only way to achieve long-term success in India is to make a firm </w:t>
      </w:r>
      <w:r w:rsidR="004C03AA">
        <w:rPr>
          <w:rFonts w:ascii="Arial" w:hAnsi="Arial" w:cs="Arial"/>
        </w:rPr>
        <w:t>that combines</w:t>
      </w:r>
      <w:r w:rsidRPr="007310DF">
        <w:rPr>
          <w:rFonts w:ascii="Arial" w:hAnsi="Arial" w:cs="Arial"/>
        </w:rPr>
        <w:t xml:space="preserve"> both global standards and the local appreciation of the culture. </w:t>
      </w:r>
      <w:r w:rsidR="004C03AA">
        <w:rPr>
          <w:rFonts w:ascii="Arial" w:hAnsi="Arial" w:cs="Arial"/>
        </w:rPr>
        <w:t xml:space="preserve">Organisations that adjust their leadership, marketing, communication, and stakeholder-engagement practices to the Indian cultural environment have better chances of attaining sustainable growth and gaining a </w:t>
      </w:r>
      <w:r w:rsidRPr="007310DF">
        <w:rPr>
          <w:rFonts w:ascii="Arial" w:hAnsi="Arial" w:cs="Arial"/>
        </w:rPr>
        <w:t>competitive advantage</w:t>
      </w:r>
      <w:r w:rsidR="0022639C" w:rsidRPr="0022639C">
        <w:rPr>
          <w:rFonts w:ascii="Arial" w:hAnsi="Arial" w:cs="Arial"/>
        </w:rPr>
        <w:t>(Deloitte, 2023)</w:t>
      </w:r>
      <w:r w:rsidRPr="007310DF">
        <w:rPr>
          <w:rFonts w:ascii="Arial" w:hAnsi="Arial" w:cs="Arial"/>
        </w:rPr>
        <w:t>.</w:t>
      </w:r>
    </w:p>
    <w:p w:rsidR="00CE598E" w:rsidRPr="007310DF" w:rsidRDefault="00CE598E" w:rsidP="006A628B">
      <w:pPr>
        <w:pStyle w:val="Heading1"/>
      </w:pPr>
      <w:bookmarkStart w:id="31" w:name="_Toc215312865"/>
      <w:r w:rsidRPr="007310DF">
        <w:t>5. Recommendations for SOP Adjustments</w:t>
      </w:r>
      <w:bookmarkEnd w:id="31"/>
    </w:p>
    <w:p w:rsidR="00817459" w:rsidRPr="007310DF" w:rsidRDefault="00817459" w:rsidP="007310DF">
      <w:pPr>
        <w:spacing w:line="360" w:lineRule="auto"/>
        <w:jc w:val="both"/>
        <w:rPr>
          <w:rFonts w:ascii="Arial" w:hAnsi="Arial" w:cs="Arial"/>
        </w:rPr>
      </w:pPr>
      <w:r w:rsidRPr="007310DF">
        <w:rPr>
          <w:rFonts w:ascii="Arial" w:hAnsi="Arial" w:cs="Arial"/>
        </w:rPr>
        <w:t>To be in business in India successfully, the company will have to match its Standard Operating Procedures (SOPs) with the OLI framework and understand cultural differences. Despite the excellent global structures of the organization, localization and attention to cultural requirements will be required when entering the Indian market. The document also determines three key SOP changes that are important in improving performance, regulatory compliance, and market acceptance in India</w:t>
      </w:r>
      <w:r w:rsidR="004F4F9D" w:rsidRPr="004F4F9D">
        <w:rPr>
          <w:rFonts w:ascii="Arial" w:hAnsi="Arial" w:cs="Arial"/>
        </w:rPr>
        <w:t>(Hofstede Insights, 2024)</w:t>
      </w:r>
      <w:r w:rsidRPr="007310DF">
        <w:rPr>
          <w:rFonts w:ascii="Arial" w:hAnsi="Arial" w:cs="Arial"/>
        </w:rPr>
        <w:t>.</w:t>
      </w:r>
    </w:p>
    <w:p w:rsidR="00CE598E" w:rsidRPr="007310DF" w:rsidRDefault="00CE598E" w:rsidP="006A628B">
      <w:pPr>
        <w:pStyle w:val="Heading2"/>
      </w:pPr>
      <w:bookmarkStart w:id="32" w:name="_Toc215312866"/>
      <w:r w:rsidRPr="007310DF">
        <w:lastRenderedPageBreak/>
        <w:t>5.1 SOP Adjustment 1: Localised Human Resource and Leadership Practices</w:t>
      </w:r>
      <w:bookmarkEnd w:id="32"/>
    </w:p>
    <w:p w:rsidR="00817459" w:rsidRPr="007310DF" w:rsidRDefault="00817459" w:rsidP="007310DF">
      <w:pPr>
        <w:spacing w:line="360" w:lineRule="auto"/>
        <w:jc w:val="both"/>
        <w:rPr>
          <w:rFonts w:ascii="Arial" w:hAnsi="Arial" w:cs="Arial"/>
        </w:rPr>
      </w:pPr>
      <w:r w:rsidRPr="007310DF">
        <w:rPr>
          <w:rFonts w:ascii="Arial" w:hAnsi="Arial" w:cs="Arial"/>
        </w:rPr>
        <w:t xml:space="preserve">Among the key recommendations that will change how the company operates in India, the localization of human </w:t>
      </w:r>
      <w:r w:rsidR="004C03AA">
        <w:rPr>
          <w:rFonts w:ascii="Arial" w:hAnsi="Arial" w:cs="Arial"/>
        </w:rPr>
        <w:t>resources</w:t>
      </w:r>
      <w:r w:rsidRPr="007310DF">
        <w:rPr>
          <w:rFonts w:ascii="Arial" w:hAnsi="Arial" w:cs="Arial"/>
        </w:rPr>
        <w:t xml:space="preserve"> and leadership practices can be highlighted because the difference in culture between the UK and India is significant</w:t>
      </w:r>
      <w:r w:rsidR="004F4F9D" w:rsidRPr="004F4F9D">
        <w:rPr>
          <w:rFonts w:ascii="Arial" w:hAnsi="Arial" w:cs="Arial"/>
        </w:rPr>
        <w:t>(Dunning and Lundan, 2021)</w:t>
      </w:r>
      <w:r w:rsidRPr="007310DF">
        <w:rPr>
          <w:rFonts w:ascii="Arial" w:hAnsi="Arial" w:cs="Arial"/>
        </w:rPr>
        <w:t>. Indian workplaces are normally hierarchical</w:t>
      </w:r>
      <w:r w:rsidR="004C03AA">
        <w:rPr>
          <w:rFonts w:ascii="Arial" w:hAnsi="Arial" w:cs="Arial"/>
        </w:rPr>
        <w:t>, with workers preferring to have guidelines and well-defined</w:t>
      </w:r>
      <w:r w:rsidRPr="007310DF">
        <w:rPr>
          <w:rFonts w:ascii="Arial" w:hAnsi="Arial" w:cs="Arial"/>
        </w:rPr>
        <w:t xml:space="preserve"> roles. Consequently, the existing standard operating procedures will be amended to include effective communication methods and enhanced control of the managers. The restructuring of the HR procedures should specify the reporting, decision-making, and communication procedures to cause less ambiguity and ensure stability, which is compatible with the Indian culture of order and transparency</w:t>
      </w:r>
      <w:r w:rsidR="004F4F9D" w:rsidRPr="004F4F9D">
        <w:rPr>
          <w:rFonts w:ascii="Arial" w:hAnsi="Arial" w:cs="Arial"/>
        </w:rPr>
        <w:t>(Hofstede Insights, 2024)</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Another important adaptation that is critical is the incorporation of culturally oriented training programmes. The United Kingdom or European expatriate managers must be compelled to take cultural assimilation training</w:t>
      </w:r>
      <w:r w:rsidR="004C03AA">
        <w:rPr>
          <w:rFonts w:ascii="Arial" w:hAnsi="Arial" w:cs="Arial"/>
        </w:rPr>
        <w:t>,</w:t>
      </w:r>
      <w:r w:rsidRPr="007310DF">
        <w:rPr>
          <w:rFonts w:ascii="Arial" w:hAnsi="Arial" w:cs="Arial"/>
        </w:rPr>
        <w:t xml:space="preserve"> which will take into consideration the Indian communication patterns, negotiating various behaviours and employee expectations</w:t>
      </w:r>
      <w:r w:rsidR="004F4F9D" w:rsidRPr="004F4F9D">
        <w:rPr>
          <w:rFonts w:ascii="Arial" w:hAnsi="Arial" w:cs="Arial"/>
        </w:rPr>
        <w:t>(Srinivasan and Venkatraman, 2020)</w:t>
      </w:r>
      <w:r w:rsidRPr="007310DF">
        <w:rPr>
          <w:rFonts w:ascii="Arial" w:hAnsi="Arial" w:cs="Arial"/>
        </w:rPr>
        <w:t>. Similarly, local workers should also be taught about organisational values all over the world, norms of compliance, and corporate ethical values. The two ways of training are the paths to mutual understanding and the way to introduce the known integration between global and local teams</w:t>
      </w:r>
      <w:r w:rsidR="004F4F9D" w:rsidRPr="004F4F9D">
        <w:rPr>
          <w:rFonts w:ascii="Arial" w:hAnsi="Arial" w:cs="Arial"/>
        </w:rPr>
        <w:t>(Dunning and Lundan, 2021)</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Its performance-management SOP should also be revised by the organisation. Performance appraisals in the United Kingdom mostly focus on personal performance and personal development. In India, a relationship and supportive style could prove more effective</w:t>
      </w:r>
      <w:r w:rsidR="004F4F9D" w:rsidRPr="004F4F9D">
        <w:rPr>
          <w:rFonts w:ascii="Arial" w:hAnsi="Arial" w:cs="Arial"/>
        </w:rPr>
        <w:t>(Hofstede Insights, 2024)</w:t>
      </w:r>
      <w:r w:rsidRPr="007310DF">
        <w:rPr>
          <w:rFonts w:ascii="Arial" w:hAnsi="Arial" w:cs="Arial"/>
        </w:rPr>
        <w:t>. Performance appraisals must hence include mentorship, feedback throughout</w:t>
      </w:r>
      <w:r w:rsidR="004C03AA">
        <w:rPr>
          <w:rFonts w:ascii="Arial" w:hAnsi="Arial" w:cs="Arial"/>
        </w:rPr>
        <w:t>, and guidance-based</w:t>
      </w:r>
      <w:r w:rsidRPr="007310DF">
        <w:rPr>
          <w:rFonts w:ascii="Arial" w:hAnsi="Arial" w:cs="Arial"/>
        </w:rPr>
        <w:t xml:space="preserve"> leadership. The collective recognition programs that would recognize the group efforts would not be received so well in an individualistic cultural setting</w:t>
      </w:r>
      <w:r w:rsidR="004F4F9D" w:rsidRPr="004F4F9D">
        <w:rPr>
          <w:rFonts w:ascii="Arial" w:hAnsi="Arial" w:cs="Arial"/>
        </w:rPr>
        <w:t>(Srinivasan and Venkatraman, 2020)</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lastRenderedPageBreak/>
        <w:t>Lastly, the recruitment SOPs should highlight the strategic value of finding qualified local managers who have a close knowledge of the regulatory environment, the business culture, and cultural peculiarities. Local managers also provide contextual sensitivity that enables the organisation to negotiate with stakeholders in complex interactions</w:t>
      </w:r>
      <w:r w:rsidR="004C03AA">
        <w:rPr>
          <w:rFonts w:ascii="Arial" w:hAnsi="Arial" w:cs="Arial"/>
        </w:rPr>
        <w:t>,</w:t>
      </w:r>
      <w:r w:rsidRPr="007310DF">
        <w:rPr>
          <w:rFonts w:ascii="Arial" w:hAnsi="Arial" w:cs="Arial"/>
        </w:rPr>
        <w:t xml:space="preserve"> such as </w:t>
      </w:r>
      <w:r w:rsidR="004C03AA">
        <w:rPr>
          <w:rFonts w:ascii="Arial" w:hAnsi="Arial" w:cs="Arial"/>
        </w:rPr>
        <w:t>interactions</w:t>
      </w:r>
      <w:r w:rsidRPr="007310DF">
        <w:rPr>
          <w:rFonts w:ascii="Arial" w:hAnsi="Arial" w:cs="Arial"/>
        </w:rPr>
        <w:t xml:space="preserve"> with the government, hospitals</w:t>
      </w:r>
      <w:r w:rsidR="004C03AA">
        <w:rPr>
          <w:rFonts w:ascii="Arial" w:hAnsi="Arial" w:cs="Arial"/>
        </w:rPr>
        <w:t>,</w:t>
      </w:r>
      <w:r w:rsidRPr="007310DF">
        <w:rPr>
          <w:rFonts w:ascii="Arial" w:hAnsi="Arial" w:cs="Arial"/>
        </w:rPr>
        <w:t xml:space="preserve"> and pharmaceutical distributors</w:t>
      </w:r>
      <w:r w:rsidR="004F4F9D" w:rsidRPr="004F4F9D">
        <w:rPr>
          <w:rFonts w:ascii="Arial" w:hAnsi="Arial" w:cs="Arial"/>
        </w:rPr>
        <w:t>(Hofstede Insights, 2024)</w:t>
      </w:r>
      <w:r w:rsidR="004C03AA">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 xml:space="preserve">All in all, the adjustment of HR and leadership SOPs so as to align them with the cultural context of India will help support </w:t>
      </w:r>
      <w:r w:rsidR="004C03AA">
        <w:rPr>
          <w:rFonts w:ascii="Arial" w:hAnsi="Arial" w:cs="Arial"/>
        </w:rPr>
        <w:t>employee engagement, increase the efficiency of operations, and reduce cross-cultural misapprehension, which in turn</w:t>
      </w:r>
      <w:r w:rsidRPr="007310DF">
        <w:rPr>
          <w:rFonts w:ascii="Arial" w:hAnsi="Arial" w:cs="Arial"/>
        </w:rPr>
        <w:t xml:space="preserve"> would lead to long-term success of the organisation.</w:t>
      </w:r>
    </w:p>
    <w:p w:rsidR="00CE598E" w:rsidRPr="007310DF" w:rsidRDefault="00CE598E" w:rsidP="006A628B">
      <w:pPr>
        <w:pStyle w:val="Heading2"/>
      </w:pPr>
      <w:bookmarkStart w:id="33" w:name="_Toc215312867"/>
      <w:r w:rsidRPr="007310DF">
        <w:t>5.2 SOP Adjustment 2: Localised Marketing, Patient Engagement and Market Access Strategies</w:t>
      </w:r>
      <w:bookmarkEnd w:id="33"/>
    </w:p>
    <w:p w:rsidR="00F21D8B" w:rsidRPr="007310DF" w:rsidRDefault="00F21D8B" w:rsidP="007310DF">
      <w:pPr>
        <w:spacing w:line="360" w:lineRule="auto"/>
        <w:jc w:val="both"/>
        <w:rPr>
          <w:rFonts w:ascii="Arial" w:hAnsi="Arial" w:cs="Arial"/>
        </w:rPr>
      </w:pPr>
      <w:r w:rsidRPr="007310DF">
        <w:rPr>
          <w:rFonts w:ascii="Arial" w:hAnsi="Arial" w:cs="Arial"/>
        </w:rPr>
        <w:t xml:space="preserve">The second significant Standard Operating Procedure (SOP) change is related to the marketing practice, interaction with patients, and market access policies. The cultural expectations in India have </w:t>
      </w:r>
      <w:r w:rsidR="004C03AA">
        <w:rPr>
          <w:rFonts w:ascii="Arial" w:hAnsi="Arial" w:cs="Arial"/>
        </w:rPr>
        <w:t xml:space="preserve">a </w:t>
      </w:r>
      <w:r w:rsidRPr="007310DF">
        <w:rPr>
          <w:rFonts w:ascii="Arial" w:hAnsi="Arial" w:cs="Arial"/>
        </w:rPr>
        <w:t>significant influence on decision-making in healthcare, consumer expectations, and preferences in communication</w:t>
      </w:r>
      <w:r w:rsidR="004F4F9D" w:rsidRPr="004F4F9D">
        <w:rPr>
          <w:rFonts w:ascii="Arial" w:hAnsi="Arial" w:cs="Arial"/>
        </w:rPr>
        <w:t>(Srinivasan and Venkatraman, 2020)</w:t>
      </w:r>
      <w:r w:rsidRPr="007310DF">
        <w:rPr>
          <w:rFonts w:ascii="Arial" w:hAnsi="Arial" w:cs="Arial"/>
        </w:rPr>
        <w:t xml:space="preserve">. </w:t>
      </w:r>
      <w:r w:rsidR="004C03AA">
        <w:rPr>
          <w:rFonts w:ascii="Arial" w:hAnsi="Arial" w:cs="Arial"/>
        </w:rPr>
        <w:t>The collectivist</w:t>
      </w:r>
      <w:r w:rsidRPr="007310DF">
        <w:rPr>
          <w:rFonts w:ascii="Arial" w:hAnsi="Arial" w:cs="Arial"/>
        </w:rPr>
        <w:t xml:space="preserve"> nature of the Indian society predetermines the fact that the decision on health-related issues is often made with the participation of relatives, and the level of trust in doctors and influencers is particularly high. Therefore, to re-align its marketing and patient engagement SOPs to these cultural traits, the company will have to revise its marketing and patient engagement SOPs</w:t>
      </w:r>
      <w:r w:rsidR="004F4F9D" w:rsidRPr="004F4F9D">
        <w:rPr>
          <w:rFonts w:ascii="Arial" w:hAnsi="Arial" w:cs="Arial"/>
        </w:rPr>
        <w:t>(Hofstede Insights, 2024)</w:t>
      </w:r>
      <w:r w:rsidRPr="007310DF">
        <w:rPr>
          <w:rFonts w:ascii="Arial" w:hAnsi="Arial" w:cs="Arial"/>
        </w:rPr>
        <w:t xml:space="preserve">.  </w:t>
      </w:r>
    </w:p>
    <w:p w:rsidR="00F21D8B" w:rsidRPr="007310DF" w:rsidRDefault="00817459" w:rsidP="007310DF">
      <w:pPr>
        <w:spacing w:line="360" w:lineRule="auto"/>
        <w:jc w:val="both"/>
        <w:rPr>
          <w:rFonts w:ascii="Arial" w:hAnsi="Arial" w:cs="Arial"/>
        </w:rPr>
      </w:pPr>
      <w:r w:rsidRPr="007310DF">
        <w:rPr>
          <w:rFonts w:ascii="Arial" w:hAnsi="Arial" w:cs="Arial"/>
        </w:rPr>
        <w:t>The most effective modes of marketing SOPs in India are family and community outreach</w:t>
      </w:r>
      <w:r w:rsidR="004C03AA">
        <w:rPr>
          <w:rFonts w:ascii="Arial" w:hAnsi="Arial" w:cs="Arial"/>
        </w:rPr>
        <w:t>, since Indian patients depend on family recommendations and medical practitioners more than their counterparts in the UK, who exercise autonomous decision-making</w:t>
      </w:r>
      <w:r w:rsidRPr="007310DF">
        <w:rPr>
          <w:rFonts w:ascii="Arial" w:hAnsi="Arial" w:cs="Arial"/>
        </w:rPr>
        <w:t xml:space="preserve">. Patients and their support groups have particular needs </w:t>
      </w:r>
      <w:r w:rsidR="004C03AA">
        <w:rPr>
          <w:rFonts w:ascii="Arial" w:hAnsi="Arial" w:cs="Arial"/>
        </w:rPr>
        <w:t>that</w:t>
      </w:r>
      <w:r w:rsidRPr="007310DF">
        <w:rPr>
          <w:rFonts w:ascii="Arial" w:hAnsi="Arial" w:cs="Arial"/>
        </w:rPr>
        <w:t xml:space="preserve"> should be discussed during educational campaigns and implemented using multilingual materials to increase accessibility</w:t>
      </w:r>
      <w:r w:rsidR="004F4F9D" w:rsidRPr="004F4F9D">
        <w:rPr>
          <w:rFonts w:ascii="Arial" w:hAnsi="Arial" w:cs="Arial"/>
        </w:rPr>
        <w:t>(Hofstede Insights, 2024)</w:t>
      </w:r>
      <w:r w:rsidRPr="007310DF">
        <w:rPr>
          <w:rFonts w:ascii="Arial" w:hAnsi="Arial" w:cs="Arial"/>
        </w:rPr>
        <w:t xml:space="preserve">. The involvement of physicians is also important, as they greatly affect patient preferences and choice of treatment, and </w:t>
      </w:r>
      <w:r w:rsidRPr="007310DF">
        <w:rPr>
          <w:rFonts w:ascii="Arial" w:hAnsi="Arial" w:cs="Arial"/>
        </w:rPr>
        <w:lastRenderedPageBreak/>
        <w:t xml:space="preserve">therefore, SOPs must have methods of training healthcare providers on different platforms. Also, SOPs should be able to respond to affordability issues of a large population of Indians, including requirements to provide patient-access initiatives, financial aid, and collaborations that would aid in reaching more patients with </w:t>
      </w:r>
      <w:r w:rsidR="004C03AA">
        <w:rPr>
          <w:rFonts w:ascii="Arial" w:hAnsi="Arial" w:cs="Arial"/>
        </w:rPr>
        <w:t>priority-based</w:t>
      </w:r>
      <w:r w:rsidRPr="007310DF">
        <w:rPr>
          <w:rFonts w:ascii="Arial" w:hAnsi="Arial" w:cs="Arial"/>
        </w:rPr>
        <w:t xml:space="preserve"> pricing and subsidized therapies</w:t>
      </w:r>
      <w:r w:rsidR="004F4F9D" w:rsidRPr="004F4F9D">
        <w:rPr>
          <w:rFonts w:ascii="Arial" w:hAnsi="Arial" w:cs="Arial"/>
        </w:rPr>
        <w:t>(Dunning and Lundan, 2021)</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 xml:space="preserve">Also, digital-health strategies have to be incorporated into the marketing SOPs. The rapid uptake of mobile health </w:t>
      </w:r>
      <w:r w:rsidR="004C03AA">
        <w:rPr>
          <w:rFonts w:ascii="Arial" w:hAnsi="Arial" w:cs="Arial"/>
        </w:rPr>
        <w:t>applications</w:t>
      </w:r>
      <w:r w:rsidRPr="007310DF">
        <w:rPr>
          <w:rFonts w:ascii="Arial" w:hAnsi="Arial" w:cs="Arial"/>
        </w:rPr>
        <w:t xml:space="preserve"> and telemedicine in India forms an avenue through which patients can be engaged. The integration of digital adherence solutions, mobile-based alerts</w:t>
      </w:r>
      <w:r w:rsidR="004C03AA">
        <w:rPr>
          <w:rFonts w:ascii="Arial" w:hAnsi="Arial" w:cs="Arial"/>
        </w:rPr>
        <w:t>,</w:t>
      </w:r>
      <w:r w:rsidRPr="007310DF">
        <w:rPr>
          <w:rFonts w:ascii="Arial" w:hAnsi="Arial" w:cs="Arial"/>
        </w:rPr>
        <w:t xml:space="preserve"> and virtual patient-support systems can enhance continuity of treatment and patient outcomes</w:t>
      </w:r>
      <w:r w:rsidR="004F4F9D" w:rsidRPr="004F4F9D">
        <w:rPr>
          <w:rFonts w:ascii="Arial" w:hAnsi="Arial" w:cs="Arial"/>
        </w:rPr>
        <w:t>(Hofstede Insights, 2024)</w:t>
      </w:r>
      <w:r w:rsidRPr="007310DF">
        <w:rPr>
          <w:rFonts w:ascii="Arial" w:hAnsi="Arial" w:cs="Arial"/>
        </w:rPr>
        <w:t xml:space="preserve">.  </w:t>
      </w:r>
    </w:p>
    <w:p w:rsidR="00F21D8B" w:rsidRPr="007310DF" w:rsidRDefault="00F21D8B" w:rsidP="007310DF">
      <w:pPr>
        <w:spacing w:line="360" w:lineRule="auto"/>
        <w:jc w:val="both"/>
        <w:rPr>
          <w:rFonts w:ascii="Arial" w:hAnsi="Arial" w:cs="Arial"/>
        </w:rPr>
      </w:pPr>
      <w:r w:rsidRPr="007310DF">
        <w:rPr>
          <w:rFonts w:ascii="Arial" w:hAnsi="Arial" w:cs="Arial"/>
        </w:rPr>
        <w:t xml:space="preserve">Lastly, marketing approval SOPs should take into consideration the regulatory advertising requirements in India that limit </w:t>
      </w:r>
      <w:r w:rsidR="004C03AA">
        <w:rPr>
          <w:rFonts w:ascii="Arial" w:hAnsi="Arial" w:cs="Arial"/>
        </w:rPr>
        <w:t>direct-to-consumer</w:t>
      </w:r>
      <w:r w:rsidRPr="007310DF">
        <w:rPr>
          <w:rFonts w:ascii="Arial" w:hAnsi="Arial" w:cs="Arial"/>
        </w:rPr>
        <w:t xml:space="preserve"> advertisements in specific categories of therapeutics. Legal risks will be minimised by ensuring </w:t>
      </w:r>
      <w:r w:rsidR="00C75C71" w:rsidRPr="007310DF">
        <w:rPr>
          <w:rFonts w:ascii="Arial" w:hAnsi="Arial" w:cs="Arial"/>
        </w:rPr>
        <w:t>compliance with local medical advertising laws, thereby protecting the company's image</w:t>
      </w:r>
      <w:r w:rsidR="004F4F9D" w:rsidRPr="004F4F9D">
        <w:rPr>
          <w:rFonts w:ascii="Arial" w:hAnsi="Arial" w:cs="Arial"/>
        </w:rPr>
        <w:t>(Srinivasan and Venkatraman, 2020)</w:t>
      </w:r>
      <w:r w:rsidRPr="007310DF">
        <w:rPr>
          <w:rFonts w:ascii="Arial" w:hAnsi="Arial" w:cs="Arial"/>
        </w:rPr>
        <w:t xml:space="preserve">.  </w:t>
      </w:r>
    </w:p>
    <w:p w:rsidR="00F21D8B" w:rsidRPr="007310DF" w:rsidRDefault="00F21D8B" w:rsidP="007310DF">
      <w:pPr>
        <w:spacing w:line="360" w:lineRule="auto"/>
        <w:jc w:val="both"/>
        <w:rPr>
          <w:rFonts w:ascii="Arial" w:hAnsi="Arial" w:cs="Arial"/>
        </w:rPr>
      </w:pPr>
      <w:r w:rsidRPr="007310DF">
        <w:rPr>
          <w:rFonts w:ascii="Arial" w:hAnsi="Arial" w:cs="Arial"/>
        </w:rPr>
        <w:t xml:space="preserve">By ensuring that the marketing strategies, patient engagement approach, and access strategy </w:t>
      </w:r>
      <w:r w:rsidR="004C03AA">
        <w:rPr>
          <w:rFonts w:ascii="Arial" w:hAnsi="Arial" w:cs="Arial"/>
        </w:rPr>
        <w:t>are</w:t>
      </w:r>
      <w:r w:rsidRPr="007310DF">
        <w:rPr>
          <w:rFonts w:ascii="Arial" w:hAnsi="Arial" w:cs="Arial"/>
        </w:rPr>
        <w:t xml:space="preserve"> aligned with the cultural and economic realities in India, it will be possible to build trust, reach more patients, and build a stronger brand within the market</w:t>
      </w:r>
      <w:r w:rsidR="004F4F9D" w:rsidRPr="004F4F9D">
        <w:rPr>
          <w:rFonts w:ascii="Arial" w:hAnsi="Arial" w:cs="Arial"/>
        </w:rPr>
        <w:t>(Srinivasan and Venkatraman, 2020)</w:t>
      </w:r>
      <w:r w:rsidRPr="007310DF">
        <w:rPr>
          <w:rFonts w:ascii="Arial" w:hAnsi="Arial" w:cs="Arial"/>
        </w:rPr>
        <w:t>.</w:t>
      </w:r>
    </w:p>
    <w:p w:rsidR="00CE598E" w:rsidRPr="007310DF" w:rsidRDefault="00CE598E" w:rsidP="006A628B">
      <w:pPr>
        <w:pStyle w:val="Heading2"/>
      </w:pPr>
      <w:bookmarkStart w:id="34" w:name="_Toc215312868"/>
      <w:r w:rsidRPr="007310DF">
        <w:t>5.3 SOP Adjustment 3: Strengthened Local Compliance, Regulatory Alignment</w:t>
      </w:r>
      <w:r w:rsidR="004C03AA">
        <w:t>,</w:t>
      </w:r>
      <w:r w:rsidRPr="007310DF">
        <w:t xml:space="preserve"> and Supply Chain Integration</w:t>
      </w:r>
      <w:bookmarkEnd w:id="34"/>
    </w:p>
    <w:p w:rsidR="00F21D8B" w:rsidRPr="007310DF" w:rsidRDefault="00F21D8B" w:rsidP="007310DF">
      <w:pPr>
        <w:spacing w:line="360" w:lineRule="auto"/>
        <w:jc w:val="both"/>
        <w:rPr>
          <w:rFonts w:ascii="Arial" w:hAnsi="Arial" w:cs="Arial"/>
        </w:rPr>
      </w:pPr>
      <w:r w:rsidRPr="007310DF">
        <w:rPr>
          <w:rFonts w:ascii="Arial" w:hAnsi="Arial" w:cs="Arial"/>
        </w:rPr>
        <w:t xml:space="preserve">The third radical amendment to the standard operating procedures revolves around the adjustment of regulatory, compliance, and supply-chain procedures in order to align itself with </w:t>
      </w:r>
      <w:r w:rsidR="004C03AA">
        <w:rPr>
          <w:rFonts w:ascii="Arial" w:hAnsi="Arial" w:cs="Arial"/>
        </w:rPr>
        <w:t xml:space="preserve">the </w:t>
      </w:r>
      <w:r w:rsidRPr="007310DF">
        <w:rPr>
          <w:rFonts w:ascii="Arial" w:hAnsi="Arial" w:cs="Arial"/>
        </w:rPr>
        <w:t>institutional milieu of India</w:t>
      </w:r>
      <w:r w:rsidR="004F4F9D" w:rsidRPr="004F4F9D">
        <w:rPr>
          <w:rFonts w:ascii="Arial" w:hAnsi="Arial" w:cs="Arial"/>
        </w:rPr>
        <w:t>(Srinivasan and Venkatraman, 2020)</w:t>
      </w:r>
      <w:r w:rsidRPr="007310DF">
        <w:rPr>
          <w:rFonts w:ascii="Arial" w:hAnsi="Arial" w:cs="Arial"/>
        </w:rPr>
        <w:t>. The Indian regulatory mechanism is rather complex and includes the regulation of clinical trials, registration of the product, manufacture, pharmacovigilance</w:t>
      </w:r>
      <w:r w:rsidR="004C03AA">
        <w:rPr>
          <w:rFonts w:ascii="Arial" w:hAnsi="Arial" w:cs="Arial"/>
        </w:rPr>
        <w:t>,</w:t>
      </w:r>
      <w:r w:rsidRPr="007310DF">
        <w:rPr>
          <w:rFonts w:ascii="Arial" w:hAnsi="Arial" w:cs="Arial"/>
        </w:rPr>
        <w:t xml:space="preserve"> and distribution. Although the current company has </w:t>
      </w:r>
      <w:r w:rsidR="008C072C" w:rsidRPr="007310DF">
        <w:rPr>
          <w:rFonts w:ascii="Arial" w:hAnsi="Arial" w:cs="Arial"/>
        </w:rPr>
        <w:t>elaborated</w:t>
      </w:r>
      <w:r w:rsidRPr="007310DF">
        <w:rPr>
          <w:rFonts w:ascii="Arial" w:hAnsi="Arial" w:cs="Arial"/>
        </w:rPr>
        <w:t xml:space="preserve"> international compliance measures in place, it requires SOPs sensitive to local regulatory expectations and institutional sensibilities in order to operate in the Indian environment</w:t>
      </w:r>
      <w:r w:rsidR="004F4F9D" w:rsidRPr="004F4F9D">
        <w:rPr>
          <w:rFonts w:ascii="Arial" w:hAnsi="Arial" w:cs="Arial"/>
        </w:rPr>
        <w:t>(Hofstede Insights, 2024)</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lastRenderedPageBreak/>
        <w:t>One of the key areas of focus that needs to be changed is clinical research compliance. SOPs must outline the protocols on how to conduct clinical trials by strictly following the regulatory rules, ethical requirements</w:t>
      </w:r>
      <w:r w:rsidR="004C03AA">
        <w:rPr>
          <w:rFonts w:ascii="Arial" w:hAnsi="Arial" w:cs="Arial"/>
        </w:rPr>
        <w:t>,</w:t>
      </w:r>
      <w:r w:rsidRPr="007310DF">
        <w:rPr>
          <w:rFonts w:ascii="Arial" w:hAnsi="Arial" w:cs="Arial"/>
        </w:rPr>
        <w:t xml:space="preserve"> and protection of patients as stipulated by the Indian </w:t>
      </w:r>
      <w:r w:rsidR="004C03AA">
        <w:rPr>
          <w:rFonts w:ascii="Arial" w:hAnsi="Arial" w:cs="Arial"/>
        </w:rPr>
        <w:t>regulations</w:t>
      </w:r>
      <w:r w:rsidR="004F4F9D" w:rsidRPr="004F4F9D">
        <w:rPr>
          <w:rFonts w:ascii="Arial" w:hAnsi="Arial" w:cs="Arial"/>
        </w:rPr>
        <w:t>(Dunning and Lundan, 2021)</w:t>
      </w:r>
      <w:r w:rsidRPr="007310DF">
        <w:rPr>
          <w:rFonts w:ascii="Arial" w:hAnsi="Arial" w:cs="Arial"/>
        </w:rPr>
        <w:t>. This involves elaborate documentation, informed consent, safety surveillance</w:t>
      </w:r>
      <w:r w:rsidR="004C03AA">
        <w:rPr>
          <w:rFonts w:ascii="Arial" w:hAnsi="Arial" w:cs="Arial"/>
        </w:rPr>
        <w:t>,</w:t>
      </w:r>
      <w:r w:rsidRPr="007310DF">
        <w:rPr>
          <w:rFonts w:ascii="Arial" w:hAnsi="Arial" w:cs="Arial"/>
        </w:rPr>
        <w:t xml:space="preserve"> and reporting measures. Since there has always been greater examination of clinical trials carried out in India, maintaining high compliance is the only way </w:t>
      </w:r>
      <w:r w:rsidR="004C03AA">
        <w:rPr>
          <w:rFonts w:ascii="Arial" w:hAnsi="Arial" w:cs="Arial"/>
        </w:rPr>
        <w:t>to maintain</w:t>
      </w:r>
      <w:r w:rsidRPr="007310DF">
        <w:rPr>
          <w:rFonts w:ascii="Arial" w:hAnsi="Arial" w:cs="Arial"/>
        </w:rPr>
        <w:t xml:space="preserve"> the credibility of the </w:t>
      </w:r>
      <w:r w:rsidR="004F4F9D">
        <w:rPr>
          <w:rFonts w:ascii="Arial" w:hAnsi="Arial" w:cs="Arial"/>
        </w:rPr>
        <w:t xml:space="preserve">organization </w:t>
      </w:r>
      <w:r w:rsidR="004F4F9D" w:rsidRPr="004F4F9D">
        <w:rPr>
          <w:rFonts w:ascii="Arial" w:hAnsi="Arial" w:cs="Arial"/>
        </w:rPr>
        <w:t>(Srinivasan and Venkatraman, 2020)</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SOPS in manufacturing and supply-chain will also need to be realigned in order to protect product quality and business continuity</w:t>
      </w:r>
      <w:r w:rsidR="004F4F9D" w:rsidRPr="004F4F9D">
        <w:rPr>
          <w:rFonts w:ascii="Arial" w:hAnsi="Arial" w:cs="Arial"/>
        </w:rPr>
        <w:t>(Hofstede Insights, 2024)</w:t>
      </w:r>
      <w:r w:rsidRPr="007310DF">
        <w:rPr>
          <w:rFonts w:ascii="Arial" w:hAnsi="Arial" w:cs="Arial"/>
        </w:rPr>
        <w:t>. The Indian pharmaceutical supply chain has various levels of distributors, wholesalers</w:t>
      </w:r>
      <w:r w:rsidR="004C03AA">
        <w:rPr>
          <w:rFonts w:ascii="Arial" w:hAnsi="Arial" w:cs="Arial"/>
        </w:rPr>
        <w:t>, and retailers,</w:t>
      </w:r>
      <w:r w:rsidRPr="007310DF">
        <w:rPr>
          <w:rFonts w:ascii="Arial" w:hAnsi="Arial" w:cs="Arial"/>
        </w:rPr>
        <w:t xml:space="preserve"> making it prone to fragmentation. SOPs are supposed to specify improved quality-audit measures, supplier certification measures, and distribution control mechanisms to address the safety of products during the supply chain. The focus should be </w:t>
      </w:r>
      <w:r w:rsidR="004C03AA">
        <w:rPr>
          <w:rFonts w:ascii="Arial" w:hAnsi="Arial" w:cs="Arial"/>
        </w:rPr>
        <w:t>on temperature-controlled logistics, anti-counterfeit technology,</w:t>
      </w:r>
      <w:r w:rsidRPr="007310DF">
        <w:rPr>
          <w:rFonts w:ascii="Arial" w:hAnsi="Arial" w:cs="Arial"/>
        </w:rPr>
        <w:t xml:space="preserve"> and transparent tracking systems to maintain product integrity</w:t>
      </w:r>
      <w:r w:rsidR="004F4F9D" w:rsidRPr="004F4F9D">
        <w:rPr>
          <w:rFonts w:ascii="Arial" w:hAnsi="Arial" w:cs="Arial"/>
        </w:rPr>
        <w:t>(Srinivasan and Venkatraman, 2020)</w:t>
      </w:r>
      <w:r w:rsidRPr="007310DF">
        <w:rPr>
          <w:rFonts w:ascii="Arial" w:hAnsi="Arial" w:cs="Arial"/>
        </w:rPr>
        <w:t>.</w:t>
      </w:r>
    </w:p>
    <w:p w:rsidR="00817459" w:rsidRPr="007310DF" w:rsidRDefault="00817459" w:rsidP="007310DF">
      <w:pPr>
        <w:spacing w:line="360" w:lineRule="auto"/>
        <w:jc w:val="both"/>
        <w:rPr>
          <w:rFonts w:ascii="Arial" w:hAnsi="Arial" w:cs="Arial"/>
        </w:rPr>
      </w:pPr>
      <w:r w:rsidRPr="007310DF">
        <w:rPr>
          <w:rFonts w:ascii="Arial" w:hAnsi="Arial" w:cs="Arial"/>
        </w:rPr>
        <w:t>The regulatory Standard Operating Procedures (SOPs) should include country-specific approval procedures</w:t>
      </w:r>
      <w:r w:rsidR="004C03AA">
        <w:rPr>
          <w:rFonts w:ascii="Arial" w:hAnsi="Arial" w:cs="Arial"/>
        </w:rPr>
        <w:t xml:space="preserve">, especially the differences in regulatory, dossier, and pricing schedules in India and in the </w:t>
      </w:r>
      <w:r w:rsidRPr="007310DF">
        <w:rPr>
          <w:rFonts w:ascii="Arial" w:hAnsi="Arial" w:cs="Arial"/>
        </w:rPr>
        <w:t xml:space="preserve">UK or Europe. Such SOPs must offer succinct instructions on how documents are to be prepared, responding to regulatory enquiries, and trying to communicate with authorities such as </w:t>
      </w:r>
      <w:r w:rsidR="004C03AA">
        <w:rPr>
          <w:rFonts w:ascii="Arial" w:hAnsi="Arial" w:cs="Arial"/>
        </w:rPr>
        <w:t xml:space="preserve">the </w:t>
      </w:r>
      <w:r w:rsidRPr="007310DF">
        <w:rPr>
          <w:rFonts w:ascii="Arial" w:hAnsi="Arial" w:cs="Arial"/>
        </w:rPr>
        <w:t xml:space="preserve">Central Drugs Standard Control Organisation (CDSCO). Also, the ethical compliance must be improved by </w:t>
      </w:r>
      <w:r w:rsidR="008C072C" w:rsidRPr="007310DF">
        <w:rPr>
          <w:rFonts w:ascii="Arial" w:hAnsi="Arial" w:cs="Arial"/>
        </w:rPr>
        <w:t>localized</w:t>
      </w:r>
      <w:r w:rsidRPr="007310DF">
        <w:rPr>
          <w:rFonts w:ascii="Arial" w:hAnsi="Arial" w:cs="Arial"/>
        </w:rPr>
        <w:t xml:space="preserve"> SOPs covering the interaction with healthcare providers, as well as the promotion of conflict-of-interest policies</w:t>
      </w:r>
      <w:r w:rsidR="004F4F9D" w:rsidRPr="004F4F9D">
        <w:rPr>
          <w:rFonts w:ascii="Arial" w:hAnsi="Arial" w:cs="Arial"/>
        </w:rPr>
        <w:t>(Dunning and Lundan, 2021)</w:t>
      </w:r>
      <w:r w:rsidRPr="007310DF">
        <w:rPr>
          <w:rFonts w:ascii="Arial" w:hAnsi="Arial" w:cs="Arial"/>
        </w:rPr>
        <w:t>. In order to alleviate reputational risks, the ethical standards should be disseminated to local teams through special training programs</w:t>
      </w:r>
      <w:r w:rsidR="004F4F9D" w:rsidRPr="004F4F9D">
        <w:rPr>
          <w:rFonts w:ascii="Arial" w:hAnsi="Arial" w:cs="Arial"/>
        </w:rPr>
        <w:t>(Srinivasan and Venkatraman, 2020)</w:t>
      </w:r>
      <w:r w:rsidRPr="007310DF">
        <w:rPr>
          <w:rFonts w:ascii="Arial" w:hAnsi="Arial" w:cs="Arial"/>
        </w:rPr>
        <w:t>. Moreover, supply-chain SOPs are supposed to incorporate the policies of sustainability and localization</w:t>
      </w:r>
      <w:r w:rsidR="004C03AA">
        <w:rPr>
          <w:rFonts w:ascii="Arial" w:hAnsi="Arial" w:cs="Arial"/>
        </w:rPr>
        <w:t xml:space="preserve">, which involve sourcing local manufacturers who are compliant, use </w:t>
      </w:r>
      <w:r w:rsidR="00E90AC6">
        <w:rPr>
          <w:rFonts w:ascii="Arial" w:hAnsi="Arial" w:cs="Arial"/>
        </w:rPr>
        <w:t>environmentally friendly</w:t>
      </w:r>
      <w:r w:rsidR="004C03AA">
        <w:rPr>
          <w:rFonts w:ascii="Arial" w:hAnsi="Arial" w:cs="Arial"/>
        </w:rPr>
        <w:t xml:space="preserve"> </w:t>
      </w:r>
      <w:r w:rsidR="004C03AA">
        <w:rPr>
          <w:rFonts w:ascii="Arial" w:hAnsi="Arial" w:cs="Arial"/>
        </w:rPr>
        <w:lastRenderedPageBreak/>
        <w:t>packaging,</w:t>
      </w:r>
      <w:r w:rsidRPr="007310DF">
        <w:rPr>
          <w:rFonts w:ascii="Arial" w:hAnsi="Arial" w:cs="Arial"/>
        </w:rPr>
        <w:t xml:space="preserve"> and contribute to the economic development of the local communities using Indian suppliers</w:t>
      </w:r>
      <w:r w:rsidR="004F4F9D" w:rsidRPr="004F4F9D">
        <w:rPr>
          <w:rFonts w:ascii="Arial" w:hAnsi="Arial" w:cs="Arial"/>
        </w:rPr>
        <w:t>(Srinivasan and Venkatraman, 2020)</w:t>
      </w:r>
      <w:r w:rsidRPr="007310DF">
        <w:rPr>
          <w:rFonts w:ascii="Arial" w:hAnsi="Arial" w:cs="Arial"/>
        </w:rPr>
        <w:t>.</w:t>
      </w:r>
    </w:p>
    <w:p w:rsidR="00F21D8B" w:rsidRPr="007310DF" w:rsidRDefault="00F21D8B" w:rsidP="007310DF">
      <w:pPr>
        <w:spacing w:line="360" w:lineRule="auto"/>
        <w:jc w:val="both"/>
        <w:rPr>
          <w:rFonts w:ascii="Arial" w:hAnsi="Arial" w:cs="Arial"/>
        </w:rPr>
      </w:pPr>
      <w:r w:rsidRPr="007310DF">
        <w:rPr>
          <w:rFonts w:ascii="Arial" w:hAnsi="Arial" w:cs="Arial"/>
        </w:rPr>
        <w:t xml:space="preserve">Overall, by reinforcing compliance, regulatory alignment, and supply-chain SOPs, the operation of the company will become more reliable, reduce risks, and </w:t>
      </w:r>
      <w:r w:rsidR="004C03AA">
        <w:rPr>
          <w:rFonts w:ascii="Arial" w:hAnsi="Arial" w:cs="Arial"/>
        </w:rPr>
        <w:t>ensure that the</w:t>
      </w:r>
      <w:r w:rsidRPr="007310DF">
        <w:rPr>
          <w:rFonts w:ascii="Arial" w:hAnsi="Arial" w:cs="Arial"/>
        </w:rPr>
        <w:t xml:space="preserve"> company meets the required criteria of the global standards as well as those of Indian expectations.</w:t>
      </w:r>
    </w:p>
    <w:p w:rsidR="00CE598E" w:rsidRPr="007310DF" w:rsidRDefault="00CE598E" w:rsidP="006A628B">
      <w:pPr>
        <w:pStyle w:val="Heading2"/>
      </w:pPr>
      <w:bookmarkStart w:id="35" w:name="_Toc215312869"/>
      <w:r w:rsidRPr="007310DF">
        <w:t>5.4 Alignment With OLI and Cultural Analysis</w:t>
      </w:r>
      <w:bookmarkEnd w:id="35"/>
    </w:p>
    <w:p w:rsidR="00F21D8B" w:rsidRPr="007310DF" w:rsidRDefault="00F21D8B" w:rsidP="007310DF">
      <w:pPr>
        <w:spacing w:line="360" w:lineRule="auto"/>
        <w:jc w:val="both"/>
        <w:rPr>
          <w:rFonts w:ascii="Arial" w:hAnsi="Arial" w:cs="Arial"/>
        </w:rPr>
      </w:pPr>
      <w:r w:rsidRPr="007310DF">
        <w:rPr>
          <w:rFonts w:ascii="Arial" w:hAnsi="Arial" w:cs="Arial"/>
        </w:rPr>
        <w:t xml:space="preserve">These changes </w:t>
      </w:r>
      <w:r w:rsidR="004C03AA">
        <w:rPr>
          <w:rFonts w:ascii="Arial" w:hAnsi="Arial" w:cs="Arial"/>
        </w:rPr>
        <w:t>to</w:t>
      </w:r>
      <w:r w:rsidRPr="007310DF">
        <w:rPr>
          <w:rFonts w:ascii="Arial" w:hAnsi="Arial" w:cs="Arial"/>
        </w:rPr>
        <w:t xml:space="preserve"> the SOP are closely related to the OLI framework and the cultural analyses of the foregoing. The benefits of ownership provide the need to exercise control over the quality and intellectual property</w:t>
      </w:r>
      <w:r w:rsidR="004C03AA">
        <w:rPr>
          <w:rFonts w:ascii="Arial" w:hAnsi="Arial" w:cs="Arial"/>
        </w:rPr>
        <w:t xml:space="preserve">, and hence the adoption of </w:t>
      </w:r>
      <w:r w:rsidRPr="007310DF">
        <w:rPr>
          <w:rFonts w:ascii="Arial" w:hAnsi="Arial" w:cs="Arial"/>
        </w:rPr>
        <w:t>highly controlled SOP structures</w:t>
      </w:r>
      <w:r w:rsidR="00E90AC6" w:rsidRPr="00E90AC6">
        <w:rPr>
          <w:rFonts w:ascii="Arial" w:hAnsi="Arial" w:cs="Arial"/>
        </w:rPr>
        <w:t>(Dunning and Lundan, 2021)</w:t>
      </w:r>
      <w:r w:rsidRPr="007310DF">
        <w:rPr>
          <w:rFonts w:ascii="Arial" w:hAnsi="Arial" w:cs="Arial"/>
        </w:rPr>
        <w:t xml:space="preserve">. The benefits of location in India underscore the necessity of joint interaction, </w:t>
      </w:r>
      <w:r w:rsidR="008C072C" w:rsidRPr="007310DF">
        <w:rPr>
          <w:rFonts w:ascii="Arial" w:hAnsi="Arial" w:cs="Arial"/>
        </w:rPr>
        <w:t>localization</w:t>
      </w:r>
      <w:r w:rsidRPr="007310DF">
        <w:rPr>
          <w:rFonts w:ascii="Arial" w:hAnsi="Arial" w:cs="Arial"/>
        </w:rPr>
        <w:t xml:space="preserve">, and </w:t>
      </w:r>
      <w:r w:rsidR="008C072C" w:rsidRPr="007310DF">
        <w:rPr>
          <w:rFonts w:ascii="Arial" w:hAnsi="Arial" w:cs="Arial"/>
        </w:rPr>
        <w:t>harmonization</w:t>
      </w:r>
      <w:r w:rsidRPr="007310DF">
        <w:rPr>
          <w:rFonts w:ascii="Arial" w:hAnsi="Arial" w:cs="Arial"/>
        </w:rPr>
        <w:t xml:space="preserve"> of the regulations. The relevance of customizing the HR, leadership</w:t>
      </w:r>
      <w:r w:rsidR="004C03AA">
        <w:rPr>
          <w:rFonts w:ascii="Arial" w:hAnsi="Arial" w:cs="Arial"/>
        </w:rPr>
        <w:t>,</w:t>
      </w:r>
      <w:r w:rsidRPr="007310DF">
        <w:rPr>
          <w:rFonts w:ascii="Arial" w:hAnsi="Arial" w:cs="Arial"/>
        </w:rPr>
        <w:t xml:space="preserve"> and marketing SOPs is reinforced by cultural disparities. All these adjustments would lead to improved success in the long run</w:t>
      </w:r>
      <w:r w:rsidR="004F4F9D" w:rsidRPr="004F4F9D">
        <w:rPr>
          <w:rFonts w:ascii="Arial" w:hAnsi="Arial" w:cs="Arial"/>
        </w:rPr>
        <w:t>(Srinivasan and Venkatraman, 2020)</w:t>
      </w:r>
      <w:r w:rsidRPr="007310DF">
        <w:rPr>
          <w:rFonts w:ascii="Arial" w:hAnsi="Arial" w:cs="Arial"/>
        </w:rPr>
        <w:t>.</w:t>
      </w:r>
    </w:p>
    <w:p w:rsidR="00CE598E" w:rsidRPr="007310DF" w:rsidRDefault="00CE598E" w:rsidP="006A628B">
      <w:pPr>
        <w:pStyle w:val="Heading1"/>
      </w:pPr>
      <w:bookmarkStart w:id="36" w:name="_Toc215312870"/>
      <w:r w:rsidRPr="007310DF">
        <w:t>6. Conclusion</w:t>
      </w:r>
      <w:bookmarkEnd w:id="36"/>
    </w:p>
    <w:p w:rsidR="00F21D8B" w:rsidRPr="007310DF" w:rsidRDefault="00F21D8B" w:rsidP="007310DF">
      <w:pPr>
        <w:spacing w:line="360" w:lineRule="auto"/>
        <w:jc w:val="both"/>
        <w:rPr>
          <w:rFonts w:ascii="Arial" w:hAnsi="Arial" w:cs="Arial"/>
        </w:rPr>
      </w:pPr>
      <w:r w:rsidRPr="007310DF">
        <w:rPr>
          <w:rFonts w:ascii="Arial" w:hAnsi="Arial" w:cs="Arial"/>
        </w:rPr>
        <w:t xml:space="preserve">The discussion shows that a biopharmaceutical multinational headquartered in the United Kingdom enjoys ownership, location, and internalisation benefits that it needs to operate successfully in an intricate global market like India. It has a strong brand worldwide, </w:t>
      </w:r>
      <w:r w:rsidR="004C03AA">
        <w:rPr>
          <w:rFonts w:ascii="Arial" w:hAnsi="Arial" w:cs="Arial"/>
        </w:rPr>
        <w:t>a high level of scientific strength, a huge patent portfolio, and an integrated value chain, which offers it a strong ground for</w:t>
      </w:r>
      <w:r w:rsidRPr="007310DF">
        <w:rPr>
          <w:rFonts w:ascii="Arial" w:hAnsi="Arial" w:cs="Arial"/>
        </w:rPr>
        <w:t xml:space="preserve"> cross-border expansion. At the same time, India has attractive locational advantages such </w:t>
      </w:r>
      <w:r w:rsidR="004C03AA">
        <w:rPr>
          <w:rFonts w:ascii="Arial" w:hAnsi="Arial" w:cs="Arial"/>
        </w:rPr>
        <w:t>as a huge and growing patient base, a vibrant local pharmaceutical market, an affordable, skilled labour force, and favorable policy support, all of which support</w:t>
      </w:r>
      <w:r w:rsidRPr="007310DF">
        <w:rPr>
          <w:rFonts w:ascii="Arial" w:hAnsi="Arial" w:cs="Arial"/>
        </w:rPr>
        <w:t xml:space="preserve"> long-term strategic investment.  </w:t>
      </w:r>
    </w:p>
    <w:p w:rsidR="00F21D8B" w:rsidRPr="007310DF" w:rsidRDefault="00F21D8B" w:rsidP="007310DF">
      <w:pPr>
        <w:spacing w:line="360" w:lineRule="auto"/>
        <w:jc w:val="both"/>
        <w:rPr>
          <w:rFonts w:ascii="Arial" w:hAnsi="Arial" w:cs="Arial"/>
        </w:rPr>
      </w:pPr>
      <w:r w:rsidRPr="007310DF">
        <w:rPr>
          <w:rFonts w:ascii="Arial" w:hAnsi="Arial" w:cs="Arial"/>
        </w:rPr>
        <w:t>The evaluation</w:t>
      </w:r>
      <w:r w:rsidR="004C03AA">
        <w:rPr>
          <w:rFonts w:ascii="Arial" w:hAnsi="Arial" w:cs="Arial"/>
        </w:rPr>
        <w:t xml:space="preserve">, however, also notes that the success in India cannot be achieved using a pure global strategy based on </w:t>
      </w:r>
      <w:r w:rsidR="008C072C" w:rsidRPr="007310DF">
        <w:rPr>
          <w:rFonts w:ascii="Arial" w:hAnsi="Arial" w:cs="Arial"/>
        </w:rPr>
        <w:t>standardization</w:t>
      </w:r>
      <w:r w:rsidRPr="007310DF">
        <w:rPr>
          <w:rFonts w:ascii="Arial" w:hAnsi="Arial" w:cs="Arial"/>
        </w:rPr>
        <w:t xml:space="preserve"> only. The differences in culture between the United Kingdom and India, especially in terms of power distance, collectivism, communication style</w:t>
      </w:r>
      <w:r w:rsidR="004C03AA">
        <w:rPr>
          <w:rFonts w:ascii="Arial" w:hAnsi="Arial" w:cs="Arial"/>
        </w:rPr>
        <w:t xml:space="preserve">, and long-term orientation, influence leadership expectations, </w:t>
      </w:r>
      <w:r w:rsidR="004C03AA">
        <w:rPr>
          <w:rFonts w:ascii="Arial" w:hAnsi="Arial" w:cs="Arial"/>
        </w:rPr>
        <w:lastRenderedPageBreak/>
        <w:t xml:space="preserve">negotiation processes, patient behaviour, and the </w:t>
      </w:r>
      <w:r w:rsidRPr="007310DF">
        <w:rPr>
          <w:rFonts w:ascii="Arial" w:hAnsi="Arial" w:cs="Arial"/>
        </w:rPr>
        <w:t xml:space="preserve">relationship between stakeholders. Together with </w:t>
      </w:r>
      <w:r w:rsidR="004C03AA">
        <w:rPr>
          <w:rFonts w:ascii="Arial" w:hAnsi="Arial" w:cs="Arial"/>
        </w:rPr>
        <w:t>the unique regulatory environment of India and a multi-layered healthcare system, the following cultural aspects make the</w:t>
      </w:r>
      <w:r w:rsidRPr="007310DF">
        <w:rPr>
          <w:rFonts w:ascii="Arial" w:hAnsi="Arial" w:cs="Arial"/>
        </w:rPr>
        <w:t xml:space="preserve"> act of corporate practice adaptation a must.  </w:t>
      </w:r>
    </w:p>
    <w:p w:rsidR="00F21D8B" w:rsidRDefault="00817459" w:rsidP="007310DF">
      <w:pPr>
        <w:spacing w:line="360" w:lineRule="auto"/>
        <w:jc w:val="both"/>
        <w:rPr>
          <w:rFonts w:ascii="Arial" w:hAnsi="Arial" w:cs="Arial"/>
        </w:rPr>
      </w:pPr>
      <w:r w:rsidRPr="007310DF">
        <w:rPr>
          <w:rFonts w:ascii="Arial" w:hAnsi="Arial" w:cs="Arial"/>
        </w:rPr>
        <w:t>It must have three major areas of standard operating procedures: human resources and leadership practice localization, marketing and patient engagement strategies, and compliance and supply chain procedure augmentation to be more Indian-oriented. These changes are used to match the capabilities of the firm globally with the local market realities. With the incorporation of ownership-location-internalisation (OLI) and cultural knowledge</w:t>
      </w:r>
      <w:r w:rsidR="004C03AA">
        <w:rPr>
          <w:rFonts w:ascii="Arial" w:hAnsi="Arial" w:cs="Arial"/>
        </w:rPr>
        <w:t>, the company is better placed to secure the intellectual property, quality, stakeholder trust,</w:t>
      </w:r>
      <w:r w:rsidRPr="007310DF">
        <w:rPr>
          <w:rFonts w:ascii="Arial" w:hAnsi="Arial" w:cs="Arial"/>
        </w:rPr>
        <w:t xml:space="preserve"> and access </w:t>
      </w:r>
      <w:r w:rsidR="004C03AA">
        <w:rPr>
          <w:rFonts w:ascii="Arial" w:hAnsi="Arial" w:cs="Arial"/>
        </w:rPr>
        <w:t>for</w:t>
      </w:r>
      <w:r w:rsidRPr="007310DF">
        <w:rPr>
          <w:rFonts w:ascii="Arial" w:hAnsi="Arial" w:cs="Arial"/>
        </w:rPr>
        <w:t xml:space="preserve"> the patient. Finally, it is necessary to have a localized but globally integrated strategy to have </w:t>
      </w:r>
      <w:r w:rsidR="004C03AA">
        <w:rPr>
          <w:rFonts w:ascii="Arial" w:hAnsi="Arial" w:cs="Arial"/>
        </w:rPr>
        <w:t xml:space="preserve">a </w:t>
      </w:r>
      <w:r w:rsidRPr="007310DF">
        <w:rPr>
          <w:rFonts w:ascii="Arial" w:hAnsi="Arial" w:cs="Arial"/>
        </w:rPr>
        <w:t xml:space="preserve">sustainable competitive advantage in India and other </w:t>
      </w:r>
      <w:r w:rsidR="004C03AA">
        <w:rPr>
          <w:rFonts w:ascii="Arial" w:hAnsi="Arial" w:cs="Arial"/>
        </w:rPr>
        <w:t>rapidly expanding developing economies</w:t>
      </w:r>
      <w:r w:rsidRPr="007310DF">
        <w:rPr>
          <w:rFonts w:ascii="Arial" w:hAnsi="Arial" w:cs="Arial"/>
        </w:rPr>
        <w:t>.</w:t>
      </w:r>
    </w:p>
    <w:p w:rsidR="007310DF" w:rsidRDefault="007310DF" w:rsidP="007310DF">
      <w:pPr>
        <w:spacing w:line="360" w:lineRule="auto"/>
        <w:jc w:val="both"/>
        <w:rPr>
          <w:rFonts w:ascii="Arial" w:hAnsi="Arial" w:cs="Arial"/>
        </w:rPr>
      </w:pPr>
    </w:p>
    <w:p w:rsidR="007310DF" w:rsidRDefault="007310DF" w:rsidP="007310DF">
      <w:pPr>
        <w:spacing w:line="360" w:lineRule="auto"/>
        <w:jc w:val="both"/>
        <w:rPr>
          <w:rFonts w:ascii="Arial" w:hAnsi="Arial" w:cs="Arial"/>
        </w:rPr>
      </w:pPr>
    </w:p>
    <w:p w:rsidR="007310DF" w:rsidRDefault="007310DF" w:rsidP="007310DF">
      <w:pPr>
        <w:spacing w:line="360" w:lineRule="auto"/>
        <w:jc w:val="both"/>
        <w:rPr>
          <w:rFonts w:ascii="Arial" w:hAnsi="Arial" w:cs="Arial"/>
        </w:rPr>
      </w:pPr>
    </w:p>
    <w:p w:rsidR="007310DF" w:rsidRDefault="007310DF" w:rsidP="007310DF">
      <w:pPr>
        <w:spacing w:line="360" w:lineRule="auto"/>
        <w:jc w:val="both"/>
        <w:rPr>
          <w:rFonts w:ascii="Arial" w:hAnsi="Arial" w:cs="Arial"/>
        </w:rPr>
      </w:pPr>
    </w:p>
    <w:p w:rsidR="007310DF" w:rsidRDefault="007310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9A1EDF" w:rsidRDefault="009A1EDF" w:rsidP="007310DF">
      <w:pPr>
        <w:spacing w:line="360" w:lineRule="auto"/>
        <w:jc w:val="both"/>
        <w:rPr>
          <w:rFonts w:ascii="Arial" w:hAnsi="Arial" w:cs="Arial"/>
        </w:rPr>
      </w:pPr>
    </w:p>
    <w:p w:rsidR="007310DF" w:rsidRPr="007310DF" w:rsidRDefault="007310DF" w:rsidP="007310DF">
      <w:pPr>
        <w:spacing w:line="360" w:lineRule="auto"/>
        <w:jc w:val="both"/>
        <w:rPr>
          <w:rFonts w:ascii="Arial" w:hAnsi="Arial" w:cs="Arial"/>
        </w:rPr>
      </w:pPr>
    </w:p>
    <w:p w:rsidR="00CE598E" w:rsidRPr="007310DF" w:rsidRDefault="00CE598E" w:rsidP="0005674E">
      <w:pPr>
        <w:pStyle w:val="Heading1"/>
      </w:pPr>
      <w:bookmarkStart w:id="37" w:name="_Toc215312871"/>
      <w:r w:rsidRPr="007310DF">
        <w:t>References</w:t>
      </w:r>
      <w:bookmarkEnd w:id="37"/>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AstraZeneca (2023) </w:t>
      </w:r>
      <w:r w:rsidRPr="0099006E">
        <w:rPr>
          <w:rFonts w:ascii="Arial" w:hAnsi="Arial" w:cs="Arial"/>
          <w:i/>
          <w:iCs/>
        </w:rPr>
        <w:t>AstraZeneca in India: Corporate Overview</w:t>
      </w:r>
      <w:r w:rsidRPr="0099006E">
        <w:rPr>
          <w:rFonts w:ascii="Arial" w:hAnsi="Arial" w:cs="Arial"/>
        </w:rPr>
        <w:t xml:space="preserve">. Available at: </w:t>
      </w:r>
      <w:hyperlink r:id="rId13" w:history="1">
        <w:r w:rsidRPr="0099006E">
          <w:rPr>
            <w:rStyle w:val="Hyperlink"/>
            <w:rFonts w:ascii="Arial" w:hAnsi="Arial" w:cs="Arial"/>
          </w:rPr>
          <w:t>https://www.astrazeneca.in</w:t>
        </w:r>
      </w:hyperlink>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AstraZeneca (2024) </w:t>
      </w:r>
      <w:r w:rsidRPr="0099006E">
        <w:rPr>
          <w:rFonts w:ascii="Arial" w:hAnsi="Arial" w:cs="Arial"/>
          <w:i/>
          <w:iCs/>
        </w:rPr>
        <w:t>Annual Report &amp; Form 20-F 2023</w:t>
      </w:r>
      <w:r w:rsidRPr="0099006E">
        <w:rPr>
          <w:rFonts w:ascii="Arial" w:hAnsi="Arial" w:cs="Arial"/>
        </w:rPr>
        <w:t xml:space="preserve">. Available at: </w:t>
      </w:r>
      <w:hyperlink r:id="rId14" w:history="1">
        <w:r w:rsidRPr="0099006E">
          <w:rPr>
            <w:rStyle w:val="Hyperlink"/>
            <w:rFonts w:ascii="Arial" w:hAnsi="Arial" w:cs="Arial"/>
          </w:rPr>
          <w:t>https://www.astrazeneca.com</w:t>
        </w:r>
      </w:hyperlink>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Cavusgil, S.T., Knight, G. and Riesenberger, J. (2022) </w:t>
      </w:r>
      <w:r w:rsidRPr="0099006E">
        <w:rPr>
          <w:rFonts w:ascii="Arial" w:hAnsi="Arial" w:cs="Arial"/>
          <w:i/>
          <w:iCs/>
        </w:rPr>
        <w:t>International Business: The New Realities</w:t>
      </w:r>
      <w:r w:rsidRPr="0099006E">
        <w:rPr>
          <w:rFonts w:ascii="Arial" w:hAnsi="Arial" w:cs="Arial"/>
        </w:rPr>
        <w:t>. 6th edn. London: Pearson.</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Deloitte (2023) </w:t>
      </w:r>
      <w:r w:rsidRPr="0099006E">
        <w:rPr>
          <w:rFonts w:ascii="Arial" w:hAnsi="Arial" w:cs="Arial"/>
          <w:i/>
          <w:iCs/>
        </w:rPr>
        <w:t>India Life Sciences Outlook 2023</w:t>
      </w:r>
      <w:r w:rsidRPr="0099006E">
        <w:rPr>
          <w:rFonts w:ascii="Arial" w:hAnsi="Arial" w:cs="Arial"/>
        </w:rPr>
        <w:t xml:space="preserve">. Available at: </w:t>
      </w:r>
      <w:hyperlink r:id="rId15" w:history="1">
        <w:r w:rsidRPr="0099006E">
          <w:rPr>
            <w:rStyle w:val="Hyperlink"/>
            <w:rFonts w:ascii="Arial" w:hAnsi="Arial" w:cs="Arial"/>
          </w:rPr>
          <w:t>https://www2.deloitte.com</w:t>
        </w:r>
      </w:hyperlink>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Dunning, J.H. and Lundan, S. (2021) </w:t>
      </w:r>
      <w:r w:rsidRPr="0099006E">
        <w:rPr>
          <w:rFonts w:ascii="Arial" w:hAnsi="Arial" w:cs="Arial"/>
          <w:i/>
          <w:iCs/>
        </w:rPr>
        <w:t>Multinational Enterprises and the Global Economy</w:t>
      </w:r>
      <w:r w:rsidRPr="0099006E">
        <w:rPr>
          <w:rFonts w:ascii="Arial" w:hAnsi="Arial" w:cs="Arial"/>
        </w:rPr>
        <w:t>. 3rd edn. Cheltenham: Edward Elgar.</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Ghemawat, P. (2021) </w:t>
      </w:r>
      <w:r w:rsidRPr="0099006E">
        <w:rPr>
          <w:rFonts w:ascii="Arial" w:hAnsi="Arial" w:cs="Arial"/>
          <w:i/>
          <w:iCs/>
        </w:rPr>
        <w:t>Redefining Global Strategy: Crossing Borders in a World Where Differences Still Matter</w:t>
      </w:r>
      <w:r w:rsidRPr="0099006E">
        <w:rPr>
          <w:rFonts w:ascii="Arial" w:hAnsi="Arial" w:cs="Arial"/>
        </w:rPr>
        <w:t>. Boston: Harvard Business Review Press.</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Hill, C.W. and Hult, G.T.M. (2023) </w:t>
      </w:r>
      <w:r w:rsidRPr="0099006E">
        <w:rPr>
          <w:rFonts w:ascii="Arial" w:hAnsi="Arial" w:cs="Arial"/>
          <w:i/>
          <w:iCs/>
        </w:rPr>
        <w:t>International Business: Competing in the Global Marketplace</w:t>
      </w:r>
      <w:r w:rsidRPr="0099006E">
        <w:rPr>
          <w:rFonts w:ascii="Arial" w:hAnsi="Arial" w:cs="Arial"/>
        </w:rPr>
        <w:t>. 14th edn. New York: McGraw-Hill.</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Ministry of Health &amp; Family Welfare India (2023) </w:t>
      </w:r>
      <w:r w:rsidRPr="0099006E">
        <w:rPr>
          <w:rFonts w:ascii="Arial" w:hAnsi="Arial" w:cs="Arial"/>
          <w:i/>
          <w:iCs/>
        </w:rPr>
        <w:t>National Health Profile 2023</w:t>
      </w:r>
      <w:r w:rsidRPr="0099006E">
        <w:rPr>
          <w:rFonts w:ascii="Arial" w:hAnsi="Arial" w:cs="Arial"/>
        </w:rPr>
        <w:t>. New Delhi: Government of India.</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Ntara, C. (2022) 'The international business landscape: paradigms, research gaps and new realities', </w:t>
      </w:r>
      <w:r w:rsidRPr="0099006E">
        <w:rPr>
          <w:rFonts w:ascii="Arial" w:hAnsi="Arial" w:cs="Arial"/>
          <w:i/>
          <w:iCs/>
        </w:rPr>
        <w:t>International Trade, Politics and Development</w:t>
      </w:r>
      <w:r w:rsidRPr="0099006E">
        <w:rPr>
          <w:rFonts w:ascii="Arial" w:hAnsi="Arial" w:cs="Arial"/>
        </w:rPr>
        <w:t>, 6(3), pp. 143–158. doi:10.1108/ITPD-05-2022-0006.</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Paul, J. and Feliciano-Cestero, M.M. (2020) 'Five decades of research on foreign direct investment by MNEs: An overview and research agenda', </w:t>
      </w:r>
      <w:r w:rsidRPr="0099006E">
        <w:rPr>
          <w:rFonts w:ascii="Arial" w:hAnsi="Arial" w:cs="Arial"/>
          <w:i/>
          <w:iCs/>
        </w:rPr>
        <w:t>Journal of Business Research</w:t>
      </w:r>
      <w:r w:rsidRPr="0099006E">
        <w:rPr>
          <w:rFonts w:ascii="Arial" w:hAnsi="Arial" w:cs="Arial"/>
        </w:rPr>
        <w:t>, 111, pp. 148–167. doi:10.1016/j.jbusres.2020.04.017.</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PwC (2024) </w:t>
      </w:r>
      <w:r w:rsidRPr="0099006E">
        <w:rPr>
          <w:rFonts w:ascii="Arial" w:hAnsi="Arial" w:cs="Arial"/>
          <w:i/>
          <w:iCs/>
        </w:rPr>
        <w:t>India Pharma Inc: Reimagining the Future</w:t>
      </w:r>
      <w:r w:rsidRPr="0099006E">
        <w:rPr>
          <w:rFonts w:ascii="Arial" w:hAnsi="Arial" w:cs="Arial"/>
        </w:rPr>
        <w:t>. Available at: https://www.pwc.com (Accessed: 29 November 2025).</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lastRenderedPageBreak/>
        <w:t xml:space="preserve">Rugman, A.M. and Verbeke, A. (2020) </w:t>
      </w:r>
      <w:r w:rsidRPr="0099006E">
        <w:rPr>
          <w:rFonts w:ascii="Arial" w:hAnsi="Arial" w:cs="Arial"/>
          <w:i/>
          <w:iCs/>
        </w:rPr>
        <w:t>Global Corporate Strategy and International Business</w:t>
      </w:r>
      <w:r w:rsidRPr="0099006E">
        <w:rPr>
          <w:rFonts w:ascii="Arial" w:hAnsi="Arial" w:cs="Arial"/>
        </w:rPr>
        <w:t>. London: Routledge.</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Shiferaw, R.M. and Kero, C.A. (2024) 'Dynamic capabilities view practices of business firms: a systematic literature review', </w:t>
      </w:r>
      <w:r w:rsidRPr="0099006E">
        <w:rPr>
          <w:rFonts w:ascii="Arial" w:hAnsi="Arial" w:cs="Arial"/>
          <w:i/>
          <w:iCs/>
        </w:rPr>
        <w:t>Cogent Business &amp; Management</w:t>
      </w:r>
      <w:r w:rsidRPr="0099006E">
        <w:rPr>
          <w:rFonts w:ascii="Arial" w:hAnsi="Arial" w:cs="Arial"/>
        </w:rPr>
        <w:t>, 11(1), p. 2336309. doi:10.1080/23311975.2024.2336309.</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Srinivasan, R. and Venkatraman, N. (2020) 'Cultural influences on business practices in India', </w:t>
      </w:r>
      <w:r w:rsidRPr="0099006E">
        <w:rPr>
          <w:rFonts w:ascii="Arial" w:hAnsi="Arial" w:cs="Arial"/>
          <w:i/>
          <w:iCs/>
        </w:rPr>
        <w:t>Asia Pacific Journal of Management</w:t>
      </w:r>
      <w:r w:rsidRPr="0099006E">
        <w:rPr>
          <w:rFonts w:ascii="Arial" w:hAnsi="Arial" w:cs="Arial"/>
        </w:rPr>
        <w:t>, 37(4), pp. 987–1010. doi:10.1007/s10490-018-9595-5.</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Verbeke, A. (2022) 'Three simple guidelines to make the dynamic capabilities paradigm actionable in international business research', </w:t>
      </w:r>
      <w:r w:rsidRPr="0099006E">
        <w:rPr>
          <w:rFonts w:ascii="Arial" w:hAnsi="Arial" w:cs="Arial"/>
          <w:i/>
          <w:iCs/>
        </w:rPr>
        <w:t>Journal of International Business Studies</w:t>
      </w:r>
      <w:r w:rsidRPr="0099006E">
        <w:rPr>
          <w:rFonts w:ascii="Arial" w:hAnsi="Arial" w:cs="Arial"/>
        </w:rPr>
        <w:t>, 53, pp. 573–582. doi:10.1057/s41267-022-00517-7.</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WHO (2023) </w:t>
      </w:r>
      <w:r w:rsidRPr="0099006E">
        <w:rPr>
          <w:rFonts w:ascii="Arial" w:hAnsi="Arial" w:cs="Arial"/>
          <w:i/>
          <w:iCs/>
        </w:rPr>
        <w:t>Global Medicines Strategy 2023–2030</w:t>
      </w:r>
      <w:r w:rsidRPr="0099006E">
        <w:rPr>
          <w:rFonts w:ascii="Arial" w:hAnsi="Arial" w:cs="Arial"/>
        </w:rPr>
        <w:t xml:space="preserve">. Available at: </w:t>
      </w:r>
      <w:hyperlink r:id="rId16" w:history="1">
        <w:r w:rsidRPr="0099006E">
          <w:rPr>
            <w:rStyle w:val="Hyperlink"/>
            <w:rFonts w:ascii="Arial" w:hAnsi="Arial" w:cs="Arial"/>
          </w:rPr>
          <w:t>https://www.who.int</w:t>
        </w:r>
      </w:hyperlink>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Zahra, S.A., Petricevic, O. and Luo, Y. (2022) 'Toward an action-based view of dynamic capabilities for international business', </w:t>
      </w:r>
      <w:r w:rsidRPr="0099006E">
        <w:rPr>
          <w:rFonts w:ascii="Arial" w:hAnsi="Arial" w:cs="Arial"/>
          <w:i/>
          <w:iCs/>
        </w:rPr>
        <w:t>Journal of International Business Studies</w:t>
      </w:r>
      <w:r w:rsidRPr="0099006E">
        <w:rPr>
          <w:rFonts w:ascii="Arial" w:hAnsi="Arial" w:cs="Arial"/>
        </w:rPr>
        <w:t>, 53, pp. 583–600. doi:10.1057/s41267-022-00518-6.</w:t>
      </w:r>
    </w:p>
    <w:p w:rsidR="00CA25DC" w:rsidRPr="0099006E" w:rsidRDefault="00CA25DC" w:rsidP="0099006E">
      <w:pPr>
        <w:pStyle w:val="ListParagraph"/>
        <w:numPr>
          <w:ilvl w:val="0"/>
          <w:numId w:val="5"/>
        </w:numPr>
        <w:spacing w:line="360" w:lineRule="auto"/>
        <w:jc w:val="both"/>
        <w:rPr>
          <w:rFonts w:ascii="Arial" w:hAnsi="Arial" w:cs="Arial"/>
        </w:rPr>
      </w:pPr>
      <w:r w:rsidRPr="0099006E">
        <w:rPr>
          <w:rFonts w:ascii="Arial" w:hAnsi="Arial" w:cs="Arial"/>
        </w:rPr>
        <w:t xml:space="preserve">Zeng, J., Grøgaard, B. and Bettis, R.A. (2022) 'Rethinking the transnational corporation in a post-pandemic world', </w:t>
      </w:r>
      <w:r w:rsidRPr="0099006E">
        <w:rPr>
          <w:rFonts w:ascii="Arial" w:hAnsi="Arial" w:cs="Arial"/>
          <w:i/>
          <w:iCs/>
        </w:rPr>
        <w:t>International Business Review</w:t>
      </w:r>
      <w:r w:rsidRPr="0099006E">
        <w:rPr>
          <w:rFonts w:ascii="Arial" w:hAnsi="Arial" w:cs="Arial"/>
        </w:rPr>
        <w:t>, 31(5), p. 102021. doi:10.1016/j.ibusrev.2022.102021.</w:t>
      </w:r>
    </w:p>
    <w:p w:rsidR="00CE598E" w:rsidRDefault="00CE598E"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FA66BF" w:rsidRDefault="00FA66BF" w:rsidP="007310DF">
      <w:pPr>
        <w:spacing w:line="360" w:lineRule="auto"/>
        <w:jc w:val="both"/>
        <w:rPr>
          <w:rFonts w:ascii="Arial" w:hAnsi="Arial" w:cs="Arial"/>
        </w:rPr>
      </w:pPr>
    </w:p>
    <w:p w:rsidR="004D7BA4" w:rsidRDefault="004D7BA4" w:rsidP="007310DF">
      <w:pPr>
        <w:spacing w:line="360" w:lineRule="auto"/>
        <w:jc w:val="both"/>
        <w:rPr>
          <w:rFonts w:ascii="Arial" w:hAnsi="Arial" w:cs="Arial"/>
        </w:rPr>
      </w:pPr>
    </w:p>
    <w:p w:rsidR="004D7BA4" w:rsidRDefault="004D7BA4" w:rsidP="004D7BA4">
      <w:pPr>
        <w:pStyle w:val="Heading1"/>
      </w:pPr>
      <w:bookmarkStart w:id="38" w:name="_Toc215312872"/>
      <w:r>
        <w:t>Appendices</w:t>
      </w:r>
      <w:bookmarkEnd w:id="38"/>
    </w:p>
    <w:p w:rsidR="004D7BA4" w:rsidRPr="004D7BA4" w:rsidRDefault="004D7BA4" w:rsidP="004D7BA4">
      <w:pPr>
        <w:pStyle w:val="Heading2"/>
      </w:pPr>
      <w:bookmarkStart w:id="39" w:name="_Toc215312873"/>
      <w:r>
        <w:t>A</w:t>
      </w:r>
      <w:r w:rsidRPr="004D7BA4">
        <w:t>. OLI Framework Summary (Ownership–Location–Internalisation)</w:t>
      </w:r>
      <w:bookmarkEnd w:id="39"/>
    </w:p>
    <w:p w:rsidR="004D7BA4" w:rsidRPr="004D7BA4" w:rsidRDefault="004D7BA4" w:rsidP="004D7BA4">
      <w:pPr>
        <w:rPr>
          <w:rFonts w:ascii="Arial" w:hAnsi="Arial" w:cs="Arial"/>
          <w:b/>
          <w:bCs/>
        </w:rPr>
      </w:pPr>
      <w:r w:rsidRPr="004D7BA4">
        <w:rPr>
          <w:rFonts w:ascii="Arial" w:hAnsi="Arial" w:cs="Arial"/>
          <w:b/>
          <w:bCs/>
        </w:rPr>
        <w:t>Ownership Advantages</w:t>
      </w:r>
    </w:p>
    <w:p w:rsidR="004D7BA4" w:rsidRPr="004D7BA4" w:rsidRDefault="004D7BA4" w:rsidP="004D7BA4">
      <w:pPr>
        <w:numPr>
          <w:ilvl w:val="0"/>
          <w:numId w:val="2"/>
        </w:numPr>
        <w:rPr>
          <w:rFonts w:ascii="Arial" w:hAnsi="Arial" w:cs="Arial"/>
        </w:rPr>
      </w:pPr>
      <w:r w:rsidRPr="004D7BA4">
        <w:rPr>
          <w:rFonts w:ascii="Arial" w:hAnsi="Arial" w:cs="Arial"/>
        </w:rPr>
        <w:t>Strong global brand</w:t>
      </w:r>
    </w:p>
    <w:p w:rsidR="004D7BA4" w:rsidRPr="004D7BA4" w:rsidRDefault="004D7BA4" w:rsidP="004D7BA4">
      <w:pPr>
        <w:numPr>
          <w:ilvl w:val="0"/>
          <w:numId w:val="2"/>
        </w:numPr>
        <w:rPr>
          <w:rFonts w:ascii="Arial" w:hAnsi="Arial" w:cs="Arial"/>
        </w:rPr>
      </w:pPr>
      <w:r w:rsidRPr="004D7BA4">
        <w:rPr>
          <w:rFonts w:ascii="Arial" w:hAnsi="Arial" w:cs="Arial"/>
        </w:rPr>
        <w:t>Broad patent and IP portfolio</w:t>
      </w:r>
    </w:p>
    <w:p w:rsidR="004D7BA4" w:rsidRPr="004D7BA4" w:rsidRDefault="004D7BA4" w:rsidP="004D7BA4">
      <w:pPr>
        <w:numPr>
          <w:ilvl w:val="0"/>
          <w:numId w:val="2"/>
        </w:numPr>
        <w:rPr>
          <w:rFonts w:ascii="Arial" w:hAnsi="Arial" w:cs="Arial"/>
        </w:rPr>
      </w:pPr>
      <w:r w:rsidRPr="004D7BA4">
        <w:rPr>
          <w:rFonts w:ascii="Arial" w:hAnsi="Arial" w:cs="Arial"/>
        </w:rPr>
        <w:t>Large-scale R&amp;D capability</w:t>
      </w:r>
    </w:p>
    <w:p w:rsidR="004D7BA4" w:rsidRPr="004D7BA4" w:rsidRDefault="004D7BA4" w:rsidP="004D7BA4">
      <w:pPr>
        <w:numPr>
          <w:ilvl w:val="0"/>
          <w:numId w:val="2"/>
        </w:numPr>
        <w:rPr>
          <w:rFonts w:ascii="Arial" w:hAnsi="Arial" w:cs="Arial"/>
        </w:rPr>
      </w:pPr>
      <w:r w:rsidRPr="004D7BA4">
        <w:rPr>
          <w:rFonts w:ascii="Arial" w:hAnsi="Arial" w:cs="Arial"/>
        </w:rPr>
        <w:t>Financial strength enabling investment</w:t>
      </w:r>
    </w:p>
    <w:p w:rsidR="004D7BA4" w:rsidRPr="004D7BA4" w:rsidRDefault="004D7BA4" w:rsidP="004D7BA4">
      <w:pPr>
        <w:rPr>
          <w:rFonts w:ascii="Arial" w:hAnsi="Arial" w:cs="Arial"/>
          <w:b/>
          <w:bCs/>
        </w:rPr>
      </w:pPr>
      <w:r w:rsidRPr="004D7BA4">
        <w:rPr>
          <w:rFonts w:ascii="Arial" w:hAnsi="Arial" w:cs="Arial"/>
          <w:b/>
          <w:bCs/>
        </w:rPr>
        <w:t>Location Advantages (India)</w:t>
      </w:r>
    </w:p>
    <w:p w:rsidR="004D7BA4" w:rsidRPr="004D7BA4" w:rsidRDefault="004D7BA4" w:rsidP="004D7BA4">
      <w:pPr>
        <w:numPr>
          <w:ilvl w:val="0"/>
          <w:numId w:val="3"/>
        </w:numPr>
        <w:rPr>
          <w:rFonts w:ascii="Arial" w:hAnsi="Arial" w:cs="Arial"/>
        </w:rPr>
      </w:pPr>
      <w:r w:rsidRPr="004D7BA4">
        <w:rPr>
          <w:rFonts w:ascii="Arial" w:hAnsi="Arial" w:cs="Arial"/>
        </w:rPr>
        <w:t>Large patient population</w:t>
      </w:r>
    </w:p>
    <w:p w:rsidR="004D7BA4" w:rsidRPr="004D7BA4" w:rsidRDefault="004D7BA4" w:rsidP="004D7BA4">
      <w:pPr>
        <w:numPr>
          <w:ilvl w:val="0"/>
          <w:numId w:val="3"/>
        </w:numPr>
        <w:rPr>
          <w:rFonts w:ascii="Arial" w:hAnsi="Arial" w:cs="Arial"/>
        </w:rPr>
      </w:pPr>
      <w:r w:rsidRPr="004D7BA4">
        <w:rPr>
          <w:rFonts w:ascii="Arial" w:hAnsi="Arial" w:cs="Arial"/>
        </w:rPr>
        <w:t>Rapidly growing pharmaceutical market</w:t>
      </w:r>
    </w:p>
    <w:p w:rsidR="004D7BA4" w:rsidRPr="004D7BA4" w:rsidRDefault="004D7BA4" w:rsidP="004D7BA4">
      <w:pPr>
        <w:numPr>
          <w:ilvl w:val="0"/>
          <w:numId w:val="3"/>
        </w:numPr>
        <w:rPr>
          <w:rFonts w:ascii="Arial" w:hAnsi="Arial" w:cs="Arial"/>
        </w:rPr>
      </w:pPr>
      <w:r w:rsidRPr="004D7BA4">
        <w:rPr>
          <w:rFonts w:ascii="Arial" w:hAnsi="Arial" w:cs="Arial"/>
        </w:rPr>
        <w:t>Competitive labour cost</w:t>
      </w:r>
    </w:p>
    <w:p w:rsidR="004D7BA4" w:rsidRPr="004D7BA4" w:rsidRDefault="004D7BA4" w:rsidP="004D7BA4">
      <w:pPr>
        <w:numPr>
          <w:ilvl w:val="0"/>
          <w:numId w:val="3"/>
        </w:numPr>
        <w:rPr>
          <w:rFonts w:ascii="Arial" w:hAnsi="Arial" w:cs="Arial"/>
        </w:rPr>
      </w:pPr>
      <w:r w:rsidRPr="004D7BA4">
        <w:rPr>
          <w:rFonts w:ascii="Arial" w:hAnsi="Arial" w:cs="Arial"/>
        </w:rPr>
        <w:t>Favourable FDI policy</w:t>
      </w:r>
    </w:p>
    <w:p w:rsidR="004D7BA4" w:rsidRPr="004D7BA4" w:rsidRDefault="004D7BA4" w:rsidP="004D7BA4">
      <w:pPr>
        <w:numPr>
          <w:ilvl w:val="0"/>
          <w:numId w:val="3"/>
        </w:numPr>
        <w:rPr>
          <w:rFonts w:ascii="Arial" w:hAnsi="Arial" w:cs="Arial"/>
        </w:rPr>
      </w:pPr>
      <w:r w:rsidRPr="004D7BA4">
        <w:rPr>
          <w:rFonts w:ascii="Arial" w:hAnsi="Arial" w:cs="Arial"/>
        </w:rPr>
        <w:t>Expanding healthcare infrastructure</w:t>
      </w:r>
    </w:p>
    <w:p w:rsidR="004D7BA4" w:rsidRPr="004D7BA4" w:rsidRDefault="004D7BA4" w:rsidP="004D7BA4">
      <w:pPr>
        <w:rPr>
          <w:rFonts w:ascii="Arial" w:hAnsi="Arial" w:cs="Arial"/>
          <w:b/>
          <w:bCs/>
        </w:rPr>
      </w:pPr>
      <w:r w:rsidRPr="004D7BA4">
        <w:rPr>
          <w:rFonts w:ascii="Arial" w:hAnsi="Arial" w:cs="Arial"/>
          <w:b/>
          <w:bCs/>
        </w:rPr>
        <w:t>Internalisation Advantages</w:t>
      </w:r>
    </w:p>
    <w:p w:rsidR="004D7BA4" w:rsidRPr="004D7BA4" w:rsidRDefault="004D7BA4" w:rsidP="004D7BA4">
      <w:pPr>
        <w:numPr>
          <w:ilvl w:val="0"/>
          <w:numId w:val="4"/>
        </w:numPr>
        <w:rPr>
          <w:rFonts w:ascii="Arial" w:hAnsi="Arial" w:cs="Arial"/>
        </w:rPr>
      </w:pPr>
      <w:r w:rsidRPr="004D7BA4">
        <w:rPr>
          <w:rFonts w:ascii="Arial" w:hAnsi="Arial" w:cs="Arial"/>
        </w:rPr>
        <w:t>Protection of intellectual property</w:t>
      </w:r>
    </w:p>
    <w:p w:rsidR="004D7BA4" w:rsidRPr="004D7BA4" w:rsidRDefault="004D7BA4" w:rsidP="004D7BA4">
      <w:pPr>
        <w:numPr>
          <w:ilvl w:val="0"/>
          <w:numId w:val="4"/>
        </w:numPr>
        <w:rPr>
          <w:rFonts w:ascii="Arial" w:hAnsi="Arial" w:cs="Arial"/>
        </w:rPr>
      </w:pPr>
      <w:r w:rsidRPr="004D7BA4">
        <w:rPr>
          <w:rFonts w:ascii="Arial" w:hAnsi="Arial" w:cs="Arial"/>
        </w:rPr>
        <w:t>Full control over clinical research quality</w:t>
      </w:r>
    </w:p>
    <w:p w:rsidR="004D7BA4" w:rsidRPr="004D7BA4" w:rsidRDefault="004D7BA4" w:rsidP="004D7BA4">
      <w:pPr>
        <w:numPr>
          <w:ilvl w:val="0"/>
          <w:numId w:val="4"/>
        </w:numPr>
        <w:rPr>
          <w:rFonts w:ascii="Arial" w:hAnsi="Arial" w:cs="Arial"/>
        </w:rPr>
      </w:pPr>
      <w:r w:rsidRPr="004D7BA4">
        <w:rPr>
          <w:rFonts w:ascii="Arial" w:hAnsi="Arial" w:cs="Arial"/>
        </w:rPr>
        <w:t>Consistent manufacturing and supply-chain standards</w:t>
      </w:r>
    </w:p>
    <w:p w:rsidR="004D7BA4" w:rsidRPr="004D7BA4" w:rsidRDefault="004D7BA4" w:rsidP="004D7BA4">
      <w:pPr>
        <w:numPr>
          <w:ilvl w:val="0"/>
          <w:numId w:val="4"/>
        </w:numPr>
        <w:rPr>
          <w:rFonts w:ascii="Arial" w:hAnsi="Arial" w:cs="Arial"/>
        </w:rPr>
      </w:pPr>
      <w:r w:rsidRPr="004D7BA4">
        <w:rPr>
          <w:rFonts w:ascii="Arial" w:hAnsi="Arial" w:cs="Arial"/>
        </w:rPr>
        <w:t>Reduced regulatory and operational risk</w:t>
      </w:r>
    </w:p>
    <w:p w:rsidR="004D7BA4" w:rsidRPr="004D7BA4" w:rsidRDefault="004D7BA4" w:rsidP="004D7BA4">
      <w:pPr>
        <w:rPr>
          <w:rFonts w:ascii="Arial" w:hAnsi="Arial" w:cs="Arial"/>
          <w:b/>
          <w:bCs/>
        </w:rPr>
      </w:pPr>
      <w:r w:rsidRPr="004D7BA4">
        <w:rPr>
          <w:rFonts w:ascii="Arial" w:hAnsi="Arial" w:cs="Arial"/>
          <w:b/>
          <w:bCs/>
        </w:rPr>
        <w:t>2. Cultural Dimensions Summary (Based on Hofstede Model)</w:t>
      </w:r>
    </w:p>
    <w:tbl>
      <w:tblPr>
        <w:tblStyle w:val="PlainTable2"/>
        <w:tblW w:w="0" w:type="auto"/>
        <w:tblLook w:val="04A0"/>
      </w:tblPr>
      <w:tblGrid>
        <w:gridCol w:w="2388"/>
        <w:gridCol w:w="1360"/>
        <w:gridCol w:w="1385"/>
        <w:gridCol w:w="4443"/>
      </w:tblGrid>
      <w:tr w:rsidR="004D7BA4" w:rsidRPr="004D7BA4" w:rsidTr="004D7BA4">
        <w:trPr>
          <w:cnfStyle w:val="100000000000"/>
        </w:trPr>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t>Dimension</w:t>
            </w:r>
          </w:p>
        </w:tc>
        <w:tc>
          <w:tcPr>
            <w:tcW w:w="0" w:type="auto"/>
            <w:hideMark/>
          </w:tcPr>
          <w:p w:rsidR="004D7BA4" w:rsidRPr="004D7BA4" w:rsidRDefault="004D7BA4" w:rsidP="004D7BA4">
            <w:pPr>
              <w:spacing w:after="160" w:line="278" w:lineRule="auto"/>
              <w:cnfStyle w:val="100000000000"/>
              <w:rPr>
                <w:rFonts w:ascii="Arial" w:hAnsi="Arial" w:cs="Arial"/>
              </w:rPr>
            </w:pPr>
            <w:r w:rsidRPr="004D7BA4">
              <w:rPr>
                <w:rFonts w:ascii="Arial" w:hAnsi="Arial" w:cs="Arial"/>
              </w:rPr>
              <w:t>UK</w:t>
            </w:r>
          </w:p>
        </w:tc>
        <w:tc>
          <w:tcPr>
            <w:tcW w:w="0" w:type="auto"/>
            <w:hideMark/>
          </w:tcPr>
          <w:p w:rsidR="004D7BA4" w:rsidRPr="004D7BA4" w:rsidRDefault="004D7BA4" w:rsidP="004D7BA4">
            <w:pPr>
              <w:spacing w:after="160" w:line="278" w:lineRule="auto"/>
              <w:cnfStyle w:val="100000000000"/>
              <w:rPr>
                <w:rFonts w:ascii="Arial" w:hAnsi="Arial" w:cs="Arial"/>
              </w:rPr>
            </w:pPr>
            <w:r w:rsidRPr="004D7BA4">
              <w:rPr>
                <w:rFonts w:ascii="Arial" w:hAnsi="Arial" w:cs="Arial"/>
              </w:rPr>
              <w:t>India</w:t>
            </w:r>
          </w:p>
        </w:tc>
        <w:tc>
          <w:tcPr>
            <w:tcW w:w="0" w:type="auto"/>
            <w:hideMark/>
          </w:tcPr>
          <w:p w:rsidR="004D7BA4" w:rsidRPr="004D7BA4" w:rsidRDefault="004D7BA4" w:rsidP="004D7BA4">
            <w:pPr>
              <w:spacing w:after="160" w:line="278" w:lineRule="auto"/>
              <w:cnfStyle w:val="100000000000"/>
              <w:rPr>
                <w:rFonts w:ascii="Arial" w:hAnsi="Arial" w:cs="Arial"/>
              </w:rPr>
            </w:pPr>
            <w:r w:rsidRPr="004D7BA4">
              <w:rPr>
                <w:rFonts w:ascii="Arial" w:hAnsi="Arial" w:cs="Arial"/>
              </w:rPr>
              <w:t>Implications</w:t>
            </w:r>
          </w:p>
        </w:tc>
      </w:tr>
      <w:tr w:rsidR="004D7BA4" w:rsidRPr="004D7BA4" w:rsidTr="004D7BA4">
        <w:trPr>
          <w:cnfStyle w:val="000000100000"/>
        </w:trPr>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t>Power Distance</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Low</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High</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Requires more structured hierarchy and clear reporting lines in India</w:t>
            </w:r>
          </w:p>
        </w:tc>
      </w:tr>
      <w:tr w:rsidR="004D7BA4" w:rsidRPr="004D7BA4" w:rsidTr="004D7BA4">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t>Individualism</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Very high</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Moderate</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Team-focused communication and family involvement key in India</w:t>
            </w:r>
          </w:p>
        </w:tc>
      </w:tr>
      <w:tr w:rsidR="004D7BA4" w:rsidRPr="004D7BA4" w:rsidTr="004D7BA4">
        <w:trPr>
          <w:cnfStyle w:val="000000100000"/>
        </w:trPr>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t xml:space="preserve">Uncertainty </w:t>
            </w:r>
            <w:r w:rsidRPr="004D7BA4">
              <w:rPr>
                <w:rFonts w:ascii="Arial" w:hAnsi="Arial" w:cs="Arial"/>
              </w:rPr>
              <w:lastRenderedPageBreak/>
              <w:t>Avoidance</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lastRenderedPageBreak/>
              <w:t>Low</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Moderate</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 xml:space="preserve">Indian teams expect more detailed </w:t>
            </w:r>
            <w:r w:rsidRPr="004D7BA4">
              <w:rPr>
                <w:rFonts w:ascii="Arial" w:hAnsi="Arial" w:cs="Arial"/>
              </w:rPr>
              <w:lastRenderedPageBreak/>
              <w:t>guidelines</w:t>
            </w:r>
          </w:p>
        </w:tc>
      </w:tr>
      <w:tr w:rsidR="004D7BA4" w:rsidRPr="004D7BA4" w:rsidTr="004D7BA4">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lastRenderedPageBreak/>
              <w:t>Long-Term Orientation</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Moderate</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High</w:t>
            </w:r>
          </w:p>
        </w:tc>
        <w:tc>
          <w:tcPr>
            <w:tcW w:w="0" w:type="auto"/>
            <w:hideMark/>
          </w:tcPr>
          <w:p w:rsidR="004D7BA4" w:rsidRPr="004D7BA4" w:rsidRDefault="004D7BA4" w:rsidP="004D7BA4">
            <w:pPr>
              <w:spacing w:after="160" w:line="278" w:lineRule="auto"/>
              <w:cnfStyle w:val="000000000000"/>
              <w:rPr>
                <w:rFonts w:ascii="Arial" w:hAnsi="Arial" w:cs="Arial"/>
              </w:rPr>
            </w:pPr>
            <w:r w:rsidRPr="004D7BA4">
              <w:rPr>
                <w:rFonts w:ascii="Arial" w:hAnsi="Arial" w:cs="Arial"/>
              </w:rPr>
              <w:t>Trust-building crucial in India</w:t>
            </w:r>
          </w:p>
        </w:tc>
      </w:tr>
      <w:tr w:rsidR="004D7BA4" w:rsidRPr="004D7BA4" w:rsidTr="004D7BA4">
        <w:trPr>
          <w:cnfStyle w:val="000000100000"/>
        </w:trPr>
        <w:tc>
          <w:tcPr>
            <w:cnfStyle w:val="001000000000"/>
            <w:tcW w:w="0" w:type="auto"/>
            <w:hideMark/>
          </w:tcPr>
          <w:p w:rsidR="004D7BA4" w:rsidRPr="004D7BA4" w:rsidRDefault="004D7BA4" w:rsidP="004D7BA4">
            <w:pPr>
              <w:spacing w:after="160" w:line="278" w:lineRule="auto"/>
              <w:rPr>
                <w:rFonts w:ascii="Arial" w:hAnsi="Arial" w:cs="Arial"/>
              </w:rPr>
            </w:pPr>
            <w:r w:rsidRPr="004D7BA4">
              <w:rPr>
                <w:rFonts w:ascii="Arial" w:hAnsi="Arial" w:cs="Arial"/>
              </w:rPr>
              <w:t>Communication Style</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Low-context</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High-context</w:t>
            </w:r>
          </w:p>
        </w:tc>
        <w:tc>
          <w:tcPr>
            <w:tcW w:w="0" w:type="auto"/>
            <w:hideMark/>
          </w:tcPr>
          <w:p w:rsidR="004D7BA4" w:rsidRPr="004D7BA4" w:rsidRDefault="004D7BA4" w:rsidP="004D7BA4">
            <w:pPr>
              <w:spacing w:after="160" w:line="278" w:lineRule="auto"/>
              <w:cnfStyle w:val="000000100000"/>
              <w:rPr>
                <w:rFonts w:ascii="Arial" w:hAnsi="Arial" w:cs="Arial"/>
              </w:rPr>
            </w:pPr>
            <w:r w:rsidRPr="004D7BA4">
              <w:rPr>
                <w:rFonts w:ascii="Arial" w:hAnsi="Arial" w:cs="Arial"/>
              </w:rPr>
              <w:t>Need for relationship-based interactions</w:t>
            </w:r>
          </w:p>
        </w:tc>
      </w:tr>
    </w:tbl>
    <w:p w:rsidR="004D7BA4" w:rsidRPr="004D7BA4" w:rsidRDefault="004D7BA4" w:rsidP="004D7BA4">
      <w:pPr>
        <w:rPr>
          <w:rFonts w:ascii="Arial" w:hAnsi="Arial" w:cs="Arial"/>
        </w:rPr>
      </w:pPr>
    </w:p>
    <w:sectPr w:rsidR="004D7BA4" w:rsidRPr="004D7BA4" w:rsidSect="001F5206">
      <w:footerReference w:type="default" r:id="rId17"/>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0E90" w:rsidRDefault="00860E90" w:rsidP="0045260B">
      <w:pPr>
        <w:spacing w:after="0" w:line="240" w:lineRule="auto"/>
      </w:pPr>
      <w:r>
        <w:separator/>
      </w:r>
    </w:p>
  </w:endnote>
  <w:endnote w:type="continuationSeparator" w:id="1">
    <w:p w:rsidR="00860E90" w:rsidRDefault="00860E90" w:rsidP="0045260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2984215"/>
      <w:docPartObj>
        <w:docPartGallery w:val="Page Numbers (Bottom of Page)"/>
        <w:docPartUnique/>
      </w:docPartObj>
    </w:sdtPr>
    <w:sdtEndPr>
      <w:rPr>
        <w:noProof/>
      </w:rPr>
    </w:sdtEndPr>
    <w:sdtContent>
      <w:p w:rsidR="0045260B" w:rsidRDefault="00AA71DE">
        <w:pPr>
          <w:pStyle w:val="Footer"/>
          <w:jc w:val="right"/>
        </w:pPr>
        <w:r>
          <w:fldChar w:fldCharType="begin"/>
        </w:r>
        <w:r w:rsidR="0045260B">
          <w:instrText xml:space="preserve"> PAGE   \* MERGEFORMAT </w:instrText>
        </w:r>
        <w:r>
          <w:fldChar w:fldCharType="separate"/>
        </w:r>
        <w:r w:rsidR="00B16BEB">
          <w:rPr>
            <w:noProof/>
          </w:rPr>
          <w:t>1</w:t>
        </w:r>
        <w:r>
          <w:rPr>
            <w:noProof/>
          </w:rPr>
          <w:fldChar w:fldCharType="end"/>
        </w:r>
      </w:p>
    </w:sdtContent>
  </w:sdt>
  <w:p w:rsidR="0045260B" w:rsidRDefault="0045260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5260B" w:rsidRDefault="00AA71DE">
    <w:pPr>
      <w:pStyle w:val="Footer"/>
      <w:jc w:val="right"/>
    </w:pPr>
    <w:r>
      <w:fldChar w:fldCharType="begin"/>
    </w:r>
    <w:r w:rsidR="0045260B">
      <w:instrText xml:space="preserve"> PAGE   \* MERGEFORMAT </w:instrText>
    </w:r>
    <w:r>
      <w:fldChar w:fldCharType="separate"/>
    </w:r>
    <w:r w:rsidR="00B16BEB">
      <w:rPr>
        <w:noProof/>
      </w:rPr>
      <w:t>25</w:t>
    </w:r>
    <w:r>
      <w:rPr>
        <w:noProof/>
      </w:rPr>
      <w:fldChar w:fldCharType="end"/>
    </w:r>
    <w:r>
      <w:rPr>
        <w:noProof/>
      </w:rPr>
    </w:r>
  </w:p>
  <w:p w:rsidR="0045260B" w:rsidRDefault="0045260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0E90" w:rsidRDefault="00860E90" w:rsidP="0045260B">
      <w:pPr>
        <w:spacing w:after="0" w:line="240" w:lineRule="auto"/>
      </w:pPr>
      <w:r>
        <w:separator/>
      </w:r>
    </w:p>
  </w:footnote>
  <w:footnote w:type="continuationSeparator" w:id="1">
    <w:p w:rsidR="00860E90" w:rsidRDefault="00860E90" w:rsidP="0045260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FBE3084"/>
    <w:multiLevelType w:val="multilevel"/>
    <w:tmpl w:val="D8EC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4AA5FC1"/>
    <w:multiLevelType w:val="hybridMultilevel"/>
    <w:tmpl w:val="69C659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1B644E4"/>
    <w:multiLevelType w:val="hybridMultilevel"/>
    <w:tmpl w:val="4C3E52C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nsid w:val="63922BEE"/>
    <w:multiLevelType w:val="multilevel"/>
    <w:tmpl w:val="F32A3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3F170C9"/>
    <w:multiLevelType w:val="multilevel"/>
    <w:tmpl w:val="5410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B6F4C"/>
    <w:rsid w:val="00037FB1"/>
    <w:rsid w:val="0005674E"/>
    <w:rsid w:val="0019059C"/>
    <w:rsid w:val="001F5206"/>
    <w:rsid w:val="002063B8"/>
    <w:rsid w:val="0022639C"/>
    <w:rsid w:val="00243725"/>
    <w:rsid w:val="00251DE4"/>
    <w:rsid w:val="003543F9"/>
    <w:rsid w:val="00374725"/>
    <w:rsid w:val="003B0882"/>
    <w:rsid w:val="003B6F4C"/>
    <w:rsid w:val="00404F1B"/>
    <w:rsid w:val="0045260B"/>
    <w:rsid w:val="004C03AA"/>
    <w:rsid w:val="004D7BA4"/>
    <w:rsid w:val="004F3A1F"/>
    <w:rsid w:val="004F4F9D"/>
    <w:rsid w:val="00693303"/>
    <w:rsid w:val="006A628B"/>
    <w:rsid w:val="007310DF"/>
    <w:rsid w:val="007910CE"/>
    <w:rsid w:val="007A6DB1"/>
    <w:rsid w:val="00817459"/>
    <w:rsid w:val="00860E90"/>
    <w:rsid w:val="00892329"/>
    <w:rsid w:val="008C072C"/>
    <w:rsid w:val="0099006E"/>
    <w:rsid w:val="009A1EDF"/>
    <w:rsid w:val="009D2881"/>
    <w:rsid w:val="00A43203"/>
    <w:rsid w:val="00AA71DE"/>
    <w:rsid w:val="00B16BEB"/>
    <w:rsid w:val="00B2042F"/>
    <w:rsid w:val="00B914B8"/>
    <w:rsid w:val="00BD68C2"/>
    <w:rsid w:val="00C10307"/>
    <w:rsid w:val="00C135D4"/>
    <w:rsid w:val="00C3049A"/>
    <w:rsid w:val="00C70594"/>
    <w:rsid w:val="00C75C71"/>
    <w:rsid w:val="00CA25DC"/>
    <w:rsid w:val="00CA5910"/>
    <w:rsid w:val="00CE598E"/>
    <w:rsid w:val="00D55B9B"/>
    <w:rsid w:val="00DA688B"/>
    <w:rsid w:val="00DD5D97"/>
    <w:rsid w:val="00DF4E2C"/>
    <w:rsid w:val="00E90AC6"/>
    <w:rsid w:val="00EC0333"/>
    <w:rsid w:val="00F21D8B"/>
    <w:rsid w:val="00F6490C"/>
    <w:rsid w:val="00FA66BF"/>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71DE"/>
  </w:style>
  <w:style w:type="paragraph" w:styleId="Heading1">
    <w:name w:val="heading 1"/>
    <w:basedOn w:val="Normal"/>
    <w:next w:val="Normal"/>
    <w:link w:val="Heading1Char"/>
    <w:uiPriority w:val="9"/>
    <w:qFormat/>
    <w:rsid w:val="00892329"/>
    <w:pPr>
      <w:keepNext/>
      <w:keepLines/>
      <w:spacing w:before="360" w:after="80" w:line="360" w:lineRule="auto"/>
      <w:outlineLvl w:val="0"/>
    </w:pPr>
    <w:rPr>
      <w:rFonts w:ascii="Arial" w:eastAsiaTheme="majorEastAsia" w:hAnsi="Arial" w:cstheme="majorBidi"/>
      <w:b/>
      <w:sz w:val="32"/>
      <w:szCs w:val="40"/>
    </w:rPr>
  </w:style>
  <w:style w:type="paragraph" w:styleId="Heading2">
    <w:name w:val="heading 2"/>
    <w:basedOn w:val="Normal"/>
    <w:next w:val="Normal"/>
    <w:link w:val="Heading2Char"/>
    <w:uiPriority w:val="9"/>
    <w:unhideWhenUsed/>
    <w:qFormat/>
    <w:rsid w:val="00892329"/>
    <w:pPr>
      <w:keepNext/>
      <w:keepLines/>
      <w:spacing w:before="160" w:after="80" w:line="360" w:lineRule="auto"/>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unhideWhenUsed/>
    <w:qFormat/>
    <w:rsid w:val="00892329"/>
    <w:pPr>
      <w:keepNext/>
      <w:keepLines/>
      <w:spacing w:before="160" w:after="80" w:line="360" w:lineRule="auto"/>
      <w:outlineLvl w:val="2"/>
    </w:pPr>
    <w:rPr>
      <w:rFonts w:ascii="Arial" w:eastAsiaTheme="majorEastAsia" w:hAnsi="Arial" w:cstheme="majorBidi"/>
      <w:b/>
      <w:szCs w:val="28"/>
    </w:rPr>
  </w:style>
  <w:style w:type="paragraph" w:styleId="Heading4">
    <w:name w:val="heading 4"/>
    <w:basedOn w:val="Normal"/>
    <w:next w:val="Normal"/>
    <w:link w:val="Heading4Char"/>
    <w:uiPriority w:val="9"/>
    <w:unhideWhenUsed/>
    <w:qFormat/>
    <w:rsid w:val="00892329"/>
    <w:pPr>
      <w:keepNext/>
      <w:keepLines/>
      <w:spacing w:before="80" w:after="40" w:line="360" w:lineRule="auto"/>
      <w:outlineLvl w:val="3"/>
    </w:pPr>
    <w:rPr>
      <w:rFonts w:ascii="Arial" w:eastAsiaTheme="majorEastAsia" w:hAnsi="Arial" w:cstheme="majorBidi"/>
      <w:b/>
      <w:iCs/>
    </w:rPr>
  </w:style>
  <w:style w:type="paragraph" w:styleId="Heading5">
    <w:name w:val="heading 5"/>
    <w:basedOn w:val="Normal"/>
    <w:next w:val="Normal"/>
    <w:link w:val="Heading5Char"/>
    <w:uiPriority w:val="9"/>
    <w:semiHidden/>
    <w:unhideWhenUsed/>
    <w:qFormat/>
    <w:rsid w:val="003B6F4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B6F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F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F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F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2329"/>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892329"/>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892329"/>
    <w:rPr>
      <w:rFonts w:ascii="Arial" w:eastAsiaTheme="majorEastAsia" w:hAnsi="Arial" w:cstheme="majorBidi"/>
      <w:b/>
      <w:szCs w:val="28"/>
    </w:rPr>
  </w:style>
  <w:style w:type="character" w:customStyle="1" w:styleId="Heading4Char">
    <w:name w:val="Heading 4 Char"/>
    <w:basedOn w:val="DefaultParagraphFont"/>
    <w:link w:val="Heading4"/>
    <w:uiPriority w:val="9"/>
    <w:rsid w:val="00892329"/>
    <w:rPr>
      <w:rFonts w:ascii="Arial" w:eastAsiaTheme="majorEastAsia" w:hAnsi="Arial" w:cstheme="majorBidi"/>
      <w:b/>
      <w:iCs/>
    </w:rPr>
  </w:style>
  <w:style w:type="character" w:customStyle="1" w:styleId="Heading5Char">
    <w:name w:val="Heading 5 Char"/>
    <w:basedOn w:val="DefaultParagraphFont"/>
    <w:link w:val="Heading5"/>
    <w:uiPriority w:val="9"/>
    <w:semiHidden/>
    <w:rsid w:val="003B6F4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B6F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F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F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F4C"/>
    <w:rPr>
      <w:rFonts w:eastAsiaTheme="majorEastAsia" w:cstheme="majorBidi"/>
      <w:color w:val="272727" w:themeColor="text1" w:themeTint="D8"/>
    </w:rPr>
  </w:style>
  <w:style w:type="paragraph" w:styleId="Title">
    <w:name w:val="Title"/>
    <w:basedOn w:val="Normal"/>
    <w:next w:val="Normal"/>
    <w:link w:val="TitleChar"/>
    <w:uiPriority w:val="10"/>
    <w:qFormat/>
    <w:rsid w:val="003B6F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F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F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F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F4C"/>
    <w:pPr>
      <w:spacing w:before="160"/>
      <w:jc w:val="center"/>
    </w:pPr>
    <w:rPr>
      <w:i/>
      <w:iCs/>
      <w:color w:val="404040" w:themeColor="text1" w:themeTint="BF"/>
    </w:rPr>
  </w:style>
  <w:style w:type="character" w:customStyle="1" w:styleId="QuoteChar">
    <w:name w:val="Quote Char"/>
    <w:basedOn w:val="DefaultParagraphFont"/>
    <w:link w:val="Quote"/>
    <w:uiPriority w:val="29"/>
    <w:rsid w:val="003B6F4C"/>
    <w:rPr>
      <w:i/>
      <w:iCs/>
      <w:color w:val="404040" w:themeColor="text1" w:themeTint="BF"/>
    </w:rPr>
  </w:style>
  <w:style w:type="paragraph" w:styleId="ListParagraph">
    <w:name w:val="List Paragraph"/>
    <w:basedOn w:val="Normal"/>
    <w:uiPriority w:val="34"/>
    <w:qFormat/>
    <w:rsid w:val="003B6F4C"/>
    <w:pPr>
      <w:ind w:left="720"/>
      <w:contextualSpacing/>
    </w:pPr>
  </w:style>
  <w:style w:type="character" w:styleId="IntenseEmphasis">
    <w:name w:val="Intense Emphasis"/>
    <w:basedOn w:val="DefaultParagraphFont"/>
    <w:uiPriority w:val="21"/>
    <w:qFormat/>
    <w:rsid w:val="003B6F4C"/>
    <w:rPr>
      <w:i/>
      <w:iCs/>
      <w:color w:val="2F5496" w:themeColor="accent1" w:themeShade="BF"/>
    </w:rPr>
  </w:style>
  <w:style w:type="paragraph" w:styleId="IntenseQuote">
    <w:name w:val="Intense Quote"/>
    <w:basedOn w:val="Normal"/>
    <w:next w:val="Normal"/>
    <w:link w:val="IntenseQuoteChar"/>
    <w:uiPriority w:val="30"/>
    <w:qFormat/>
    <w:rsid w:val="003B6F4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6F4C"/>
    <w:rPr>
      <w:i/>
      <w:iCs/>
      <w:color w:val="2F5496" w:themeColor="accent1" w:themeShade="BF"/>
    </w:rPr>
  </w:style>
  <w:style w:type="character" w:styleId="IntenseReference">
    <w:name w:val="Intense Reference"/>
    <w:basedOn w:val="DefaultParagraphFont"/>
    <w:uiPriority w:val="32"/>
    <w:qFormat/>
    <w:rsid w:val="003B6F4C"/>
    <w:rPr>
      <w:b/>
      <w:bCs/>
      <w:smallCaps/>
      <w:color w:val="2F5496" w:themeColor="accent1" w:themeShade="BF"/>
      <w:spacing w:val="5"/>
    </w:rPr>
  </w:style>
  <w:style w:type="character" w:styleId="Hyperlink">
    <w:name w:val="Hyperlink"/>
    <w:basedOn w:val="DefaultParagraphFont"/>
    <w:uiPriority w:val="99"/>
    <w:unhideWhenUsed/>
    <w:rsid w:val="00CA25DC"/>
    <w:rPr>
      <w:color w:val="0563C1" w:themeColor="hyperlink"/>
      <w:u w:val="single"/>
    </w:rPr>
  </w:style>
  <w:style w:type="character" w:customStyle="1" w:styleId="UnresolvedMention">
    <w:name w:val="Unresolved Mention"/>
    <w:basedOn w:val="DefaultParagraphFont"/>
    <w:uiPriority w:val="99"/>
    <w:semiHidden/>
    <w:unhideWhenUsed/>
    <w:rsid w:val="00CA25DC"/>
    <w:rPr>
      <w:color w:val="605E5C"/>
      <w:shd w:val="clear" w:color="auto" w:fill="E1DFDD"/>
    </w:rPr>
  </w:style>
  <w:style w:type="character" w:styleId="FollowedHyperlink">
    <w:name w:val="FollowedHyperlink"/>
    <w:basedOn w:val="DefaultParagraphFont"/>
    <w:uiPriority w:val="99"/>
    <w:semiHidden/>
    <w:unhideWhenUsed/>
    <w:rsid w:val="00CA25DC"/>
    <w:rPr>
      <w:color w:val="954F72" w:themeColor="followedHyperlink"/>
      <w:u w:val="single"/>
    </w:rPr>
  </w:style>
  <w:style w:type="paragraph" w:styleId="Caption">
    <w:name w:val="caption"/>
    <w:basedOn w:val="Normal"/>
    <w:next w:val="Normal"/>
    <w:uiPriority w:val="35"/>
    <w:unhideWhenUsed/>
    <w:qFormat/>
    <w:rsid w:val="00A43203"/>
    <w:pPr>
      <w:spacing w:after="200" w:line="240" w:lineRule="auto"/>
    </w:pPr>
    <w:rPr>
      <w:i/>
      <w:iCs/>
      <w:color w:val="44546A" w:themeColor="text2"/>
      <w:sz w:val="18"/>
      <w:szCs w:val="18"/>
    </w:rPr>
  </w:style>
  <w:style w:type="table" w:customStyle="1" w:styleId="PlainTable2">
    <w:name w:val="Plain Table 2"/>
    <w:basedOn w:val="TableNormal"/>
    <w:uiPriority w:val="42"/>
    <w:rsid w:val="004D7BA4"/>
    <w:pPr>
      <w:spacing w:after="0" w:line="240" w:lineRule="auto"/>
    </w:pPr>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45260B"/>
    <w:pPr>
      <w:spacing w:before="240" w:after="0" w:line="259" w:lineRule="auto"/>
      <w:outlineLvl w:val="9"/>
    </w:pPr>
    <w:rPr>
      <w:rFonts w:asciiTheme="majorHAnsi" w:hAnsiTheme="majorHAnsi"/>
      <w:b w:val="0"/>
      <w:color w:val="2F5496" w:themeColor="accent1" w:themeShade="BF"/>
      <w:kern w:val="0"/>
      <w:szCs w:val="32"/>
    </w:rPr>
  </w:style>
  <w:style w:type="paragraph" w:styleId="TOC1">
    <w:name w:val="toc 1"/>
    <w:basedOn w:val="Normal"/>
    <w:next w:val="Normal"/>
    <w:autoRedefine/>
    <w:uiPriority w:val="39"/>
    <w:unhideWhenUsed/>
    <w:rsid w:val="0045260B"/>
    <w:pPr>
      <w:tabs>
        <w:tab w:val="right" w:leader="dot" w:pos="9350"/>
      </w:tabs>
      <w:spacing w:after="100" w:line="360" w:lineRule="auto"/>
    </w:pPr>
    <w:rPr>
      <w:rFonts w:ascii="Arial" w:hAnsi="Arial" w:cs="Arial"/>
      <w:b/>
      <w:bCs/>
      <w:noProof/>
    </w:rPr>
  </w:style>
  <w:style w:type="paragraph" w:styleId="TOC2">
    <w:name w:val="toc 2"/>
    <w:basedOn w:val="Normal"/>
    <w:next w:val="Normal"/>
    <w:autoRedefine/>
    <w:uiPriority w:val="39"/>
    <w:unhideWhenUsed/>
    <w:rsid w:val="0045260B"/>
    <w:pPr>
      <w:spacing w:after="100"/>
      <w:ind w:left="240"/>
    </w:pPr>
  </w:style>
  <w:style w:type="paragraph" w:styleId="TOC3">
    <w:name w:val="toc 3"/>
    <w:basedOn w:val="Normal"/>
    <w:next w:val="Normal"/>
    <w:autoRedefine/>
    <w:uiPriority w:val="39"/>
    <w:unhideWhenUsed/>
    <w:rsid w:val="0045260B"/>
    <w:pPr>
      <w:spacing w:after="100"/>
      <w:ind w:left="480"/>
    </w:pPr>
  </w:style>
  <w:style w:type="paragraph" w:styleId="Header">
    <w:name w:val="header"/>
    <w:basedOn w:val="Normal"/>
    <w:link w:val="HeaderChar"/>
    <w:uiPriority w:val="99"/>
    <w:unhideWhenUsed/>
    <w:rsid w:val="00452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60B"/>
  </w:style>
  <w:style w:type="paragraph" w:styleId="Footer">
    <w:name w:val="footer"/>
    <w:basedOn w:val="Normal"/>
    <w:link w:val="FooterChar"/>
    <w:uiPriority w:val="99"/>
    <w:unhideWhenUsed/>
    <w:rsid w:val="00452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60B"/>
  </w:style>
  <w:style w:type="paragraph" w:styleId="BalloonText">
    <w:name w:val="Balloon Text"/>
    <w:basedOn w:val="Normal"/>
    <w:link w:val="BalloonTextChar"/>
    <w:uiPriority w:val="99"/>
    <w:semiHidden/>
    <w:unhideWhenUsed/>
    <w:rsid w:val="00B16B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BE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strazeneca.i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who.i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2.deloitte.com"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astrazenec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A753AB-FD74-4B11-A174-0D5D83F44D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TotalTime>
  <Pages>29</Pages>
  <Words>7364</Words>
  <Characters>41979</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vinayak</cp:lastModifiedBy>
  <cp:revision>2</cp:revision>
  <dcterms:created xsi:type="dcterms:W3CDTF">2025-11-28T16:41:00Z</dcterms:created>
  <dcterms:modified xsi:type="dcterms:W3CDTF">2025-12-07T21:33:00Z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c2d3a503-04f7-405f-baad-e5ebcce0fb67</vt:lpwstr>
  </property>
</Properties>
</file>