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22DBA6" w14:textId="06A498A2" w:rsidR="00A74EA6" w:rsidRPr="009C50A8" w:rsidRDefault="00A74EA6" w:rsidP="00A74EA6">
      <w:pPr>
        <w:spacing w:line="360" w:lineRule="auto"/>
        <w:jc w:val="center"/>
        <w:rPr>
          <w:rFonts w:ascii="Arial" w:eastAsia="Arial" w:hAnsi="Arial" w:cs="Arial"/>
          <w:bCs/>
          <w:sz w:val="44"/>
          <w:szCs w:val="44"/>
        </w:rPr>
      </w:pPr>
      <w:r w:rsidRPr="009C50A8">
        <w:rPr>
          <w:rFonts w:ascii="Arial" w:eastAsia="Arial" w:hAnsi="Arial" w:cs="Arial"/>
          <w:bCs/>
          <w:sz w:val="44"/>
          <w:szCs w:val="44"/>
        </w:rPr>
        <w:t xml:space="preserve">The Criminal Justice System, Youth Justice and Prison Systems </w:t>
      </w:r>
      <w:proofErr w:type="gramStart"/>
      <w:r w:rsidRPr="009C50A8">
        <w:rPr>
          <w:rFonts w:ascii="Arial" w:eastAsia="Arial" w:hAnsi="Arial" w:cs="Arial"/>
          <w:bCs/>
          <w:sz w:val="44"/>
          <w:szCs w:val="44"/>
        </w:rPr>
        <w:t>In</w:t>
      </w:r>
      <w:proofErr w:type="gramEnd"/>
      <w:r w:rsidRPr="009C50A8">
        <w:rPr>
          <w:rFonts w:ascii="Arial" w:eastAsia="Arial" w:hAnsi="Arial" w:cs="Arial"/>
          <w:bCs/>
          <w:sz w:val="44"/>
          <w:szCs w:val="44"/>
        </w:rPr>
        <w:t xml:space="preserve"> England and Wales </w:t>
      </w:r>
    </w:p>
    <w:p w14:paraId="0D1B80CF" w14:textId="77777777" w:rsidR="00A74EA6" w:rsidRPr="009C50A8" w:rsidRDefault="00A74EA6" w:rsidP="00A74EA6">
      <w:pPr>
        <w:spacing w:line="360" w:lineRule="auto"/>
        <w:jc w:val="center"/>
        <w:rPr>
          <w:rFonts w:ascii="Arial" w:hAnsi="Arial" w:cs="Arial"/>
          <w:sz w:val="56"/>
          <w:szCs w:val="56"/>
        </w:rPr>
      </w:pPr>
    </w:p>
    <w:p w14:paraId="517A069C" w14:textId="77777777" w:rsidR="00A74EA6" w:rsidRPr="009C50A8" w:rsidRDefault="00A74EA6" w:rsidP="00A74EA6">
      <w:pPr>
        <w:spacing w:line="360" w:lineRule="auto"/>
        <w:jc w:val="center"/>
        <w:rPr>
          <w:rFonts w:ascii="Arial" w:hAnsi="Arial" w:cs="Arial"/>
          <w:sz w:val="56"/>
          <w:szCs w:val="56"/>
        </w:rPr>
      </w:pPr>
    </w:p>
    <w:p w14:paraId="317E135D" w14:textId="1446BD3A" w:rsidR="00A74EA6" w:rsidRPr="009C50A8" w:rsidRDefault="00A74EA6" w:rsidP="00A74EA6">
      <w:pPr>
        <w:spacing w:line="360" w:lineRule="auto"/>
      </w:pPr>
      <w:r w:rsidRPr="009C50A8">
        <w:fldChar w:fldCharType="begin"/>
      </w:r>
      <w:r w:rsidRPr="009C50A8">
        <w:instrText xml:space="preserve"> INCLUDEPICTURE "/Users/Sadiemason/Library/Group Containers/UBF8T346G9.ms/WebArchiveCopyPasteTempFiles/com.microsoft.Word/prisoner-483348551.jpg" \* MERGEFORMATINET </w:instrText>
      </w:r>
      <w:r w:rsidRPr="009C50A8">
        <w:fldChar w:fldCharType="separate"/>
      </w:r>
      <w:r w:rsidRPr="009C50A8">
        <w:rPr>
          <w:noProof/>
        </w:rPr>
        <w:drawing>
          <wp:inline distT="0" distB="0" distL="0" distR="0" wp14:anchorId="0BA278B4" wp14:editId="72FD59C5">
            <wp:extent cx="5731510" cy="3825875"/>
            <wp:effectExtent l="0" t="0" r="0" b="0"/>
            <wp:docPr id="1237395688" name="Picture 2" descr="A person holding a metal b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395688" name="Picture 2" descr="A person holding a metal bar&#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825875"/>
                    </a:xfrm>
                    <a:prstGeom prst="rect">
                      <a:avLst/>
                    </a:prstGeom>
                    <a:noFill/>
                    <a:ln>
                      <a:noFill/>
                    </a:ln>
                  </pic:spPr>
                </pic:pic>
              </a:graphicData>
            </a:graphic>
          </wp:inline>
        </w:drawing>
      </w:r>
      <w:r w:rsidRPr="009C50A8">
        <w:fldChar w:fldCharType="end"/>
      </w:r>
      <w:r w:rsidRPr="009C50A8">
        <w:rPr>
          <w:rFonts w:ascii="Arial" w:hAnsi="Arial" w:cs="Arial"/>
        </w:rPr>
        <w:t xml:space="preserve">Image: </w:t>
      </w:r>
      <w:proofErr w:type="spellStart"/>
      <w:r w:rsidRPr="009C50A8">
        <w:rPr>
          <w:rFonts w:ascii="Arial" w:hAnsi="Arial" w:cs="Arial"/>
          <w:color w:val="000000"/>
        </w:rPr>
        <w:t>Curzi</w:t>
      </w:r>
      <w:proofErr w:type="spellEnd"/>
      <w:r w:rsidR="009C50A8">
        <w:rPr>
          <w:rFonts w:ascii="Arial" w:hAnsi="Arial" w:cs="Arial"/>
          <w:color w:val="000000"/>
        </w:rPr>
        <w:t xml:space="preserve"> </w:t>
      </w:r>
      <w:r w:rsidRPr="009C50A8">
        <w:rPr>
          <w:rFonts w:ascii="Arial" w:hAnsi="Arial" w:cs="Arial"/>
          <w:color w:val="000000"/>
        </w:rPr>
        <w:t>(2017)</w:t>
      </w:r>
    </w:p>
    <w:p w14:paraId="02F32AD9" w14:textId="4CB99234" w:rsidR="00A74EA6" w:rsidRPr="009C50A8" w:rsidRDefault="00A74EA6" w:rsidP="00A74EA6">
      <w:pPr>
        <w:tabs>
          <w:tab w:val="left" w:pos="2126"/>
        </w:tabs>
        <w:spacing w:line="360" w:lineRule="auto"/>
      </w:pPr>
    </w:p>
    <w:p w14:paraId="4C284262" w14:textId="77777777" w:rsidR="00A74EA6" w:rsidRPr="009C50A8" w:rsidRDefault="00A74EA6" w:rsidP="00A74EA6">
      <w:pPr>
        <w:tabs>
          <w:tab w:val="left" w:pos="2126"/>
        </w:tabs>
        <w:spacing w:line="360" w:lineRule="auto"/>
      </w:pPr>
    </w:p>
    <w:p w14:paraId="4B5A6847" w14:textId="77777777" w:rsidR="00A74EA6" w:rsidRPr="009C50A8" w:rsidRDefault="00A74EA6" w:rsidP="00A74EA6">
      <w:pPr>
        <w:tabs>
          <w:tab w:val="left" w:pos="2126"/>
        </w:tabs>
        <w:spacing w:line="360" w:lineRule="auto"/>
      </w:pPr>
    </w:p>
    <w:p w14:paraId="6E7DFADA" w14:textId="77777777" w:rsidR="00A74EA6" w:rsidRPr="009C50A8" w:rsidRDefault="00A74EA6" w:rsidP="00A74EA6">
      <w:pPr>
        <w:tabs>
          <w:tab w:val="left" w:pos="2126"/>
        </w:tabs>
        <w:spacing w:line="360" w:lineRule="auto"/>
      </w:pPr>
    </w:p>
    <w:p w14:paraId="07042CAC" w14:textId="58EC75E2" w:rsidR="00A74EA6" w:rsidRPr="009C50A8" w:rsidRDefault="00A74EA6" w:rsidP="00A74EA6">
      <w:pPr>
        <w:tabs>
          <w:tab w:val="left" w:pos="2126"/>
        </w:tabs>
        <w:spacing w:line="360" w:lineRule="auto"/>
        <w:jc w:val="center"/>
        <w:rPr>
          <w:rFonts w:ascii="Arial" w:hAnsi="Arial" w:cs="Arial"/>
          <w:sz w:val="44"/>
          <w:szCs w:val="44"/>
        </w:rPr>
      </w:pPr>
      <w:r w:rsidRPr="009C50A8">
        <w:rPr>
          <w:rFonts w:ascii="Arial" w:hAnsi="Arial" w:cs="Arial"/>
          <w:sz w:val="44"/>
          <w:szCs w:val="44"/>
        </w:rPr>
        <w:t xml:space="preserve">Sadie May Mason </w:t>
      </w:r>
    </w:p>
    <w:p w14:paraId="1CDD1EE0" w14:textId="2F303931" w:rsidR="00A74EA6" w:rsidRPr="009C50A8" w:rsidRDefault="00A74EA6" w:rsidP="00A74EA6">
      <w:pPr>
        <w:tabs>
          <w:tab w:val="left" w:pos="2126"/>
        </w:tabs>
        <w:spacing w:line="360" w:lineRule="auto"/>
        <w:jc w:val="center"/>
        <w:rPr>
          <w:rFonts w:ascii="Arial" w:hAnsi="Arial" w:cs="Arial"/>
          <w:sz w:val="44"/>
          <w:szCs w:val="44"/>
        </w:rPr>
      </w:pPr>
      <w:r w:rsidRPr="009C50A8">
        <w:rPr>
          <w:rFonts w:ascii="Arial" w:hAnsi="Arial" w:cs="Arial"/>
          <w:sz w:val="44"/>
          <w:szCs w:val="44"/>
        </w:rPr>
        <w:t>2204171</w:t>
      </w:r>
    </w:p>
    <w:p w14:paraId="1A61F7CF" w14:textId="4B0BC09B" w:rsidR="00A74EA6" w:rsidRPr="009C50A8" w:rsidRDefault="00A74EA6" w:rsidP="00A74EA6">
      <w:pPr>
        <w:tabs>
          <w:tab w:val="left" w:pos="2126"/>
        </w:tabs>
        <w:spacing w:line="360" w:lineRule="auto"/>
        <w:jc w:val="center"/>
        <w:rPr>
          <w:rFonts w:ascii="Arial" w:hAnsi="Arial" w:cs="Arial"/>
          <w:bCs/>
          <w:sz w:val="44"/>
          <w:szCs w:val="44"/>
        </w:rPr>
      </w:pPr>
      <w:r w:rsidRPr="009C50A8">
        <w:rPr>
          <w:rFonts w:ascii="Arial" w:hAnsi="Arial" w:cs="Arial"/>
          <w:bCs/>
          <w:sz w:val="44"/>
          <w:szCs w:val="44"/>
        </w:rPr>
        <w:t>BMCJ7006</w:t>
      </w:r>
    </w:p>
    <w:p w14:paraId="56AEB770" w14:textId="5E2A14FD" w:rsidR="00A74EA6" w:rsidRPr="000A4DDA" w:rsidRDefault="00A74EA6" w:rsidP="000A4DDA">
      <w:pPr>
        <w:pStyle w:val="NormalWeb"/>
        <w:spacing w:line="360" w:lineRule="auto"/>
        <w:rPr>
          <w:rFonts w:ascii="Arial" w:hAnsi="Arial" w:cs="Arial"/>
          <w:color w:val="000000"/>
        </w:rPr>
      </w:pPr>
      <w:r w:rsidRPr="000A4DDA">
        <w:rPr>
          <w:rFonts w:ascii="Arial" w:hAnsi="Arial" w:cs="Arial"/>
          <w:color w:val="000000"/>
        </w:rPr>
        <w:lastRenderedPageBreak/>
        <w:t xml:space="preserve">According to </w:t>
      </w:r>
      <w:proofErr w:type="spellStart"/>
      <w:r w:rsidRPr="000A4DDA">
        <w:rPr>
          <w:rFonts w:ascii="Arial" w:hAnsi="Arial" w:cs="Arial"/>
          <w:color w:val="000000"/>
        </w:rPr>
        <w:t>Renzulli</w:t>
      </w:r>
      <w:proofErr w:type="spellEnd"/>
      <w:r w:rsidRPr="000A4DDA">
        <w:rPr>
          <w:rFonts w:ascii="Arial" w:hAnsi="Arial" w:cs="Arial"/>
          <w:color w:val="000000"/>
        </w:rPr>
        <w:t xml:space="preserve"> (2021), the treatment of prisoners is still one of the most potent markers of a country's moral and legal commitment to human rights. In line with </w:t>
      </w:r>
      <w:proofErr w:type="spellStart"/>
      <w:r w:rsidRPr="000A4DDA">
        <w:rPr>
          <w:rFonts w:ascii="Arial" w:hAnsi="Arial" w:cs="Arial"/>
          <w:color w:val="000000"/>
        </w:rPr>
        <w:t>Karamalidou</w:t>
      </w:r>
      <w:proofErr w:type="spellEnd"/>
      <w:r w:rsidRPr="000A4DDA">
        <w:rPr>
          <w:rFonts w:ascii="Arial" w:hAnsi="Arial" w:cs="Arial"/>
          <w:color w:val="000000"/>
        </w:rPr>
        <w:t xml:space="preserve"> (2022) </w:t>
      </w:r>
      <w:r w:rsidR="00EA0F43" w:rsidRPr="000A4DDA">
        <w:rPr>
          <w:rFonts w:ascii="Arial" w:hAnsi="Arial" w:cs="Arial"/>
          <w:color w:val="000000"/>
        </w:rPr>
        <w:t>p</w:t>
      </w:r>
      <w:r w:rsidRPr="000A4DDA">
        <w:rPr>
          <w:rFonts w:ascii="Arial" w:hAnsi="Arial" w:cs="Arial"/>
          <w:color w:val="000000"/>
        </w:rPr>
        <w:t xml:space="preserve">risons in England and Wales are coming under increased scrutiny as international human rights norms call into question punitive legacies and overcrowded circumstances. As discussed by </w:t>
      </w:r>
      <w:proofErr w:type="spellStart"/>
      <w:r w:rsidRPr="000A4DDA">
        <w:rPr>
          <w:rFonts w:ascii="Arial" w:hAnsi="Arial" w:cs="Arial"/>
          <w:color w:val="000000"/>
        </w:rPr>
        <w:t>Snacken</w:t>
      </w:r>
      <w:proofErr w:type="spellEnd"/>
      <w:r w:rsidRPr="000A4DDA">
        <w:rPr>
          <w:rFonts w:ascii="Arial" w:hAnsi="Arial" w:cs="Arial"/>
          <w:color w:val="000000"/>
        </w:rPr>
        <w:t xml:space="preserve"> (2021), the European Convention on Human Rights (ECHR), the United Nations (UN) and several other international organisations work together to establish the boundaries of permissible treatment for people deprived of their liberty. However, it is debatable if such criteria translate into internal transformation. </w:t>
      </w:r>
      <w:r w:rsidR="00660AA4" w:rsidRPr="000A4DDA">
        <w:rPr>
          <w:rFonts w:ascii="Arial" w:hAnsi="Arial" w:cs="Arial"/>
          <w:color w:val="000000"/>
        </w:rPr>
        <w:t>In accordance with the Ministry of Justice (2024</w:t>
      </w:r>
      <w:r w:rsidR="00D35C74" w:rsidRPr="000A4DDA">
        <w:rPr>
          <w:rFonts w:ascii="Arial" w:hAnsi="Arial" w:cs="Arial"/>
          <w:color w:val="000000"/>
        </w:rPr>
        <w:t>a</w:t>
      </w:r>
      <w:r w:rsidR="00660AA4" w:rsidRPr="000A4DDA">
        <w:rPr>
          <w:rFonts w:ascii="Arial" w:hAnsi="Arial" w:cs="Arial"/>
          <w:color w:val="000000"/>
        </w:rPr>
        <w:t>), England and Wales</w:t>
      </w:r>
      <w:r w:rsidR="009C50A8" w:rsidRPr="000A4DDA">
        <w:rPr>
          <w:rFonts w:ascii="Arial" w:hAnsi="Arial" w:cs="Arial"/>
          <w:color w:val="000000"/>
        </w:rPr>
        <w:t xml:space="preserve"> </w:t>
      </w:r>
      <w:r w:rsidR="00660AA4" w:rsidRPr="000A4DDA">
        <w:rPr>
          <w:rFonts w:ascii="Arial" w:hAnsi="Arial" w:cs="Arial"/>
          <w:color w:val="000000"/>
        </w:rPr>
        <w:t xml:space="preserve">prison population is expected to exceed 94,000 by 2029, despite repeated vows to align punitive practice with human rights standards. The conflict between international goal and domestic reality is central to current arguments about penal legitimacy, </w:t>
      </w:r>
      <w:proofErr w:type="gramStart"/>
      <w:r w:rsidR="00660AA4" w:rsidRPr="000A4DDA">
        <w:rPr>
          <w:rFonts w:ascii="Arial" w:hAnsi="Arial" w:cs="Arial"/>
          <w:color w:val="000000"/>
        </w:rPr>
        <w:t>dignity</w:t>
      </w:r>
      <w:proofErr w:type="gramEnd"/>
      <w:r w:rsidR="00EA0F43" w:rsidRPr="000A4DDA">
        <w:rPr>
          <w:rFonts w:ascii="Arial" w:hAnsi="Arial" w:cs="Arial"/>
          <w:color w:val="000000"/>
        </w:rPr>
        <w:t xml:space="preserve"> </w:t>
      </w:r>
      <w:r w:rsidR="00660AA4" w:rsidRPr="000A4DDA">
        <w:rPr>
          <w:rFonts w:ascii="Arial" w:hAnsi="Arial" w:cs="Arial"/>
          <w:color w:val="000000"/>
        </w:rPr>
        <w:t>and reform.</w:t>
      </w:r>
    </w:p>
    <w:p w14:paraId="54BEF301" w14:textId="29233F3A" w:rsidR="00660AA4" w:rsidRPr="000A4DDA" w:rsidRDefault="00660AA4" w:rsidP="000A4DDA">
      <w:pPr>
        <w:pStyle w:val="NormalWeb"/>
        <w:spacing w:line="360" w:lineRule="auto"/>
        <w:rPr>
          <w:rFonts w:ascii="Arial" w:hAnsi="Arial" w:cs="Arial"/>
          <w:color w:val="000000"/>
        </w:rPr>
      </w:pPr>
      <w:r w:rsidRPr="000A4DDA">
        <w:rPr>
          <w:rFonts w:ascii="Arial" w:hAnsi="Arial" w:cs="Arial"/>
          <w:color w:val="000000"/>
        </w:rPr>
        <w:t xml:space="preserve">The major objective of this essay is to critically assess how international human rights standards impact prison facilities and practices in England and Wales, as well as to investigate the implications </w:t>
      </w:r>
      <w:r w:rsidR="00DD6DAA">
        <w:rPr>
          <w:rFonts w:ascii="Arial" w:hAnsi="Arial" w:cs="Arial"/>
          <w:color w:val="000000"/>
        </w:rPr>
        <w:t>of</w:t>
      </w:r>
      <w:r w:rsidRPr="000A4DDA">
        <w:rPr>
          <w:rFonts w:ascii="Arial" w:hAnsi="Arial" w:cs="Arial"/>
          <w:color w:val="000000"/>
        </w:rPr>
        <w:t xml:space="preserve"> prisoner treatment. It contends that, while international norms have had a significant impact on the legal and ethical frameworks of the U</w:t>
      </w:r>
      <w:r w:rsidR="008306BB">
        <w:rPr>
          <w:rFonts w:ascii="Arial" w:hAnsi="Arial" w:cs="Arial"/>
          <w:color w:val="000000"/>
        </w:rPr>
        <w:t xml:space="preserve">nited </w:t>
      </w:r>
      <w:r w:rsidRPr="000A4DDA">
        <w:rPr>
          <w:rFonts w:ascii="Arial" w:hAnsi="Arial" w:cs="Arial"/>
          <w:color w:val="000000"/>
        </w:rPr>
        <w:t>K</w:t>
      </w:r>
      <w:r w:rsidR="008306BB">
        <w:rPr>
          <w:rFonts w:ascii="Arial" w:hAnsi="Arial" w:cs="Arial"/>
          <w:color w:val="000000"/>
        </w:rPr>
        <w:t>ingdom (UK)</w:t>
      </w:r>
      <w:r w:rsidRPr="000A4DDA">
        <w:rPr>
          <w:rFonts w:ascii="Arial" w:hAnsi="Arial" w:cs="Arial"/>
          <w:color w:val="000000"/>
        </w:rPr>
        <w:t xml:space="preserve"> prison system, particularly through the incorporation of the ECHR and adherence to the Mandela Rules, systemic barriers such as overcrowding, staff shortages</w:t>
      </w:r>
      <w:r w:rsidR="00EA0F43" w:rsidRPr="000A4DDA">
        <w:rPr>
          <w:rFonts w:ascii="Arial" w:hAnsi="Arial" w:cs="Arial"/>
          <w:color w:val="000000"/>
        </w:rPr>
        <w:t xml:space="preserve"> </w:t>
      </w:r>
      <w:r w:rsidRPr="000A4DDA">
        <w:rPr>
          <w:rFonts w:ascii="Arial" w:hAnsi="Arial" w:cs="Arial"/>
          <w:color w:val="000000"/>
        </w:rPr>
        <w:t>and punitive political discourse continue to undermine full compliance. Drawing on new empirical evidence, policy analysis</w:t>
      </w:r>
      <w:r w:rsidR="00EA0F43" w:rsidRPr="000A4DDA">
        <w:rPr>
          <w:rFonts w:ascii="Arial" w:hAnsi="Arial" w:cs="Arial"/>
          <w:color w:val="000000"/>
        </w:rPr>
        <w:t xml:space="preserve"> </w:t>
      </w:r>
      <w:r w:rsidRPr="000A4DDA">
        <w:rPr>
          <w:rFonts w:ascii="Arial" w:hAnsi="Arial" w:cs="Arial"/>
          <w:color w:val="000000"/>
        </w:rPr>
        <w:t xml:space="preserve">and theoretical perspectives, the discussion places </w:t>
      </w:r>
      <w:proofErr w:type="gramStart"/>
      <w:r w:rsidRPr="000A4DDA">
        <w:rPr>
          <w:rFonts w:ascii="Arial" w:hAnsi="Arial" w:cs="Arial"/>
          <w:color w:val="000000"/>
        </w:rPr>
        <w:t>England</w:t>
      </w:r>
      <w:proofErr w:type="gramEnd"/>
      <w:r w:rsidRPr="000A4DDA">
        <w:rPr>
          <w:rFonts w:ascii="Arial" w:hAnsi="Arial" w:cs="Arial"/>
          <w:color w:val="000000"/>
        </w:rPr>
        <w:t xml:space="preserve"> and Wales in a larger international context, comparing advances and inadequacies to models such as Norway's normalisation principle and UN human rights benchmarks.</w:t>
      </w:r>
    </w:p>
    <w:p w14:paraId="736CD0DB" w14:textId="18299AEC" w:rsidR="00A74EA6" w:rsidRPr="000A4DDA" w:rsidRDefault="00E55317" w:rsidP="000A4DDA">
      <w:pPr>
        <w:pStyle w:val="NormalWeb"/>
        <w:spacing w:line="360" w:lineRule="auto"/>
        <w:rPr>
          <w:rFonts w:ascii="Arial" w:hAnsi="Arial" w:cs="Arial"/>
          <w:color w:val="000000"/>
          <w:highlight w:val="yellow"/>
        </w:rPr>
      </w:pPr>
      <w:r w:rsidRPr="000A4DDA">
        <w:rPr>
          <w:rFonts w:ascii="Arial" w:hAnsi="Arial" w:cs="Arial"/>
          <w:color w:val="000000"/>
        </w:rPr>
        <w:t>According to Flynn (2018), international human rights law has long recognised that lack of liberty does not imply deprivation of dignity. The ECHR, to which the United Kingdom is a signatory by the Human Rights Act of 1998, outlaws torture and cruel and degrading treatment under Article 3 and establishes an enforceable minimum standard for prison conditions (Council of Europe, 2023). According to the European Court of Human Rights, poor sanitation, overcrowding and a lack of access to healthcare may all constitute violations of this provision, as established in Kalashnikov v. Russia (2002</w:t>
      </w:r>
      <w:proofErr w:type="gramStart"/>
      <w:r w:rsidRPr="000A4DDA">
        <w:rPr>
          <w:rFonts w:ascii="Arial" w:hAnsi="Arial" w:cs="Arial"/>
          <w:color w:val="000000"/>
        </w:rPr>
        <w:t>)</w:t>
      </w:r>
      <w:proofErr w:type="gramEnd"/>
      <w:r w:rsidRPr="000A4DDA">
        <w:rPr>
          <w:rFonts w:ascii="Arial" w:hAnsi="Arial" w:cs="Arial"/>
          <w:color w:val="000000"/>
        </w:rPr>
        <w:t xml:space="preserve"> and reaffirmed in numerous later cases. The United </w:t>
      </w:r>
      <w:r w:rsidRPr="000A4DDA">
        <w:rPr>
          <w:rFonts w:ascii="Arial" w:hAnsi="Arial" w:cs="Arial"/>
          <w:color w:val="000000"/>
        </w:rPr>
        <w:lastRenderedPageBreak/>
        <w:t xml:space="preserve">Nations' (2015) 'Mandela Rules' strengthen these commitments by establishing criteria for housing, healthcare, </w:t>
      </w:r>
      <w:proofErr w:type="gramStart"/>
      <w:r w:rsidR="00EA0F43" w:rsidRPr="000A4DDA">
        <w:rPr>
          <w:rFonts w:ascii="Arial" w:hAnsi="Arial" w:cs="Arial"/>
          <w:color w:val="000000"/>
        </w:rPr>
        <w:t>punishment</w:t>
      </w:r>
      <w:proofErr w:type="gramEnd"/>
      <w:r w:rsidR="00EA0F43" w:rsidRPr="000A4DDA">
        <w:rPr>
          <w:rFonts w:ascii="Arial" w:hAnsi="Arial" w:cs="Arial"/>
          <w:color w:val="000000"/>
        </w:rPr>
        <w:t xml:space="preserve"> </w:t>
      </w:r>
      <w:r w:rsidRPr="000A4DDA">
        <w:rPr>
          <w:rFonts w:ascii="Arial" w:hAnsi="Arial" w:cs="Arial"/>
          <w:color w:val="000000"/>
        </w:rPr>
        <w:t xml:space="preserve">and rehabilitation. As noted by Penal Reform International (2021), despite being technically non-binding, these standards have established the global standard for compassionate imprisonment. </w:t>
      </w:r>
      <w:r w:rsidR="00D35C74" w:rsidRPr="000A4DDA">
        <w:rPr>
          <w:rFonts w:ascii="Arial" w:hAnsi="Arial" w:cs="Arial"/>
          <w:color w:val="000000"/>
        </w:rPr>
        <w:t xml:space="preserve">Prisons strategy White Paper (2021) </w:t>
      </w:r>
      <w:r w:rsidRPr="000A4DDA">
        <w:rPr>
          <w:rFonts w:ascii="Arial" w:hAnsi="Arial" w:cs="Arial"/>
          <w:color w:val="000000"/>
        </w:rPr>
        <w:t>the UK's official agreement with these frameworks, as it clearly refers to international human rights commitments as guiding principles for domestic reform.</w:t>
      </w:r>
    </w:p>
    <w:p w14:paraId="309549B6" w14:textId="517EF518" w:rsidR="00A74EA6" w:rsidRPr="000A4DDA" w:rsidRDefault="00F4308C" w:rsidP="000A4DDA">
      <w:pPr>
        <w:pStyle w:val="NormalWeb"/>
        <w:spacing w:line="360" w:lineRule="auto"/>
        <w:rPr>
          <w:rFonts w:ascii="Arial" w:hAnsi="Arial" w:cs="Arial"/>
          <w:color w:val="000000"/>
          <w:highlight w:val="yellow"/>
        </w:rPr>
      </w:pPr>
      <w:r w:rsidRPr="000A4DDA">
        <w:rPr>
          <w:rFonts w:ascii="Arial" w:hAnsi="Arial" w:cs="Arial"/>
          <w:color w:val="000000"/>
        </w:rPr>
        <w:t xml:space="preserve">The theoretical foundations of these criteria can be traced back to the works of Michel Foucault and David Garland. Foucault's (1977) analysis of disciplinary power in Discipline and Punish revealed the prison as a site of surveillance and control rather than rehabilitation, whereas Garland (2001) identified the rise of the "culture of control," in which political and public anxiety about crime promotes punitive excess. Based on </w:t>
      </w:r>
      <w:proofErr w:type="spellStart"/>
      <w:r w:rsidRPr="000A4DDA">
        <w:rPr>
          <w:rFonts w:ascii="Arial" w:hAnsi="Arial" w:cs="Arial"/>
          <w:color w:val="000000"/>
        </w:rPr>
        <w:t>Maruna</w:t>
      </w:r>
      <w:proofErr w:type="spellEnd"/>
      <w:r w:rsidRPr="000A4DDA">
        <w:rPr>
          <w:rFonts w:ascii="Arial" w:hAnsi="Arial" w:cs="Arial"/>
          <w:color w:val="000000"/>
        </w:rPr>
        <w:t xml:space="preserve"> (2017), contemporary criminological thought, particularly desistance theory</w:t>
      </w:r>
      <w:r w:rsidR="00DD6DAA">
        <w:rPr>
          <w:rFonts w:ascii="Arial" w:hAnsi="Arial" w:cs="Arial"/>
          <w:color w:val="000000"/>
        </w:rPr>
        <w:t xml:space="preserve"> </w:t>
      </w:r>
      <w:r w:rsidR="00DD6DAA" w:rsidRPr="00DD6DAA">
        <w:rPr>
          <w:rFonts w:ascii="Arial" w:hAnsi="Arial" w:cs="Arial"/>
          <w:color w:val="000000"/>
        </w:rPr>
        <w:t>(refers to the process of ceasing to offend or gradually reducing criminal activity)</w:t>
      </w:r>
      <w:r w:rsidRPr="00DD6DAA">
        <w:rPr>
          <w:rFonts w:ascii="Arial" w:hAnsi="Arial" w:cs="Arial"/>
          <w:color w:val="000000"/>
        </w:rPr>
        <w:t xml:space="preserve">, </w:t>
      </w:r>
      <w:r w:rsidRPr="000A4DDA">
        <w:rPr>
          <w:rFonts w:ascii="Arial" w:hAnsi="Arial" w:cs="Arial"/>
          <w:color w:val="000000"/>
        </w:rPr>
        <w:t xml:space="preserve">has reframed rehabilitation as a process involving relational legitimacy, </w:t>
      </w:r>
      <w:proofErr w:type="gramStart"/>
      <w:r w:rsidR="009C50A8" w:rsidRPr="000A4DDA">
        <w:rPr>
          <w:rFonts w:ascii="Arial" w:hAnsi="Arial" w:cs="Arial"/>
          <w:color w:val="000000"/>
        </w:rPr>
        <w:t>optimism</w:t>
      </w:r>
      <w:proofErr w:type="gramEnd"/>
      <w:r w:rsidR="009C50A8" w:rsidRPr="000A4DDA">
        <w:rPr>
          <w:rFonts w:ascii="Arial" w:hAnsi="Arial" w:cs="Arial"/>
          <w:color w:val="000000"/>
        </w:rPr>
        <w:t xml:space="preserve"> </w:t>
      </w:r>
      <w:r w:rsidRPr="000A4DDA">
        <w:rPr>
          <w:rFonts w:ascii="Arial" w:hAnsi="Arial" w:cs="Arial"/>
          <w:color w:val="000000"/>
        </w:rPr>
        <w:t>and humanisation. In the opinion of Loader et Sparks (2013), the validity of punishment is determined by its moral justification and procedural fairness, both of which are inextricably linked to human rights values. Thus, international norms not only impose external legal responsibilities, but they also support theoretical views that humane treatment is essential to the legitimacy of criminal institutions.</w:t>
      </w:r>
    </w:p>
    <w:p w14:paraId="6A399106" w14:textId="67451823" w:rsidR="00A74EA6" w:rsidRPr="000A4DDA" w:rsidRDefault="00452723" w:rsidP="000A4DDA">
      <w:pPr>
        <w:pStyle w:val="NormalWeb"/>
        <w:spacing w:line="360" w:lineRule="auto"/>
        <w:rPr>
          <w:rFonts w:ascii="Arial" w:hAnsi="Arial" w:cs="Arial"/>
          <w:color w:val="000000"/>
          <w:highlight w:val="yellow"/>
        </w:rPr>
      </w:pPr>
      <w:r w:rsidRPr="000A4DDA">
        <w:rPr>
          <w:rFonts w:ascii="Arial" w:hAnsi="Arial" w:cs="Arial"/>
          <w:color w:val="000000"/>
        </w:rPr>
        <w:t>As White (2021) points out, international human rights norms have been incorporated into domestic policy in England and Wales through a variety of means. Legally, the Human Rights Act of 1998 made the ECHR enforceable in UK courts, allowing inmates to challenge circumstances directly. For example, instances involving overcrowding, access to family contact and solitary confinement have used Articles 3 and 8 (right to privacy and family life) to challenge governmental practices (Howard League for Penal Reform, 2023</w:t>
      </w:r>
      <w:r w:rsidR="00245879" w:rsidRPr="000A4DDA">
        <w:rPr>
          <w:rFonts w:ascii="Arial" w:hAnsi="Arial" w:cs="Arial"/>
          <w:color w:val="000000"/>
        </w:rPr>
        <w:t>a</w:t>
      </w:r>
      <w:r w:rsidRPr="000A4DDA">
        <w:rPr>
          <w:rFonts w:ascii="Arial" w:hAnsi="Arial" w:cs="Arial"/>
          <w:color w:val="000000"/>
        </w:rPr>
        <w:t>). Adding to this, The Equality and Human Rights Commission (2022) ha</w:t>
      </w:r>
      <w:r w:rsidR="00EA0F43" w:rsidRPr="000A4DDA">
        <w:rPr>
          <w:rFonts w:ascii="Arial" w:hAnsi="Arial" w:cs="Arial"/>
          <w:color w:val="000000"/>
        </w:rPr>
        <w:t>ve</w:t>
      </w:r>
      <w:r w:rsidRPr="000A4DDA">
        <w:rPr>
          <w:rFonts w:ascii="Arial" w:hAnsi="Arial" w:cs="Arial"/>
          <w:color w:val="000000"/>
        </w:rPr>
        <w:t xml:space="preserve"> also noted that international standards have influenced regulatory monitoring by His Majesty's Inspectorate of Prisons (HMIP), which now compares prison conditions to the ECHR and Mandela Rules. Furthermore, the HM Inspectorate of Prisons (2022) shows that domestic </w:t>
      </w:r>
      <w:r w:rsidR="00DD6DAA">
        <w:rPr>
          <w:rFonts w:ascii="Arial" w:hAnsi="Arial" w:cs="Arial"/>
          <w:color w:val="000000"/>
        </w:rPr>
        <w:t>prison</w:t>
      </w:r>
      <w:r w:rsidRPr="000A4DDA">
        <w:rPr>
          <w:rFonts w:ascii="Arial" w:hAnsi="Arial" w:cs="Arial"/>
          <w:color w:val="000000"/>
        </w:rPr>
        <w:t xml:space="preserve"> </w:t>
      </w:r>
      <w:r w:rsidRPr="000A4DDA">
        <w:rPr>
          <w:rFonts w:ascii="Arial" w:hAnsi="Arial" w:cs="Arial"/>
          <w:color w:val="000000"/>
        </w:rPr>
        <w:lastRenderedPageBreak/>
        <w:t xml:space="preserve">policies increasingly emphasise the principles of dignity, </w:t>
      </w:r>
      <w:proofErr w:type="gramStart"/>
      <w:r w:rsidR="009C50A8" w:rsidRPr="000A4DDA">
        <w:rPr>
          <w:rFonts w:ascii="Arial" w:hAnsi="Arial" w:cs="Arial"/>
          <w:color w:val="000000"/>
        </w:rPr>
        <w:t>proportionality</w:t>
      </w:r>
      <w:proofErr w:type="gramEnd"/>
      <w:r w:rsidR="00EA0F43" w:rsidRPr="000A4DDA">
        <w:rPr>
          <w:rFonts w:ascii="Arial" w:hAnsi="Arial" w:cs="Arial"/>
          <w:color w:val="000000"/>
        </w:rPr>
        <w:t xml:space="preserve"> </w:t>
      </w:r>
      <w:r w:rsidRPr="000A4DDA">
        <w:rPr>
          <w:rFonts w:ascii="Arial" w:hAnsi="Arial" w:cs="Arial"/>
          <w:color w:val="000000"/>
        </w:rPr>
        <w:t>and rehabilitation, exhibiting discursive harmony with international frameworks.</w:t>
      </w:r>
    </w:p>
    <w:p w14:paraId="4D044154" w14:textId="5E612668" w:rsidR="00E02956" w:rsidRPr="000A4DDA" w:rsidRDefault="00E02956" w:rsidP="000A4DDA">
      <w:pPr>
        <w:pStyle w:val="NormalWeb"/>
        <w:spacing w:line="360" w:lineRule="auto"/>
        <w:rPr>
          <w:rFonts w:ascii="Arial" w:hAnsi="Arial" w:cs="Arial"/>
          <w:color w:val="000000"/>
        </w:rPr>
      </w:pPr>
      <w:r w:rsidRPr="000A4DDA">
        <w:rPr>
          <w:rFonts w:ascii="Arial" w:hAnsi="Arial" w:cs="Arial"/>
          <w:color w:val="000000"/>
        </w:rPr>
        <w:t>However, the translation of human rights standards into reality is still variable. Owing to the Prison Reform Trust (2023</w:t>
      </w:r>
      <w:r w:rsidR="00372CFD" w:rsidRPr="000A4DDA">
        <w:rPr>
          <w:rFonts w:ascii="Arial" w:hAnsi="Arial" w:cs="Arial"/>
          <w:color w:val="000000"/>
        </w:rPr>
        <w:t>a</w:t>
      </w:r>
      <w:r w:rsidRPr="000A4DDA">
        <w:rPr>
          <w:rFonts w:ascii="Arial" w:hAnsi="Arial" w:cs="Arial"/>
          <w:color w:val="000000"/>
        </w:rPr>
        <w:t xml:space="preserve">), more than 60% of England and </w:t>
      </w:r>
      <w:proofErr w:type="spellStart"/>
      <w:r w:rsidRPr="000A4DDA">
        <w:rPr>
          <w:rFonts w:ascii="Arial" w:hAnsi="Arial" w:cs="Arial"/>
          <w:color w:val="000000"/>
        </w:rPr>
        <w:t>Wales'</w:t>
      </w:r>
      <w:proofErr w:type="spellEnd"/>
      <w:r w:rsidRPr="000A4DDA">
        <w:rPr>
          <w:rFonts w:ascii="Arial" w:hAnsi="Arial" w:cs="Arial"/>
          <w:color w:val="000000"/>
        </w:rPr>
        <w:t xml:space="preserve"> prisons are officially overcrowded, resulting in conditions in which convicts are confined in cells built for one but occupied by two or three people. In accordance with Aon et al (2025), overcrowding exacerbates aggression, self-</w:t>
      </w:r>
      <w:proofErr w:type="gramStart"/>
      <w:r w:rsidRPr="000A4DDA">
        <w:rPr>
          <w:rFonts w:ascii="Arial" w:hAnsi="Arial" w:cs="Arial"/>
          <w:color w:val="000000"/>
        </w:rPr>
        <w:t>harm</w:t>
      </w:r>
      <w:proofErr w:type="gramEnd"/>
      <w:r w:rsidRPr="000A4DDA">
        <w:rPr>
          <w:rFonts w:ascii="Arial" w:hAnsi="Arial" w:cs="Arial"/>
          <w:color w:val="000000"/>
        </w:rPr>
        <w:t xml:space="preserve"> and mental health crises, all of which are clearly denounced by the United Nations Committee Against Torture </w:t>
      </w:r>
      <w:r w:rsidR="006E12B8" w:rsidRPr="000A4DDA">
        <w:rPr>
          <w:rFonts w:ascii="Arial" w:hAnsi="Arial" w:cs="Arial"/>
          <w:color w:val="000000"/>
        </w:rPr>
        <w:t xml:space="preserve">(2024) </w:t>
      </w:r>
      <w:r w:rsidRPr="000A4DDA">
        <w:rPr>
          <w:rFonts w:ascii="Arial" w:hAnsi="Arial" w:cs="Arial"/>
          <w:color w:val="000000"/>
        </w:rPr>
        <w:t>and the European Committee for the Prevention of Torture (</w:t>
      </w:r>
      <w:r w:rsidR="008306BB" w:rsidRPr="009F2C7E">
        <w:rPr>
          <w:rStyle w:val="Strong"/>
          <w:rFonts w:ascii="Arial" w:eastAsiaTheme="majorEastAsia" w:hAnsi="Arial" w:cs="Arial"/>
          <w:b w:val="0"/>
          <w:bCs w:val="0"/>
          <w:color w:val="000000"/>
        </w:rPr>
        <w:t>Council of Europe, Committee for the Prevention of Torture</w:t>
      </w:r>
      <w:r w:rsidRPr="000A4DDA">
        <w:rPr>
          <w:rFonts w:ascii="Arial" w:hAnsi="Arial" w:cs="Arial"/>
          <w:color w:val="000000"/>
        </w:rPr>
        <w:t>, 2022). The Howard League for Penal Reform (2023</w:t>
      </w:r>
      <w:r w:rsidR="00677F3F" w:rsidRPr="000A4DDA">
        <w:rPr>
          <w:rFonts w:ascii="Arial" w:hAnsi="Arial" w:cs="Arial"/>
          <w:color w:val="000000"/>
        </w:rPr>
        <w:t>b</w:t>
      </w:r>
      <w:r w:rsidRPr="000A4DDA">
        <w:rPr>
          <w:rFonts w:ascii="Arial" w:hAnsi="Arial" w:cs="Arial"/>
          <w:color w:val="000000"/>
        </w:rPr>
        <w:t xml:space="preserve">) has warned that these requirements violate both the Mandela Rules and the UK's duties under Article 3 ECHR. </w:t>
      </w:r>
      <w:r w:rsidR="00EA0F43" w:rsidRPr="000A4DDA">
        <w:rPr>
          <w:rFonts w:ascii="Arial" w:hAnsi="Arial" w:cs="Arial"/>
          <w:color w:val="000000"/>
        </w:rPr>
        <w:t>As the</w:t>
      </w:r>
      <w:r w:rsidRPr="000A4DDA">
        <w:rPr>
          <w:rFonts w:ascii="Arial" w:hAnsi="Arial" w:cs="Arial"/>
          <w:color w:val="000000"/>
        </w:rPr>
        <w:t xml:space="preserve"> Institute for Government (2024) observed, the government's present goal to increase prison capacity is a reactive measure that risks reinforcing systemic failure rather than addressing core issues like sentencing policies and underinvestment in community alternatives. </w:t>
      </w:r>
    </w:p>
    <w:p w14:paraId="6D67FC48" w14:textId="77777777" w:rsidR="00D35C74" w:rsidRPr="000A4DDA" w:rsidRDefault="00D35C74" w:rsidP="000A4DDA">
      <w:pPr>
        <w:pStyle w:val="NormalWeb"/>
        <w:spacing w:line="360" w:lineRule="auto"/>
        <w:rPr>
          <w:rFonts w:ascii="Arial" w:hAnsi="Arial" w:cs="Arial"/>
          <w:color w:val="000000"/>
        </w:rPr>
      </w:pPr>
      <w:r w:rsidRPr="000A4DDA">
        <w:rPr>
          <w:rFonts w:ascii="Arial" w:hAnsi="Arial" w:cs="Arial"/>
          <w:color w:val="000000"/>
        </w:rPr>
        <w:t>The consequences of these tensions are significant. As Garland (2018) points out, correctional systems frequently alternate between punitive populism and management reform, resulting in a policy dilemma in which human rights are publicly affirmed but literally damaged. The Ministry of Justice (2024b) has implemented certain improvements, such as better mental health screening, the introduction of in-cell telephone and efforts to extend educational possibilities, but these are overshadowed by chronic understaffing and decaying infrastructure. Pursuant to the National Audit Office (2025), maintenance backlogs and shortages of workers severely limit convicts' access to productive activities, undermining both rehabilitation and human rights compliance.</w:t>
      </w:r>
    </w:p>
    <w:p w14:paraId="76D08672" w14:textId="3A37B97F" w:rsidR="00A74EA6" w:rsidRPr="000A4DDA" w:rsidRDefault="00A74EA6" w:rsidP="000A4DDA">
      <w:pPr>
        <w:pStyle w:val="NormalWeb"/>
        <w:spacing w:line="360" w:lineRule="auto"/>
        <w:rPr>
          <w:rFonts w:ascii="Arial" w:hAnsi="Arial" w:cs="Arial"/>
          <w:color w:val="000000"/>
        </w:rPr>
      </w:pPr>
      <w:r w:rsidRPr="000A4DDA">
        <w:rPr>
          <w:rFonts w:ascii="Arial" w:hAnsi="Arial" w:cs="Arial"/>
          <w:color w:val="000000"/>
        </w:rPr>
        <w:t>The influence of international human rights standards also extends beyond litigation and policy into the ethical discourse of imprisonment. According to the Bar Council (2024), adherence to the Mandela Rules is central to restoring legitimacy and public confidence in the criminal justice system. This argument aligns with Tyler’s (200</w:t>
      </w:r>
      <w:r w:rsidR="00D35C74" w:rsidRPr="000A4DDA">
        <w:rPr>
          <w:rFonts w:ascii="Arial" w:hAnsi="Arial" w:cs="Arial"/>
          <w:color w:val="000000"/>
        </w:rPr>
        <w:t>6</w:t>
      </w:r>
      <w:r w:rsidRPr="000A4DDA">
        <w:rPr>
          <w:rFonts w:ascii="Arial" w:hAnsi="Arial" w:cs="Arial"/>
          <w:color w:val="000000"/>
        </w:rPr>
        <w:t xml:space="preserve">) theory of procedural justice, which posits that fair and respectful treatment increases compliance and legitimacy. </w:t>
      </w:r>
      <w:r w:rsidR="00D35C74" w:rsidRPr="000A4DDA">
        <w:rPr>
          <w:rFonts w:ascii="Arial" w:hAnsi="Arial" w:cs="Arial"/>
          <w:color w:val="000000"/>
        </w:rPr>
        <w:t>In support of this, Behan and Stark (2023) note that, w</w:t>
      </w:r>
      <w:r w:rsidRPr="000A4DDA">
        <w:rPr>
          <w:rFonts w:ascii="Arial" w:hAnsi="Arial" w:cs="Arial"/>
          <w:color w:val="000000"/>
        </w:rPr>
        <w:t xml:space="preserve">hen prisoners perceive institutions as unjust or degrading, trust </w:t>
      </w:r>
      <w:proofErr w:type="gramStart"/>
      <w:r w:rsidRPr="000A4DDA">
        <w:rPr>
          <w:rFonts w:ascii="Arial" w:hAnsi="Arial" w:cs="Arial"/>
          <w:color w:val="000000"/>
        </w:rPr>
        <w:t>erodes</w:t>
      </w:r>
      <w:proofErr w:type="gramEnd"/>
      <w:r w:rsidR="00EA0F43" w:rsidRPr="000A4DDA">
        <w:rPr>
          <w:rFonts w:ascii="Arial" w:hAnsi="Arial" w:cs="Arial"/>
          <w:color w:val="000000"/>
        </w:rPr>
        <w:t xml:space="preserve"> </w:t>
      </w:r>
      <w:r w:rsidRPr="000A4DDA">
        <w:rPr>
          <w:rFonts w:ascii="Arial" w:hAnsi="Arial" w:cs="Arial"/>
          <w:color w:val="000000"/>
        </w:rPr>
        <w:t xml:space="preserve">and </w:t>
      </w:r>
      <w:r w:rsidRPr="000A4DDA">
        <w:rPr>
          <w:rFonts w:ascii="Arial" w:hAnsi="Arial" w:cs="Arial"/>
          <w:color w:val="000000"/>
        </w:rPr>
        <w:lastRenderedPageBreak/>
        <w:t>rehabilitation becomes far less effective. Therefore,</w:t>
      </w:r>
      <w:r w:rsidR="00D35C74" w:rsidRPr="000A4DDA">
        <w:rPr>
          <w:rFonts w:ascii="Arial" w:hAnsi="Arial" w:cs="Arial"/>
          <w:color w:val="000000"/>
        </w:rPr>
        <w:t xml:space="preserve"> concluding that</w:t>
      </w:r>
      <w:r w:rsidRPr="000A4DDA">
        <w:rPr>
          <w:rFonts w:ascii="Arial" w:hAnsi="Arial" w:cs="Arial"/>
          <w:color w:val="000000"/>
        </w:rPr>
        <w:t xml:space="preserve"> international standards not only shape formal obligations but also contribute to the moral architecture of legitimate punishment.</w:t>
      </w:r>
    </w:p>
    <w:p w14:paraId="38C2C591" w14:textId="7A54E42A" w:rsidR="00A74EA6" w:rsidRPr="000A4DDA" w:rsidRDefault="0099467E" w:rsidP="000A4DDA">
      <w:pPr>
        <w:pStyle w:val="NormalWeb"/>
        <w:spacing w:line="360" w:lineRule="auto"/>
        <w:rPr>
          <w:rFonts w:ascii="Arial" w:hAnsi="Arial" w:cs="Arial"/>
          <w:color w:val="000000"/>
        </w:rPr>
      </w:pPr>
      <w:r w:rsidRPr="000A4DDA">
        <w:rPr>
          <w:rFonts w:ascii="Arial" w:hAnsi="Arial" w:cs="Arial"/>
          <w:color w:val="000000"/>
        </w:rPr>
        <w:t xml:space="preserve">Comparative experience emphasises this notion. Van de </w:t>
      </w:r>
      <w:proofErr w:type="spellStart"/>
      <w:r w:rsidRPr="000A4DDA">
        <w:rPr>
          <w:rFonts w:ascii="Arial" w:hAnsi="Arial" w:cs="Arial"/>
          <w:color w:val="000000"/>
        </w:rPr>
        <w:t>Rijt</w:t>
      </w:r>
      <w:proofErr w:type="spellEnd"/>
      <w:r w:rsidRPr="000A4DDA">
        <w:rPr>
          <w:rFonts w:ascii="Arial" w:hAnsi="Arial" w:cs="Arial"/>
          <w:color w:val="000000"/>
        </w:rPr>
        <w:t xml:space="preserve"> </w:t>
      </w:r>
      <w:r w:rsidR="006E12B8" w:rsidRPr="000A4DDA">
        <w:rPr>
          <w:rFonts w:ascii="Arial" w:hAnsi="Arial" w:cs="Arial"/>
          <w:color w:val="000000"/>
        </w:rPr>
        <w:t xml:space="preserve">van </w:t>
      </w:r>
      <w:proofErr w:type="spellStart"/>
      <w:r w:rsidR="006E12B8" w:rsidRPr="000A4DDA">
        <w:rPr>
          <w:rFonts w:ascii="Arial" w:hAnsi="Arial" w:cs="Arial"/>
          <w:color w:val="000000"/>
        </w:rPr>
        <w:t>Ginneken</w:t>
      </w:r>
      <w:proofErr w:type="spellEnd"/>
      <w:r w:rsidR="006E12B8" w:rsidRPr="000A4DDA">
        <w:rPr>
          <w:rFonts w:ascii="Arial" w:hAnsi="Arial" w:cs="Arial"/>
          <w:color w:val="000000"/>
        </w:rPr>
        <w:t xml:space="preserve"> and Boone, </w:t>
      </w:r>
      <w:r w:rsidRPr="000A4DDA">
        <w:rPr>
          <w:rFonts w:ascii="Arial" w:hAnsi="Arial" w:cs="Arial"/>
          <w:color w:val="000000"/>
        </w:rPr>
        <w:t xml:space="preserve">2023) demonstrate that Norway's "normalisation principle," based on international human rights law, believes that the loss of liberty is the penalty itself and that prison life should otherwise reflect society as nearly as possible. </w:t>
      </w:r>
      <w:r w:rsidR="0067039F" w:rsidRPr="000A4DDA">
        <w:rPr>
          <w:rFonts w:ascii="Arial" w:hAnsi="Arial" w:cs="Arial"/>
          <w:color w:val="000000"/>
        </w:rPr>
        <w:t>The research of Rocha (2024)</w:t>
      </w:r>
      <w:r w:rsidRPr="000A4DDA">
        <w:rPr>
          <w:rFonts w:ascii="Arial" w:hAnsi="Arial" w:cs="Arial"/>
          <w:color w:val="000000"/>
        </w:rPr>
        <w:t xml:space="preserve"> shows that as a result, Norwegian prisons place a focus on autonomy, </w:t>
      </w:r>
      <w:proofErr w:type="gramStart"/>
      <w:r w:rsidRPr="000A4DDA">
        <w:rPr>
          <w:rFonts w:ascii="Arial" w:hAnsi="Arial" w:cs="Arial"/>
          <w:color w:val="000000"/>
        </w:rPr>
        <w:t>education</w:t>
      </w:r>
      <w:proofErr w:type="gramEnd"/>
      <w:r w:rsidRPr="000A4DDA">
        <w:rPr>
          <w:rFonts w:ascii="Arial" w:hAnsi="Arial" w:cs="Arial"/>
          <w:color w:val="000000"/>
        </w:rPr>
        <w:t xml:space="preserve"> and reintegration, resulting in one of the lowest recidivism rates in the world. In the opinion of Penal Reform International (2025), these findings show that human rights compliance may coexist with effective public safety. In contrast, England and Wales continue to rely extensively on </w:t>
      </w:r>
      <w:r w:rsidR="00DD6DAA">
        <w:rPr>
          <w:rFonts w:ascii="Arial" w:hAnsi="Arial" w:cs="Arial"/>
          <w:color w:val="000000"/>
        </w:rPr>
        <w:t>prison</w:t>
      </w:r>
      <w:r w:rsidRPr="000A4DDA">
        <w:rPr>
          <w:rFonts w:ascii="Arial" w:hAnsi="Arial" w:cs="Arial"/>
          <w:color w:val="000000"/>
        </w:rPr>
        <w:t>, with recidivism rates reaching 40% within a year of release (Ministry of Justice, 2025</w:t>
      </w:r>
      <w:r w:rsidR="00F67119" w:rsidRPr="000A4DDA">
        <w:rPr>
          <w:rFonts w:ascii="Arial" w:hAnsi="Arial" w:cs="Arial"/>
          <w:color w:val="000000"/>
        </w:rPr>
        <w:t>). This</w:t>
      </w:r>
      <w:r w:rsidR="00A74EA6" w:rsidRPr="000A4DDA">
        <w:rPr>
          <w:rFonts w:ascii="Arial" w:hAnsi="Arial" w:cs="Arial"/>
          <w:color w:val="000000"/>
        </w:rPr>
        <w:t xml:space="preserve"> divergence illustrates how differing degrees of internalisation of human rights norms produce contrasting penal realities.</w:t>
      </w:r>
    </w:p>
    <w:p w14:paraId="7430FE2E" w14:textId="75C6E301" w:rsidR="00F40252" w:rsidRPr="000A4DDA" w:rsidRDefault="00F67119" w:rsidP="000A4DDA">
      <w:pPr>
        <w:pStyle w:val="NormalWeb"/>
        <w:spacing w:line="360" w:lineRule="auto"/>
        <w:rPr>
          <w:rFonts w:ascii="Arial" w:hAnsi="Arial" w:cs="Arial"/>
          <w:color w:val="000000"/>
        </w:rPr>
      </w:pPr>
      <w:r w:rsidRPr="000A4DDA">
        <w:rPr>
          <w:rFonts w:ascii="Arial" w:hAnsi="Arial" w:cs="Arial"/>
          <w:color w:val="000000"/>
        </w:rPr>
        <w:t xml:space="preserve">As stated by </w:t>
      </w:r>
      <w:proofErr w:type="spellStart"/>
      <w:r w:rsidRPr="000A4DDA">
        <w:rPr>
          <w:rFonts w:ascii="Arial" w:hAnsi="Arial" w:cs="Arial"/>
          <w:color w:val="000000"/>
        </w:rPr>
        <w:t>Carvacho</w:t>
      </w:r>
      <w:proofErr w:type="spellEnd"/>
      <w:r w:rsidRPr="000A4DDA">
        <w:rPr>
          <w:rFonts w:ascii="Arial" w:hAnsi="Arial" w:cs="Arial"/>
          <w:color w:val="000000"/>
        </w:rPr>
        <w:t xml:space="preserve"> et al (2025), the COVID-19 pandemic showed the vulnerability of England and </w:t>
      </w:r>
      <w:proofErr w:type="spellStart"/>
      <w:r w:rsidRPr="000A4DDA">
        <w:rPr>
          <w:rFonts w:ascii="Arial" w:hAnsi="Arial" w:cs="Arial"/>
          <w:color w:val="000000"/>
        </w:rPr>
        <w:t>Wales'</w:t>
      </w:r>
      <w:proofErr w:type="spellEnd"/>
      <w:r w:rsidRPr="000A4DDA">
        <w:rPr>
          <w:rFonts w:ascii="Arial" w:hAnsi="Arial" w:cs="Arial"/>
          <w:color w:val="000000"/>
        </w:rPr>
        <w:t xml:space="preserve"> compliance with international norms. In 2021, HM Inspectorate of Prisons stated that detainees were detained for up to 23 hours per day, with limited access to showers or exercise, conditions that approached the Mandela Rules' solitary confinement standards. In the words of </w:t>
      </w:r>
      <w:proofErr w:type="spellStart"/>
      <w:r w:rsidRPr="000A4DDA">
        <w:rPr>
          <w:rFonts w:ascii="Arial" w:hAnsi="Arial" w:cs="Arial"/>
          <w:color w:val="000000"/>
        </w:rPr>
        <w:t>Gostin</w:t>
      </w:r>
      <w:proofErr w:type="spellEnd"/>
      <w:r w:rsidRPr="000A4DDA">
        <w:rPr>
          <w:rFonts w:ascii="Arial" w:hAnsi="Arial" w:cs="Arial"/>
          <w:color w:val="000000"/>
        </w:rPr>
        <w:t xml:space="preserve"> et al (2023), the United Nations High Commissioner for Human Rights (2022) had clearly cautioned </w:t>
      </w:r>
      <w:r w:rsidR="008306BB">
        <w:rPr>
          <w:rFonts w:ascii="Arial" w:hAnsi="Arial" w:cs="Arial"/>
          <w:color w:val="000000"/>
        </w:rPr>
        <w:t>nations</w:t>
      </w:r>
      <w:r w:rsidRPr="000A4DDA">
        <w:rPr>
          <w:rFonts w:ascii="Arial" w:hAnsi="Arial" w:cs="Arial"/>
          <w:color w:val="000000"/>
        </w:rPr>
        <w:t xml:space="preserve"> that excessive lockdowns may constitute cruel or inhuman treatment. Despite temporary emergency measures, many restrictions remained in place long after public health arguments eroded, raising concerns from the Prison Reform Trust (2025</w:t>
      </w:r>
      <w:r w:rsidR="00372CFD" w:rsidRPr="000A4DDA">
        <w:rPr>
          <w:rFonts w:ascii="Arial" w:hAnsi="Arial" w:cs="Arial"/>
          <w:color w:val="000000"/>
        </w:rPr>
        <w:t>a</w:t>
      </w:r>
      <w:r w:rsidRPr="000A4DDA">
        <w:rPr>
          <w:rFonts w:ascii="Arial" w:hAnsi="Arial" w:cs="Arial"/>
          <w:color w:val="000000"/>
        </w:rPr>
        <w:t xml:space="preserve">) about the normalisation of isolation. </w:t>
      </w:r>
      <w:r w:rsidR="00F40252" w:rsidRPr="000A4DDA">
        <w:rPr>
          <w:rFonts w:ascii="Arial" w:hAnsi="Arial" w:cs="Arial"/>
          <w:color w:val="000000"/>
        </w:rPr>
        <w:t>This instance demonstrates how crises frequently exacerbate pre-existing structural flaws, exposing domestic systems' inadequate resilience to respect international norms under pressure.</w:t>
      </w:r>
    </w:p>
    <w:p w14:paraId="6D376AF4" w14:textId="1750A444" w:rsidR="00A74EA6" w:rsidRPr="0042051F" w:rsidRDefault="00F40252" w:rsidP="000A4DDA">
      <w:pPr>
        <w:pStyle w:val="NormalWeb"/>
        <w:spacing w:line="360" w:lineRule="auto"/>
        <w:rPr>
          <w:rFonts w:ascii="Arial" w:hAnsi="Arial" w:cs="Arial"/>
          <w:color w:val="000000"/>
          <w:highlight w:val="yellow"/>
        </w:rPr>
      </w:pPr>
      <w:r w:rsidRPr="000A4DDA">
        <w:rPr>
          <w:rFonts w:ascii="Arial" w:hAnsi="Arial" w:cs="Arial"/>
          <w:color w:val="000000"/>
        </w:rPr>
        <w:t xml:space="preserve">Health care in prisons provides another lens through which to evaluate compliance. The Mandela Rules compel convicts to receive health care comparable to that offered in the community, a stance echoed by the World Health Organisation (2021). In 2006, England and Wales moved responsibility for </w:t>
      </w:r>
      <w:r w:rsidR="0042051F">
        <w:rPr>
          <w:rFonts w:ascii="Arial" w:hAnsi="Arial" w:cs="Arial"/>
          <w:color w:val="000000"/>
        </w:rPr>
        <w:t>prison</w:t>
      </w:r>
      <w:r w:rsidRPr="000A4DDA">
        <w:rPr>
          <w:rFonts w:ascii="Arial" w:hAnsi="Arial" w:cs="Arial"/>
          <w:color w:val="000000"/>
        </w:rPr>
        <w:t xml:space="preserve"> health treatment to the </w:t>
      </w:r>
      <w:r w:rsidRPr="000A4DDA">
        <w:rPr>
          <w:rFonts w:ascii="Arial" w:hAnsi="Arial" w:cs="Arial"/>
          <w:color w:val="000000"/>
        </w:rPr>
        <w:lastRenderedPageBreak/>
        <w:t>National Health Service (NHS), a reform that was essentially consistent with this universal approach. Nonetheless, the Care Quality Commission (2025) continues to report inconsistent standards, particularly for mental health and substance abuse treatment. According to the Howard League for Penal Reform (2024</w:t>
      </w:r>
      <w:r w:rsidR="00677F3F" w:rsidRPr="000A4DDA">
        <w:rPr>
          <w:rFonts w:ascii="Arial" w:hAnsi="Arial" w:cs="Arial"/>
          <w:color w:val="000000"/>
        </w:rPr>
        <w:t>a</w:t>
      </w:r>
      <w:r w:rsidRPr="000A4DDA">
        <w:rPr>
          <w:rFonts w:ascii="Arial" w:hAnsi="Arial" w:cs="Arial"/>
          <w:color w:val="000000"/>
        </w:rPr>
        <w:t>), the shortage of medical personnel and delays in mental health referrals constitute a systemic failure to meet international standards.</w:t>
      </w:r>
      <w:r w:rsidR="006839C2" w:rsidRPr="000A4DDA">
        <w:rPr>
          <w:rFonts w:ascii="Arial" w:hAnsi="Arial" w:cs="Arial"/>
          <w:color w:val="000000"/>
        </w:rPr>
        <w:t xml:space="preserve"> </w:t>
      </w:r>
      <w:r w:rsidR="006839C2" w:rsidRPr="00105F04">
        <w:rPr>
          <w:rFonts w:ascii="Arial" w:hAnsi="Arial" w:cs="Arial"/>
          <w:color w:val="000000"/>
        </w:rPr>
        <w:t>Moreover, the Prisons and Probation Ombudsman (2024) has regularly documented unnecessary fatalities caused by insufficient medical care, raising concerns that the state's affirmative responsibilities under Article 2 (right to life) and Article 3 ECHR are not being fulfilled in practice.</w:t>
      </w:r>
      <w:r w:rsidR="0042051F" w:rsidRPr="00105F04">
        <w:rPr>
          <w:rFonts w:ascii="Arial" w:hAnsi="Arial" w:cs="Arial"/>
          <w:color w:val="000000"/>
        </w:rPr>
        <w:t xml:space="preserve"> </w:t>
      </w:r>
    </w:p>
    <w:p w14:paraId="4FFB0753" w14:textId="77777777" w:rsidR="00A865F1" w:rsidRPr="000A4DDA" w:rsidRDefault="00A865F1" w:rsidP="000A4DDA">
      <w:pPr>
        <w:pStyle w:val="NormalWeb"/>
        <w:spacing w:line="360" w:lineRule="auto"/>
        <w:rPr>
          <w:rFonts w:ascii="Arial" w:hAnsi="Arial" w:cs="Arial"/>
          <w:color w:val="000000"/>
        </w:rPr>
      </w:pPr>
      <w:r w:rsidRPr="000A4DDA">
        <w:rPr>
          <w:rFonts w:ascii="Arial" w:hAnsi="Arial" w:cs="Arial"/>
          <w:color w:val="000000"/>
        </w:rPr>
        <w:t xml:space="preserve">The use of solitary confinement is undoubtedly the most obvious test of compliance. Based on </w:t>
      </w:r>
      <w:proofErr w:type="spellStart"/>
      <w:r w:rsidRPr="000A4DDA">
        <w:rPr>
          <w:rFonts w:ascii="Arial" w:hAnsi="Arial" w:cs="Arial"/>
          <w:color w:val="000000"/>
        </w:rPr>
        <w:t>Manikis</w:t>
      </w:r>
      <w:proofErr w:type="spellEnd"/>
      <w:r w:rsidRPr="000A4DDA">
        <w:rPr>
          <w:rFonts w:ascii="Arial" w:hAnsi="Arial" w:cs="Arial"/>
          <w:color w:val="000000"/>
        </w:rPr>
        <w:t xml:space="preserve"> (2024), the Mandela Rules characterise prolonged solitary confinement of more than fifteen consecutive days as cruel, inhuman, or degrading treatment. However, as to the HM Chief Inspector of Prisons for England and Wales (2023), segregation and isolation are still common in English prisons, sometimes justified on administrative rather than disciplinary grounds. The United Nations Committee Against Torture (2024) has chastised the United Kingdom for neglecting to impose statutory restrictions on the period of solitary confinement or to ensure judicial oversight. Individuals may spend weeks or months in segregated units with little human contact, exacerbating pre-existing mental health problems (Ejiofor, 2024). In the view of Khan (2025), such activities are incompatible with both the spirit and language of international human rights law, exemplifying a type of "normalised exceptionalism" in which abuses are incorporated in daily government.</w:t>
      </w:r>
    </w:p>
    <w:p w14:paraId="30DCFE83" w14:textId="688B9335" w:rsidR="00CF6255" w:rsidRPr="000A4DDA" w:rsidRDefault="00CF6255" w:rsidP="000A4DDA">
      <w:pPr>
        <w:pStyle w:val="NormalWeb"/>
        <w:spacing w:line="360" w:lineRule="auto"/>
        <w:rPr>
          <w:rFonts w:ascii="Arial" w:hAnsi="Arial" w:cs="Arial"/>
          <w:color w:val="000000"/>
        </w:rPr>
      </w:pPr>
      <w:r w:rsidRPr="000A4DDA">
        <w:rPr>
          <w:rFonts w:ascii="Arial" w:hAnsi="Arial" w:cs="Arial"/>
          <w:color w:val="000000"/>
        </w:rPr>
        <w:t xml:space="preserve">Despite these flaws, international human rights principles continue to shape reform activities. The 2021 Prison Strategy White Paper (Ministry of Justice, 2021) highlights the need of humane treatment, rehabilitation and reintegration as essential goals, repeating Rule 91 of the Mandela Rules (United Nations, 2015), which prioritises preparing prisoners for life after release. As per, the report from the Centre for Social Justice (2023), the government's investment in education and career routes within prisons demonstrates a growing realisation that rights-based approaches to rehabilitation are both ethically important and pragmatically effective. Based on </w:t>
      </w:r>
      <w:proofErr w:type="spellStart"/>
      <w:r w:rsidRPr="000A4DDA">
        <w:rPr>
          <w:rFonts w:ascii="Arial" w:hAnsi="Arial" w:cs="Arial"/>
          <w:color w:val="000000"/>
        </w:rPr>
        <w:t>Nacro</w:t>
      </w:r>
      <w:proofErr w:type="spellEnd"/>
      <w:r w:rsidRPr="000A4DDA">
        <w:rPr>
          <w:rFonts w:ascii="Arial" w:hAnsi="Arial" w:cs="Arial"/>
          <w:color w:val="000000"/>
        </w:rPr>
        <w:t xml:space="preserve"> (2023), access to meaningful activity and education minimises recidivism and promotes desistance, therefore meeting both human rights and public </w:t>
      </w:r>
      <w:r w:rsidRPr="000A4DDA">
        <w:rPr>
          <w:rFonts w:ascii="Arial" w:hAnsi="Arial" w:cs="Arial"/>
          <w:color w:val="000000"/>
        </w:rPr>
        <w:lastRenderedPageBreak/>
        <w:t xml:space="preserve">safety objectives. </w:t>
      </w:r>
      <w:r w:rsidR="0067039F" w:rsidRPr="0067039F">
        <w:rPr>
          <w:rFonts w:ascii="Arial" w:hAnsi="Arial" w:cs="Arial"/>
          <w:color w:val="000000"/>
        </w:rPr>
        <w:t>Garry's experience, published by the Prisoners' Education Trust (2023), exemplifies how a man with no prior qualifications began studying while incarcerated and eventually graduated with a degree in Environmental Science. His story demonstrates how access to education in prison may improve self-perception, create purpose and aid in effective rehabilitation after release.</w:t>
      </w:r>
    </w:p>
    <w:p w14:paraId="28EEFC71" w14:textId="064D326E" w:rsidR="00F86809" w:rsidRPr="000A4DDA" w:rsidRDefault="00F86809" w:rsidP="000A4DDA">
      <w:pPr>
        <w:pStyle w:val="NormalWeb"/>
        <w:spacing w:line="360" w:lineRule="auto"/>
        <w:rPr>
          <w:rFonts w:ascii="Arial" w:hAnsi="Arial" w:cs="Arial"/>
          <w:color w:val="000000"/>
        </w:rPr>
      </w:pPr>
      <w:r w:rsidRPr="000A4DDA">
        <w:rPr>
          <w:rFonts w:ascii="Arial" w:hAnsi="Arial" w:cs="Arial"/>
          <w:color w:val="000000"/>
        </w:rPr>
        <w:t xml:space="preserve">However, critics such as </w:t>
      </w:r>
      <w:proofErr w:type="spellStart"/>
      <w:r w:rsidRPr="000A4DDA">
        <w:rPr>
          <w:rFonts w:ascii="Arial" w:hAnsi="Arial" w:cs="Arial"/>
          <w:color w:val="000000"/>
        </w:rPr>
        <w:t>Annison</w:t>
      </w:r>
      <w:proofErr w:type="spellEnd"/>
      <w:r w:rsidRPr="000A4DDA">
        <w:rPr>
          <w:rFonts w:ascii="Arial" w:hAnsi="Arial" w:cs="Arial"/>
          <w:color w:val="000000"/>
        </w:rPr>
        <w:t xml:space="preserve"> et Guiney (2023) claim that reform rhetoric frequently conceals punitive continuity. Contrary to the Institute for Government (2023), the government's emphasis on increasing </w:t>
      </w:r>
      <w:r w:rsidR="0042051F">
        <w:rPr>
          <w:rFonts w:ascii="Arial" w:hAnsi="Arial" w:cs="Arial"/>
          <w:color w:val="000000"/>
        </w:rPr>
        <w:t>prison</w:t>
      </w:r>
      <w:r w:rsidRPr="000A4DDA">
        <w:rPr>
          <w:rFonts w:ascii="Arial" w:hAnsi="Arial" w:cs="Arial"/>
          <w:color w:val="000000"/>
        </w:rPr>
        <w:t xml:space="preserve"> capacity rather than reducing prison population contradicts the international consensus that congestion can only be resolved sustainably by decarceration. This view is similar with the remarks of the Council of Europe</w:t>
      </w:r>
      <w:r w:rsidR="00AB4B2E" w:rsidRPr="000A4DDA">
        <w:rPr>
          <w:rFonts w:ascii="Arial" w:hAnsi="Arial" w:cs="Arial"/>
          <w:color w:val="000000"/>
        </w:rPr>
        <w:t xml:space="preserve"> </w:t>
      </w:r>
      <w:r w:rsidR="00AB4B2E" w:rsidRPr="000A4DDA">
        <w:rPr>
          <w:rStyle w:val="Strong"/>
          <w:rFonts w:ascii="Arial" w:eastAsiaTheme="majorEastAsia" w:hAnsi="Arial" w:cs="Arial"/>
          <w:b w:val="0"/>
          <w:bCs w:val="0"/>
          <w:color w:val="000000"/>
        </w:rPr>
        <w:t>Committee for the Prevention of Torture</w:t>
      </w:r>
      <w:r w:rsidRPr="000A4DDA">
        <w:rPr>
          <w:rFonts w:ascii="Arial" w:hAnsi="Arial" w:cs="Arial"/>
          <w:color w:val="000000"/>
        </w:rPr>
        <w:t xml:space="preserve"> </w:t>
      </w:r>
      <w:r w:rsidR="00AB4B2E" w:rsidRPr="000A4DDA">
        <w:rPr>
          <w:rFonts w:ascii="Arial" w:hAnsi="Arial" w:cs="Arial"/>
          <w:color w:val="000000"/>
        </w:rPr>
        <w:t>(</w:t>
      </w:r>
      <w:r w:rsidRPr="000A4DDA">
        <w:rPr>
          <w:rFonts w:ascii="Arial" w:hAnsi="Arial" w:cs="Arial"/>
          <w:color w:val="000000"/>
        </w:rPr>
        <w:t>CPT</w:t>
      </w:r>
      <w:r w:rsidR="00AB4B2E" w:rsidRPr="000A4DDA">
        <w:rPr>
          <w:rFonts w:ascii="Arial" w:hAnsi="Arial" w:cs="Arial"/>
          <w:color w:val="000000"/>
        </w:rPr>
        <w:t xml:space="preserve">, </w:t>
      </w:r>
      <w:r w:rsidRPr="000A4DDA">
        <w:rPr>
          <w:rFonts w:ascii="Arial" w:hAnsi="Arial" w:cs="Arial"/>
          <w:color w:val="000000"/>
        </w:rPr>
        <w:t>202</w:t>
      </w:r>
      <w:r w:rsidR="00AB4B2E" w:rsidRPr="000A4DDA">
        <w:rPr>
          <w:rFonts w:ascii="Arial" w:hAnsi="Arial" w:cs="Arial"/>
          <w:color w:val="000000"/>
        </w:rPr>
        <w:t>4</w:t>
      </w:r>
      <w:r w:rsidRPr="000A4DDA">
        <w:rPr>
          <w:rFonts w:ascii="Arial" w:hAnsi="Arial" w:cs="Arial"/>
          <w:color w:val="000000"/>
        </w:rPr>
        <w:t>), which has frequently pushed the UK to minimise dependence on imprisonment and instead implement community-based alternatives in accordance with the Tokyo Rules on non-custodial measures. Similarly, The Howard League for Penal Reform (2024</w:t>
      </w:r>
      <w:r w:rsidR="00677F3F" w:rsidRPr="000A4DDA">
        <w:rPr>
          <w:rFonts w:ascii="Arial" w:hAnsi="Arial" w:cs="Arial"/>
          <w:color w:val="000000"/>
        </w:rPr>
        <w:t xml:space="preserve">b) </w:t>
      </w:r>
      <w:r w:rsidRPr="000A4DDA">
        <w:rPr>
          <w:rFonts w:ascii="Arial" w:hAnsi="Arial" w:cs="Arial"/>
          <w:color w:val="000000"/>
        </w:rPr>
        <w:t>supports a change away from reactive capacity-building and towards structural reform, namely tackling sentence, remand and recall practices that contribute to the prison issue.</w:t>
      </w:r>
    </w:p>
    <w:p w14:paraId="63EA31EC" w14:textId="1E3C0FD3" w:rsidR="00D273B0" w:rsidRPr="000A4DDA" w:rsidRDefault="00D273B0" w:rsidP="000A4DDA">
      <w:pPr>
        <w:pStyle w:val="NormalWeb"/>
        <w:spacing w:line="360" w:lineRule="auto"/>
        <w:rPr>
          <w:rFonts w:ascii="Arial" w:hAnsi="Arial" w:cs="Arial"/>
          <w:color w:val="000000"/>
        </w:rPr>
      </w:pPr>
      <w:r w:rsidRPr="000A4DDA">
        <w:rPr>
          <w:rFonts w:ascii="Arial" w:hAnsi="Arial" w:cs="Arial"/>
          <w:color w:val="000000"/>
        </w:rPr>
        <w:t xml:space="preserve">The youth justice system is another area where international human rights principles have influenced change but are inconsistently implemented. The United Nations Convention on the Rights of the Child (CRC) demands that imprisonment be used as a last resort and for the shortest possible </w:t>
      </w:r>
      <w:r w:rsidR="005908DA" w:rsidRPr="000A4DDA">
        <w:rPr>
          <w:rFonts w:ascii="Arial" w:hAnsi="Arial" w:cs="Arial"/>
          <w:color w:val="000000"/>
        </w:rPr>
        <w:t>period</w:t>
      </w:r>
      <w:r w:rsidRPr="000A4DDA">
        <w:rPr>
          <w:rFonts w:ascii="Arial" w:hAnsi="Arial" w:cs="Arial"/>
          <w:color w:val="000000"/>
        </w:rPr>
        <w:t xml:space="preserve"> (Article 37, United Nations, 1989). England and Wales have implemented </w:t>
      </w:r>
      <w:r w:rsidR="005908DA" w:rsidRPr="000A4DDA">
        <w:rPr>
          <w:rFonts w:ascii="Arial" w:hAnsi="Arial" w:cs="Arial"/>
          <w:color w:val="000000"/>
        </w:rPr>
        <w:t>several</w:t>
      </w:r>
      <w:r w:rsidRPr="000A4DDA">
        <w:rPr>
          <w:rFonts w:ascii="Arial" w:hAnsi="Arial" w:cs="Arial"/>
          <w:color w:val="000000"/>
        </w:rPr>
        <w:t xml:space="preserve"> adolescent diversion programs and secure welfare placements to adhere to these criteria (Youth Justice Board, 2023). Nonetheless, reports from the Children's Commissioner for England (2023) show that restraint and isolation are being used in child </w:t>
      </w:r>
      <w:proofErr w:type="gramStart"/>
      <w:r w:rsidRPr="000A4DDA">
        <w:rPr>
          <w:rFonts w:ascii="Arial" w:hAnsi="Arial" w:cs="Arial"/>
          <w:color w:val="000000"/>
        </w:rPr>
        <w:t>correctional facilities</w:t>
      </w:r>
      <w:proofErr w:type="gramEnd"/>
      <w:r w:rsidRPr="000A4DDA">
        <w:rPr>
          <w:rFonts w:ascii="Arial" w:hAnsi="Arial" w:cs="Arial"/>
          <w:color w:val="000000"/>
        </w:rPr>
        <w:t>, which contradicts both domestic recommendations and international standards. According to Goldson (2021), these contradictions demonstrate how the UK's punishing political atmosphere impedes the full fulfilment of children's rights in care.</w:t>
      </w:r>
    </w:p>
    <w:p w14:paraId="170DE32D" w14:textId="5A946A85" w:rsidR="0020235E" w:rsidRPr="000A4DDA" w:rsidRDefault="0020235E" w:rsidP="000A4DDA">
      <w:pPr>
        <w:pStyle w:val="NormalWeb"/>
        <w:spacing w:line="360" w:lineRule="auto"/>
        <w:rPr>
          <w:rFonts w:ascii="Arial" w:hAnsi="Arial" w:cs="Arial"/>
          <w:color w:val="000000"/>
        </w:rPr>
      </w:pPr>
      <w:r w:rsidRPr="000A4DDA">
        <w:rPr>
          <w:rFonts w:ascii="Arial" w:hAnsi="Arial" w:cs="Arial"/>
          <w:color w:val="000000"/>
        </w:rPr>
        <w:t xml:space="preserve">The comparison perspective strengthens the trend of selective compliance. Prisons in Norway follow the normalisation concept, which ensures that life inside is as near to life outside as feasible (Pratt, 2008). This principle, based on the European Prison Rules and the Mandela Rules, emphasises dignity, </w:t>
      </w:r>
      <w:proofErr w:type="gramStart"/>
      <w:r w:rsidRPr="000A4DDA">
        <w:rPr>
          <w:rFonts w:ascii="Arial" w:hAnsi="Arial" w:cs="Arial"/>
          <w:color w:val="000000"/>
        </w:rPr>
        <w:t>trust</w:t>
      </w:r>
      <w:proofErr w:type="gramEnd"/>
      <w:r w:rsidRPr="000A4DDA">
        <w:rPr>
          <w:rFonts w:ascii="Arial" w:hAnsi="Arial" w:cs="Arial"/>
          <w:color w:val="000000"/>
        </w:rPr>
        <w:t xml:space="preserve"> and reintegration. As a </w:t>
      </w:r>
      <w:r w:rsidRPr="000A4DDA">
        <w:rPr>
          <w:rFonts w:ascii="Arial" w:hAnsi="Arial" w:cs="Arial"/>
          <w:color w:val="000000"/>
        </w:rPr>
        <w:lastRenderedPageBreak/>
        <w:t xml:space="preserve">result, Norwegian prisons report less violence, improved staff morale, and dramatically decreased recidivism rates (Johnsen et al, 2022). As stated by </w:t>
      </w:r>
      <w:proofErr w:type="spellStart"/>
      <w:r w:rsidRPr="000A4DDA">
        <w:rPr>
          <w:rFonts w:ascii="Arial" w:hAnsi="Arial" w:cs="Arial"/>
          <w:color w:val="000000"/>
        </w:rPr>
        <w:t>Annison</w:t>
      </w:r>
      <w:proofErr w:type="spellEnd"/>
      <w:r w:rsidRPr="000A4DDA">
        <w:rPr>
          <w:rFonts w:ascii="Arial" w:hAnsi="Arial" w:cs="Arial"/>
          <w:color w:val="000000"/>
        </w:rPr>
        <w:t xml:space="preserve"> and Guiney (2023), penal reform in England and Wales is still constrained by political and fiscal realities, whereas Crewe (2021) emphasises the enduring cultural legacy of punitiveness that shapes penal practice.</w:t>
      </w:r>
    </w:p>
    <w:p w14:paraId="00CB02DF" w14:textId="63A6226C" w:rsidR="00B50781" w:rsidRPr="000A4DDA" w:rsidRDefault="00B50781" w:rsidP="000A4DDA">
      <w:pPr>
        <w:pStyle w:val="NormalWeb"/>
        <w:spacing w:line="360" w:lineRule="auto"/>
        <w:rPr>
          <w:rFonts w:ascii="Arial" w:hAnsi="Arial" w:cs="Arial"/>
          <w:color w:val="000000"/>
        </w:rPr>
      </w:pPr>
      <w:r w:rsidRPr="000A4DDA">
        <w:rPr>
          <w:rFonts w:ascii="Arial" w:hAnsi="Arial" w:cs="Arial"/>
          <w:color w:val="000000"/>
        </w:rPr>
        <w:t xml:space="preserve">In accordance with Crewe and Liebling (2023), the moral quality of prison life in England and Wales is still influenced by staff-prisoner relationships, institutional </w:t>
      </w:r>
      <w:proofErr w:type="gramStart"/>
      <w:r w:rsidRPr="000A4DDA">
        <w:rPr>
          <w:rFonts w:ascii="Arial" w:hAnsi="Arial" w:cs="Arial"/>
          <w:color w:val="000000"/>
        </w:rPr>
        <w:t>culture</w:t>
      </w:r>
      <w:proofErr w:type="gramEnd"/>
      <w:r w:rsidRPr="000A4DDA">
        <w:rPr>
          <w:rFonts w:ascii="Arial" w:hAnsi="Arial" w:cs="Arial"/>
          <w:color w:val="000000"/>
        </w:rPr>
        <w:t xml:space="preserve"> and beliefs of fairness. In the words of </w:t>
      </w:r>
      <w:proofErr w:type="spellStart"/>
      <w:r w:rsidRPr="000A4DDA">
        <w:rPr>
          <w:rFonts w:ascii="Arial" w:hAnsi="Arial" w:cs="Arial"/>
          <w:color w:val="000000"/>
        </w:rPr>
        <w:t>Testoni</w:t>
      </w:r>
      <w:proofErr w:type="spellEnd"/>
      <w:r w:rsidRPr="000A4DDA">
        <w:rPr>
          <w:rFonts w:ascii="Arial" w:hAnsi="Arial" w:cs="Arial"/>
          <w:color w:val="000000"/>
        </w:rPr>
        <w:t xml:space="preserve"> et al (2020), where dignity and respect are ingrained, convicts report higher levels of psychological well-being and obedience. However, as the Howard League for Penal Reform (2025</w:t>
      </w:r>
      <w:r w:rsidR="00677F3F" w:rsidRPr="000A4DDA">
        <w:rPr>
          <w:rFonts w:ascii="Arial" w:hAnsi="Arial" w:cs="Arial"/>
          <w:color w:val="000000"/>
        </w:rPr>
        <w:t>a</w:t>
      </w:r>
      <w:r w:rsidRPr="000A4DDA">
        <w:rPr>
          <w:rFonts w:ascii="Arial" w:hAnsi="Arial" w:cs="Arial"/>
          <w:color w:val="000000"/>
        </w:rPr>
        <w:t>) notes, overcrowding and burnout among staff have weakened such environments, replacing relational legitimacy with routine control and dread. This deterioration weakens both rehabilitation and human rights obligations, demonstrating that the impact of international norms is determined not only by formal policy alignment but also by the moral economy of prison facilities.</w:t>
      </w:r>
    </w:p>
    <w:p w14:paraId="0D1EE5F7" w14:textId="5F94985C" w:rsidR="00AF51A5" w:rsidRPr="000A4DDA" w:rsidRDefault="00AF51A5" w:rsidP="000A4DDA">
      <w:pPr>
        <w:pStyle w:val="NormalWeb"/>
        <w:spacing w:line="360" w:lineRule="auto"/>
        <w:rPr>
          <w:rFonts w:ascii="Arial" w:hAnsi="Arial" w:cs="Arial"/>
          <w:color w:val="000000"/>
        </w:rPr>
      </w:pPr>
      <w:r w:rsidRPr="000A4DDA">
        <w:rPr>
          <w:rFonts w:ascii="Arial" w:hAnsi="Arial" w:cs="Arial"/>
          <w:color w:val="000000"/>
        </w:rPr>
        <w:t>International supervision mechanisms have put measurable pressure on domestic reform, as reported by the UK Government (2003). The UK's acceptance of the Optional Protocol to the Convention Against Torture (OPCAT) in 2003 necessitates regular inspections of detention institutions by a National Preventive Mechanism. A report by the United Kingdom National Preventive Mechanism (</w:t>
      </w:r>
      <w:r w:rsidR="0042051F">
        <w:rPr>
          <w:rFonts w:ascii="Arial" w:hAnsi="Arial" w:cs="Arial"/>
          <w:color w:val="000000"/>
        </w:rPr>
        <w:t xml:space="preserve">NPM, </w:t>
      </w:r>
      <w:r w:rsidRPr="000A4DDA">
        <w:rPr>
          <w:rFonts w:ascii="Arial" w:hAnsi="Arial" w:cs="Arial"/>
          <w:color w:val="000000"/>
        </w:rPr>
        <w:t>2025), displays that many prisons do not satisfy international standards for hygiene, overcrowding and healthcare, despite policy acceptance of these requirements. The NPM's independence and freedom to publish conclusions reflect the practical application of international law inside domestic governance. However, as observed by the Parliamentary Joint Committee on Human Rights (2022), the NPM lacks the necessary budget and enforcement tools to drive reform. Consequently, while OPCAT compliance has increased openness, its impact on actual prison conditions remains limited.</w:t>
      </w:r>
    </w:p>
    <w:p w14:paraId="3CC91644" w14:textId="493A9CC2" w:rsidR="00A74EA6" w:rsidRPr="000A4DDA" w:rsidRDefault="00AF51A5" w:rsidP="000A4DDA">
      <w:pPr>
        <w:pStyle w:val="NormalWeb"/>
        <w:spacing w:line="360" w:lineRule="auto"/>
        <w:rPr>
          <w:rFonts w:ascii="Arial" w:hAnsi="Arial" w:cs="Arial"/>
          <w:color w:val="000000"/>
          <w:highlight w:val="yellow"/>
        </w:rPr>
      </w:pPr>
      <w:r w:rsidRPr="000A4DDA">
        <w:rPr>
          <w:rFonts w:ascii="Arial" w:hAnsi="Arial" w:cs="Arial"/>
          <w:color w:val="000000"/>
        </w:rPr>
        <w:t>The interaction between domestic courts and international jurisprudence further illustrates how human rights standards shape the prison procedures. In R (</w:t>
      </w:r>
      <w:proofErr w:type="spellStart"/>
      <w:r w:rsidRPr="000A4DDA">
        <w:rPr>
          <w:rFonts w:ascii="Arial" w:hAnsi="Arial" w:cs="Arial"/>
          <w:color w:val="000000"/>
        </w:rPr>
        <w:t>Bourgass</w:t>
      </w:r>
      <w:proofErr w:type="spellEnd"/>
      <w:r w:rsidRPr="000A4DDA">
        <w:rPr>
          <w:rFonts w:ascii="Arial" w:hAnsi="Arial" w:cs="Arial"/>
          <w:color w:val="000000"/>
        </w:rPr>
        <w:t xml:space="preserve"> and Hussain) v Secretary of State for Justice </w:t>
      </w:r>
      <w:r w:rsidR="0042051F">
        <w:rPr>
          <w:rFonts w:ascii="Arial" w:hAnsi="Arial" w:cs="Arial"/>
          <w:color w:val="000000"/>
        </w:rPr>
        <w:t>(</w:t>
      </w:r>
      <w:r w:rsidRPr="000A4DDA">
        <w:rPr>
          <w:rFonts w:ascii="Arial" w:hAnsi="Arial" w:cs="Arial"/>
          <w:color w:val="000000"/>
        </w:rPr>
        <w:t>2015</w:t>
      </w:r>
      <w:r w:rsidR="0042051F">
        <w:rPr>
          <w:rFonts w:ascii="Arial" w:hAnsi="Arial" w:cs="Arial"/>
          <w:color w:val="000000"/>
        </w:rPr>
        <w:t>)</w:t>
      </w:r>
      <w:r w:rsidRPr="000A4DDA">
        <w:rPr>
          <w:rFonts w:ascii="Arial" w:hAnsi="Arial" w:cs="Arial"/>
          <w:color w:val="000000"/>
        </w:rPr>
        <w:t xml:space="preserve">, the UK Supreme Court found that extended solitary detention necessitated independent assessment, </w:t>
      </w:r>
      <w:r w:rsidRPr="000A4DDA">
        <w:rPr>
          <w:rFonts w:ascii="Arial" w:hAnsi="Arial" w:cs="Arial"/>
          <w:color w:val="000000"/>
        </w:rPr>
        <w:lastRenderedPageBreak/>
        <w:t>reflecting Article 3 ECHR and the Mandela Rule. Subsequent decisions have reinforced inmates' procedural rights, such as those regarding disciplinary hearings, family contact and access to legal representation. Based on Bowen (2022), these examples show how international human rights norms "percolate" through domestic courts, changing the contours of legitimate punishment. Nevertheless, legal successes frequently meet implementation obstacles. The National Audit Office (2024) vocalize that the Ministry of Justice has been chastised for insufficient compliance with court orders, resulting in a "rights gap" between legal recognition and operational practice.</w:t>
      </w:r>
    </w:p>
    <w:p w14:paraId="5DA31D34" w14:textId="3740D69B" w:rsidR="00873F41" w:rsidRPr="000A4DDA" w:rsidRDefault="00873F41" w:rsidP="000A4DDA">
      <w:pPr>
        <w:pStyle w:val="NormalWeb"/>
        <w:spacing w:line="360" w:lineRule="auto"/>
        <w:rPr>
          <w:rFonts w:ascii="Arial" w:hAnsi="Arial" w:cs="Arial"/>
          <w:color w:val="000000"/>
        </w:rPr>
      </w:pPr>
      <w:r w:rsidRPr="000A4DDA">
        <w:rPr>
          <w:rFonts w:ascii="Arial" w:hAnsi="Arial" w:cs="Arial"/>
          <w:color w:val="000000"/>
        </w:rPr>
        <w:t>Public and political discourse in England and Wales continues to influence how international norms are perceived. As indicated by Loader and Sparks (2020), penal policy operates in a "public realm of emotion and legitimacy," in which human rights are sometimes portrayed as barriers to public protection. Political narratives that emphasise punishment and deterrence frequently exclude reformist perspectives. As shown by the UK Parliament House of Commons Library (202</w:t>
      </w:r>
      <w:r w:rsidR="009174DF" w:rsidRPr="000A4DDA">
        <w:rPr>
          <w:rFonts w:ascii="Arial" w:hAnsi="Arial" w:cs="Arial"/>
          <w:color w:val="000000"/>
        </w:rPr>
        <w:t>4</w:t>
      </w:r>
      <w:r w:rsidRPr="000A4DDA">
        <w:rPr>
          <w:rFonts w:ascii="Arial" w:hAnsi="Arial" w:cs="Arial"/>
          <w:color w:val="000000"/>
        </w:rPr>
        <w:t>), the government's announcement in 2023 of new "mega-prisons" to address overcrowding was justified as a public safety measure; however, the Prison Reform Trust (2025</w:t>
      </w:r>
      <w:r w:rsidR="00372CFD" w:rsidRPr="000A4DDA">
        <w:rPr>
          <w:rFonts w:ascii="Arial" w:hAnsi="Arial" w:cs="Arial"/>
          <w:color w:val="000000"/>
        </w:rPr>
        <w:t>b</w:t>
      </w:r>
      <w:r w:rsidRPr="000A4DDA">
        <w:rPr>
          <w:rFonts w:ascii="Arial" w:hAnsi="Arial" w:cs="Arial"/>
          <w:color w:val="000000"/>
        </w:rPr>
        <w:t>) claims that this approach violates international recommendations to reduce custodial populations. This exemplifies what Garland (20</w:t>
      </w:r>
      <w:r w:rsidR="009174DF" w:rsidRPr="000A4DDA">
        <w:rPr>
          <w:rFonts w:ascii="Arial" w:hAnsi="Arial" w:cs="Arial"/>
          <w:color w:val="000000"/>
        </w:rPr>
        <w:t>20</w:t>
      </w:r>
      <w:r w:rsidRPr="000A4DDA">
        <w:rPr>
          <w:rFonts w:ascii="Arial" w:hAnsi="Arial" w:cs="Arial"/>
          <w:color w:val="000000"/>
        </w:rPr>
        <w:t xml:space="preserve">) calls the paradox of late-modern </w:t>
      </w:r>
      <w:proofErr w:type="spellStart"/>
      <w:r w:rsidRPr="000A4DDA">
        <w:rPr>
          <w:rFonts w:ascii="Arial" w:hAnsi="Arial" w:cs="Arial"/>
          <w:color w:val="000000"/>
        </w:rPr>
        <w:t>penality</w:t>
      </w:r>
      <w:proofErr w:type="spellEnd"/>
      <w:r w:rsidRPr="000A4DDA">
        <w:rPr>
          <w:rFonts w:ascii="Arial" w:hAnsi="Arial" w:cs="Arial"/>
          <w:color w:val="000000"/>
        </w:rPr>
        <w:t>: states publicly support human rights while continuing to extend punitive powers.</w:t>
      </w:r>
    </w:p>
    <w:p w14:paraId="03C2CF35" w14:textId="395617F6" w:rsidR="00EA51D9" w:rsidRPr="000A4DDA" w:rsidRDefault="00EA51D9" w:rsidP="000A4DDA">
      <w:pPr>
        <w:pStyle w:val="NormalWeb"/>
        <w:spacing w:line="360" w:lineRule="auto"/>
        <w:rPr>
          <w:rFonts w:ascii="Arial" w:hAnsi="Arial" w:cs="Arial"/>
          <w:color w:val="000000"/>
        </w:rPr>
      </w:pPr>
      <w:r w:rsidRPr="000A4DDA">
        <w:rPr>
          <w:rFonts w:ascii="Arial" w:hAnsi="Arial" w:cs="Arial"/>
          <w:color w:val="000000"/>
        </w:rPr>
        <w:t>Nonetheless, there are signs of actual development. In 2024, HMP Five Wells launched a redesigned regime model that prioritised meaningful activity, higher living standards, and better prisoner-officer relationships (H</w:t>
      </w:r>
      <w:r w:rsidR="0042051F">
        <w:rPr>
          <w:rFonts w:ascii="Arial" w:hAnsi="Arial" w:cs="Arial"/>
          <w:color w:val="000000"/>
        </w:rPr>
        <w:t xml:space="preserve">is </w:t>
      </w:r>
      <w:r w:rsidR="0042051F" w:rsidRPr="000A4DDA">
        <w:rPr>
          <w:rFonts w:ascii="Arial" w:hAnsi="Arial" w:cs="Arial"/>
          <w:color w:val="000000"/>
        </w:rPr>
        <w:t>M</w:t>
      </w:r>
      <w:r w:rsidR="0042051F">
        <w:rPr>
          <w:rFonts w:ascii="Arial" w:hAnsi="Arial" w:cs="Arial"/>
          <w:color w:val="000000"/>
        </w:rPr>
        <w:t>ajesty’s</w:t>
      </w:r>
      <w:r w:rsidRPr="000A4DDA">
        <w:rPr>
          <w:rFonts w:ascii="Arial" w:hAnsi="Arial" w:cs="Arial"/>
          <w:color w:val="000000"/>
        </w:rPr>
        <w:t xml:space="preserve"> Prison </w:t>
      </w:r>
      <w:r w:rsidR="009174DF" w:rsidRPr="000A4DDA">
        <w:rPr>
          <w:rFonts w:ascii="Arial" w:hAnsi="Arial" w:cs="Arial"/>
          <w:color w:val="000000"/>
        </w:rPr>
        <w:t>and</w:t>
      </w:r>
      <w:r w:rsidRPr="000A4DDA">
        <w:rPr>
          <w:rFonts w:ascii="Arial" w:hAnsi="Arial" w:cs="Arial"/>
          <w:color w:val="000000"/>
        </w:rPr>
        <w:t xml:space="preserve"> Probation Service, 2024). Early studies showed moderate increases in prisoner satisfaction and decreases in low-level violence, but detractors dispute scalability due to staffing and budget constraints. These advances represent what Liebling (202</w:t>
      </w:r>
      <w:r w:rsidR="00385CBF" w:rsidRPr="000A4DDA">
        <w:rPr>
          <w:rFonts w:ascii="Arial" w:hAnsi="Arial" w:cs="Arial"/>
          <w:color w:val="000000"/>
        </w:rPr>
        <w:t>2</w:t>
      </w:r>
      <w:r w:rsidRPr="000A4DDA">
        <w:rPr>
          <w:rFonts w:ascii="Arial" w:hAnsi="Arial" w:cs="Arial"/>
          <w:color w:val="000000"/>
        </w:rPr>
        <w:t>) refers to as "moral performance" in prisons, how values of decency and respect become practical norms when leadership internalises human-rights concepts.</w:t>
      </w:r>
    </w:p>
    <w:p w14:paraId="212AFA81" w14:textId="33D45AB0" w:rsidR="00652068" w:rsidRPr="000A4DDA" w:rsidRDefault="00652068" w:rsidP="0067039F">
      <w:pPr>
        <w:pStyle w:val="NormalWeb"/>
        <w:spacing w:line="360" w:lineRule="auto"/>
        <w:rPr>
          <w:rFonts w:ascii="Arial" w:hAnsi="Arial" w:cs="Arial"/>
          <w:color w:val="000000"/>
        </w:rPr>
      </w:pPr>
      <w:r w:rsidRPr="000A4DDA">
        <w:rPr>
          <w:rFonts w:ascii="Arial" w:hAnsi="Arial" w:cs="Arial"/>
          <w:color w:val="000000"/>
        </w:rPr>
        <w:t>The treatment of women in prison illustrates both the influence and limits of international human rights norms. The</w:t>
      </w:r>
      <w:r w:rsidRPr="000A4DDA">
        <w:rPr>
          <w:rStyle w:val="apple-converted-space"/>
          <w:rFonts w:ascii="Arial" w:eastAsiaTheme="majorEastAsia" w:hAnsi="Arial" w:cs="Arial"/>
          <w:color w:val="000000"/>
        </w:rPr>
        <w:t> </w:t>
      </w:r>
      <w:r w:rsidRPr="0042051F">
        <w:rPr>
          <w:rStyle w:val="Emphasis"/>
          <w:rFonts w:ascii="Arial" w:eastAsiaTheme="majorEastAsia" w:hAnsi="Arial" w:cs="Arial"/>
          <w:i w:val="0"/>
          <w:iCs w:val="0"/>
          <w:color w:val="000000"/>
        </w:rPr>
        <w:t>Bangkok Rules</w:t>
      </w:r>
      <w:r w:rsidRPr="000A4DDA">
        <w:rPr>
          <w:rStyle w:val="apple-converted-space"/>
          <w:rFonts w:ascii="Arial" w:eastAsiaTheme="majorEastAsia" w:hAnsi="Arial" w:cs="Arial"/>
          <w:color w:val="000000"/>
        </w:rPr>
        <w:t> </w:t>
      </w:r>
      <w:r w:rsidRPr="000A4DDA">
        <w:rPr>
          <w:rFonts w:ascii="Arial" w:hAnsi="Arial" w:cs="Arial"/>
          <w:color w:val="000000"/>
        </w:rPr>
        <w:t xml:space="preserve">set gender-specific standards </w:t>
      </w:r>
      <w:r w:rsidRPr="000A4DDA">
        <w:rPr>
          <w:rFonts w:ascii="Arial" w:hAnsi="Arial" w:cs="Arial"/>
          <w:color w:val="000000"/>
        </w:rPr>
        <w:lastRenderedPageBreak/>
        <w:t>on healthcare, family contact and alternatives to custody (United Nations, 2010). In England and Wales, the</w:t>
      </w:r>
      <w:r w:rsidRPr="000A4DDA">
        <w:rPr>
          <w:rStyle w:val="apple-converted-space"/>
          <w:rFonts w:ascii="Arial" w:eastAsiaTheme="majorEastAsia" w:hAnsi="Arial" w:cs="Arial"/>
          <w:color w:val="000000"/>
        </w:rPr>
        <w:t> </w:t>
      </w:r>
      <w:r w:rsidRPr="0042051F">
        <w:rPr>
          <w:rStyle w:val="Emphasis"/>
          <w:rFonts w:ascii="Arial" w:eastAsiaTheme="majorEastAsia" w:hAnsi="Arial" w:cs="Arial"/>
          <w:i w:val="0"/>
          <w:iCs w:val="0"/>
          <w:color w:val="000000"/>
        </w:rPr>
        <w:t>Female Offender Strategy</w:t>
      </w:r>
      <w:r w:rsidRPr="000A4DDA">
        <w:rPr>
          <w:rStyle w:val="apple-converted-space"/>
          <w:rFonts w:ascii="Arial" w:eastAsiaTheme="majorEastAsia" w:hAnsi="Arial" w:cs="Arial"/>
          <w:color w:val="000000"/>
        </w:rPr>
        <w:t> </w:t>
      </w:r>
      <w:r w:rsidRPr="000A4DDA">
        <w:rPr>
          <w:rFonts w:ascii="Arial" w:hAnsi="Arial" w:cs="Arial"/>
          <w:color w:val="000000"/>
        </w:rPr>
        <w:t>aims to reduce women’s imprisonment and improve community options (Ministry of Justice, 2018). However, the Prison Reform Trust (2023</w:t>
      </w:r>
      <w:r w:rsidR="00372CFD" w:rsidRPr="000A4DDA">
        <w:rPr>
          <w:rFonts w:ascii="Arial" w:hAnsi="Arial" w:cs="Arial"/>
          <w:color w:val="000000"/>
        </w:rPr>
        <w:t>b</w:t>
      </w:r>
      <w:r w:rsidRPr="000A4DDA">
        <w:rPr>
          <w:rFonts w:ascii="Arial" w:hAnsi="Arial" w:cs="Arial"/>
          <w:color w:val="000000"/>
        </w:rPr>
        <w:t>) reports that pregnant women and mothers with infants still face degrading treatment, including restraint during labour</w:t>
      </w:r>
      <w:r w:rsidR="0042051F">
        <w:rPr>
          <w:rFonts w:ascii="Arial" w:hAnsi="Arial" w:cs="Arial"/>
          <w:color w:val="000000"/>
        </w:rPr>
        <w:t xml:space="preserve">, </w:t>
      </w:r>
      <w:r w:rsidRPr="000A4DDA">
        <w:rPr>
          <w:rFonts w:ascii="Arial" w:hAnsi="Arial" w:cs="Arial"/>
          <w:color w:val="000000"/>
        </w:rPr>
        <w:t>contrary to domestic policy and international law</w:t>
      </w:r>
      <w:r w:rsidR="0067039F">
        <w:rPr>
          <w:rFonts w:ascii="Arial" w:hAnsi="Arial" w:cs="Arial"/>
          <w:color w:val="000000"/>
        </w:rPr>
        <w:t xml:space="preserve">. </w:t>
      </w:r>
      <w:r w:rsidR="0067039F" w:rsidRPr="0067039F">
        <w:rPr>
          <w:rFonts w:ascii="Arial" w:hAnsi="Arial" w:cs="Arial"/>
          <w:color w:val="000000"/>
        </w:rPr>
        <w:t xml:space="preserve">At HMP </w:t>
      </w:r>
      <w:r w:rsidR="00473A90" w:rsidRPr="0067039F">
        <w:rPr>
          <w:rFonts w:ascii="Arial" w:hAnsi="Arial" w:cs="Arial"/>
          <w:color w:val="000000"/>
        </w:rPr>
        <w:t>Bronze field</w:t>
      </w:r>
      <w:r w:rsidR="0067039F" w:rsidRPr="0067039F">
        <w:rPr>
          <w:rFonts w:ascii="Arial" w:hAnsi="Arial" w:cs="Arial"/>
          <w:color w:val="000000"/>
        </w:rPr>
        <w:t xml:space="preserve">, numerous expectant mothers reported being shackled during labour and medical tests, with one </w:t>
      </w:r>
      <w:r w:rsidR="007B7E4F">
        <w:rPr>
          <w:rFonts w:ascii="Arial" w:hAnsi="Arial" w:cs="Arial"/>
          <w:color w:val="000000"/>
        </w:rPr>
        <w:t>woman</w:t>
      </w:r>
      <w:r w:rsidR="0067039F" w:rsidRPr="0067039F">
        <w:rPr>
          <w:rFonts w:ascii="Arial" w:hAnsi="Arial" w:cs="Arial"/>
          <w:color w:val="000000"/>
        </w:rPr>
        <w:t xml:space="preserve"> claiming she was bound to a male officer for nearly 48 hours. Such events show the ongoing disparity between prison policy and practice, raising severe concerns about human rights compliance and the treatment of women in prison (Bhatt Murphy Solicitors, 2025). Following that, within</w:t>
      </w:r>
      <w:r w:rsidR="0067039F" w:rsidRPr="0042051F">
        <w:rPr>
          <w:rStyle w:val="Emphasis"/>
          <w:rFonts w:ascii="Arial" w:eastAsiaTheme="majorEastAsia" w:hAnsi="Arial" w:cs="Arial"/>
          <w:color w:val="000000"/>
        </w:rPr>
        <w:t xml:space="preserve"> </w:t>
      </w:r>
      <w:r w:rsidRPr="0042051F">
        <w:rPr>
          <w:rStyle w:val="Emphasis"/>
          <w:rFonts w:ascii="Arial" w:eastAsiaTheme="majorEastAsia" w:hAnsi="Arial" w:cs="Arial"/>
          <w:color w:val="000000"/>
        </w:rPr>
        <w:t>R (AB) v Secretary of State for Justice</w:t>
      </w:r>
      <w:r w:rsidRPr="0042051F">
        <w:rPr>
          <w:rStyle w:val="apple-converted-space"/>
          <w:rFonts w:ascii="Arial" w:eastAsiaTheme="majorEastAsia" w:hAnsi="Arial" w:cs="Arial"/>
          <w:color w:val="000000"/>
        </w:rPr>
        <w:t> </w:t>
      </w:r>
      <w:r w:rsidRPr="0042051F">
        <w:rPr>
          <w:rFonts w:ascii="Arial" w:hAnsi="Arial" w:cs="Arial"/>
          <w:color w:val="000000"/>
        </w:rPr>
        <w:t>(2024), the</w:t>
      </w:r>
      <w:r w:rsidRPr="000A4DDA">
        <w:rPr>
          <w:rFonts w:ascii="Arial" w:hAnsi="Arial" w:cs="Arial"/>
          <w:color w:val="000000"/>
        </w:rPr>
        <w:t xml:space="preserve"> High Court found such practices “manifestly incompatible” with human rights, underscoring the need for stronger oversight.</w:t>
      </w:r>
    </w:p>
    <w:p w14:paraId="38FFAC04" w14:textId="6F164582" w:rsidR="00A96BA5" w:rsidRPr="000A4DDA" w:rsidRDefault="00A96BA5" w:rsidP="000A4DDA">
      <w:pPr>
        <w:pStyle w:val="NormalWeb"/>
        <w:spacing w:line="360" w:lineRule="auto"/>
        <w:rPr>
          <w:rFonts w:ascii="Arial" w:hAnsi="Arial" w:cs="Arial"/>
          <w:color w:val="000000"/>
        </w:rPr>
      </w:pPr>
      <w:r w:rsidRPr="000A4DDA">
        <w:rPr>
          <w:rFonts w:ascii="Arial" w:hAnsi="Arial" w:cs="Arial"/>
          <w:color w:val="000000"/>
        </w:rPr>
        <w:t xml:space="preserve">The treatment of </w:t>
      </w:r>
      <w:r w:rsidR="0042051F">
        <w:rPr>
          <w:rFonts w:ascii="Arial" w:hAnsi="Arial" w:cs="Arial"/>
          <w:color w:val="000000"/>
        </w:rPr>
        <w:t>lesbian, gay, bisexual, transgender and queer (LGBTQ</w:t>
      </w:r>
      <w:r w:rsidR="00105F04">
        <w:rPr>
          <w:rFonts w:ascii="Arial" w:hAnsi="Arial" w:cs="Arial"/>
          <w:color w:val="000000"/>
        </w:rPr>
        <w:t>+)</w:t>
      </w:r>
      <w:r w:rsidRPr="000A4DDA">
        <w:rPr>
          <w:rFonts w:ascii="Arial" w:hAnsi="Arial" w:cs="Arial"/>
          <w:color w:val="000000"/>
        </w:rPr>
        <w:t xml:space="preserve"> people in prison demonstrates the disparity between international standards and practice. Although human rights frameworks ban discrimination based on sexual orientation or gender identity, many LGBTQ+ prisoners continue to face abuse and segregation. </w:t>
      </w:r>
      <w:r w:rsidR="00473A90" w:rsidRPr="00473A90">
        <w:rPr>
          <w:rStyle w:val="Strong"/>
          <w:rFonts w:ascii="Arial" w:eastAsiaTheme="majorEastAsia" w:hAnsi="Arial" w:cs="Arial"/>
          <w:b w:val="0"/>
          <w:bCs w:val="0"/>
          <w:color w:val="000000"/>
        </w:rPr>
        <w:t>For instance, a report by the Barrow Cadbury Trust (2021) found that LGBTQ+ prisoners in England and Scotland frequently experienced verbal and physical abuse, as well as isolation and mistreatment by staff due to their identity.</w:t>
      </w:r>
      <w:r w:rsidR="00473A90" w:rsidRPr="00473A90">
        <w:rPr>
          <w:rStyle w:val="apple-converted-space"/>
          <w:rFonts w:ascii="Arial" w:eastAsiaTheme="majorEastAsia" w:hAnsi="Arial" w:cs="Arial"/>
          <w:b/>
          <w:bCs/>
          <w:color w:val="000000"/>
        </w:rPr>
        <w:t> </w:t>
      </w:r>
      <w:r w:rsidR="00473A90" w:rsidRPr="00473A90">
        <w:rPr>
          <w:rFonts w:ascii="Arial" w:hAnsi="Arial" w:cs="Arial"/>
          <w:color w:val="000000"/>
        </w:rPr>
        <w:t>Such personal accounts reveal how protective segregation is often misused, reinforcing stigma rather than ensuring safety</w:t>
      </w:r>
      <w:r w:rsidR="00473A90">
        <w:rPr>
          <w:rFonts w:ascii="Arial" w:hAnsi="Arial" w:cs="Arial"/>
          <w:color w:val="000000"/>
        </w:rPr>
        <w:t xml:space="preserve"> </w:t>
      </w:r>
      <w:r w:rsidR="00473A90" w:rsidRPr="00473A90">
        <w:rPr>
          <w:rFonts w:ascii="Arial" w:hAnsi="Arial" w:cs="Arial"/>
          <w:color w:val="000000"/>
        </w:rPr>
        <w:t>and highlighting the persistent gap between policy and lived experience within the prison system.</w:t>
      </w:r>
      <w:r w:rsidR="00473A90">
        <w:rPr>
          <w:rFonts w:ascii="-webkit-standard" w:hAnsi="-webkit-standard"/>
          <w:color w:val="000000"/>
          <w:sz w:val="27"/>
          <w:szCs w:val="27"/>
        </w:rPr>
        <w:t xml:space="preserve"> </w:t>
      </w:r>
      <w:r w:rsidR="00601780" w:rsidRPr="000A4DDA">
        <w:rPr>
          <w:rFonts w:ascii="Arial" w:hAnsi="Arial" w:cs="Arial"/>
          <w:color w:val="000000"/>
        </w:rPr>
        <w:t>The</w:t>
      </w:r>
      <w:r w:rsidRPr="000A4DDA">
        <w:rPr>
          <w:rFonts w:ascii="Arial" w:hAnsi="Arial" w:cs="Arial"/>
          <w:color w:val="000000"/>
        </w:rPr>
        <w:t xml:space="preserve"> Independent Monitoring Boards (2024)</w:t>
      </w:r>
      <w:r w:rsidR="00105F04">
        <w:rPr>
          <w:rFonts w:ascii="Arial" w:hAnsi="Arial" w:cs="Arial"/>
          <w:color w:val="000000"/>
        </w:rPr>
        <w:t xml:space="preserve"> states</w:t>
      </w:r>
      <w:r w:rsidRPr="000A4DDA">
        <w:rPr>
          <w:rFonts w:ascii="Arial" w:hAnsi="Arial" w:cs="Arial"/>
          <w:color w:val="000000"/>
        </w:rPr>
        <w:t>, transgender inmates are frequently confined in solitary confinement for "safeguarding" reasons, highlighting institutional inadequacies rather than providing safety. The UN Special Rapporteur on Torture has already described such protracted seclusion as cruel, inhumane, or degrading treatment (CPT, 2024). Similarly, Penal Reform International (2024) discovered that restrictive placement rules for transgender and non-binary people exacerbate marginalisation inside carceral institutions. These patterns show how institutional risk management routinely impedes the implementation of international human rights standards.</w:t>
      </w:r>
    </w:p>
    <w:p w14:paraId="6B676629" w14:textId="1E152244" w:rsidR="00A96BA5" w:rsidRPr="000A4DDA" w:rsidRDefault="00A96BA5" w:rsidP="00322731">
      <w:pPr>
        <w:pStyle w:val="NormalWeb"/>
        <w:spacing w:line="360" w:lineRule="auto"/>
        <w:rPr>
          <w:rFonts w:ascii="Arial" w:hAnsi="Arial" w:cs="Arial"/>
          <w:color w:val="000000"/>
        </w:rPr>
      </w:pPr>
      <w:r w:rsidRPr="000A4DDA">
        <w:rPr>
          <w:rFonts w:ascii="Arial" w:hAnsi="Arial" w:cs="Arial"/>
          <w:color w:val="000000"/>
        </w:rPr>
        <w:lastRenderedPageBreak/>
        <w:t>Mental health provision represents another critical domain where the influence of international human rights standards remains incomplete. The World Health Organization (2021) and the U</w:t>
      </w:r>
      <w:r w:rsidR="00105F04">
        <w:rPr>
          <w:rFonts w:ascii="Arial" w:hAnsi="Arial" w:cs="Arial"/>
          <w:color w:val="000000"/>
        </w:rPr>
        <w:t xml:space="preserve">nited </w:t>
      </w:r>
      <w:r w:rsidRPr="000A4DDA">
        <w:rPr>
          <w:rFonts w:ascii="Arial" w:hAnsi="Arial" w:cs="Arial"/>
          <w:color w:val="000000"/>
        </w:rPr>
        <w:t>N</w:t>
      </w:r>
      <w:r w:rsidR="00105F04">
        <w:rPr>
          <w:rFonts w:ascii="Arial" w:hAnsi="Arial" w:cs="Arial"/>
          <w:color w:val="000000"/>
        </w:rPr>
        <w:t>ations</w:t>
      </w:r>
      <w:r w:rsidRPr="000A4DDA">
        <w:rPr>
          <w:rFonts w:ascii="Arial" w:hAnsi="Arial" w:cs="Arial"/>
          <w:color w:val="000000"/>
        </w:rPr>
        <w:t xml:space="preserve"> Office on Drugs and Crime (2022) have both called for parity between prison and community mental health services. In practice, however, the HM Chief Inspector of Prisons (2024) found that prisoners with acute mental illness often wait months for transfer to secure hospitals, contravening the UK’s obligations under the Convention on the Rights of Persons with Disabilities (UK NPM, 2024; UK Parliament Joint Committee on Human Rights, 2025). According to the Centre for Mental Health (2023), such systemic delays contribute to self-harm and suicide rates far exceeding those in the general population (House of Commons Library, 2024).</w:t>
      </w:r>
      <w:r w:rsidRPr="00322731">
        <w:rPr>
          <w:rFonts w:ascii="Arial" w:hAnsi="Arial" w:cs="Arial"/>
          <w:color w:val="000000"/>
        </w:rPr>
        <w:t xml:space="preserve"> </w:t>
      </w:r>
      <w:r w:rsidR="00322731" w:rsidRPr="00322731">
        <w:rPr>
          <w:rFonts w:ascii="Arial" w:hAnsi="Arial" w:cs="Arial"/>
          <w:color w:val="000000"/>
        </w:rPr>
        <w:t>In 2024, there were</w:t>
      </w:r>
      <w:r w:rsidR="00322731" w:rsidRPr="00322731">
        <w:rPr>
          <w:rStyle w:val="apple-converted-space"/>
          <w:rFonts w:ascii="Arial" w:eastAsiaTheme="majorEastAsia" w:hAnsi="Arial" w:cs="Arial"/>
          <w:color w:val="000000"/>
        </w:rPr>
        <w:t> </w:t>
      </w:r>
      <w:r w:rsidR="00322731" w:rsidRPr="00322731">
        <w:rPr>
          <w:rStyle w:val="Strong"/>
          <w:rFonts w:ascii="Arial" w:eastAsiaTheme="majorEastAsia" w:hAnsi="Arial" w:cs="Arial"/>
          <w:b w:val="0"/>
          <w:bCs w:val="0"/>
          <w:color w:val="000000"/>
        </w:rPr>
        <w:t>89 self-inflicted deaths in prison custody</w:t>
      </w:r>
      <w:r w:rsidR="00322731" w:rsidRPr="00322731">
        <w:rPr>
          <w:rStyle w:val="apple-converted-space"/>
          <w:rFonts w:ascii="Arial" w:eastAsiaTheme="majorEastAsia" w:hAnsi="Arial" w:cs="Arial"/>
          <w:b/>
          <w:bCs/>
          <w:color w:val="000000"/>
        </w:rPr>
        <w:t> </w:t>
      </w:r>
      <w:r w:rsidR="00322731" w:rsidRPr="00322731">
        <w:rPr>
          <w:rFonts w:ascii="Arial" w:hAnsi="Arial" w:cs="Arial"/>
          <w:color w:val="000000"/>
        </w:rPr>
        <w:t>across England and Wales, underscoring the extent of the mental health crisis in the prison system (His Majesty’s Prison and Probation Service, 2024).</w:t>
      </w:r>
      <w:r w:rsidR="00322731" w:rsidRPr="000A4DDA">
        <w:rPr>
          <w:rFonts w:ascii="Arial" w:hAnsi="Arial" w:cs="Arial"/>
          <w:color w:val="000000"/>
        </w:rPr>
        <w:t xml:space="preserve"> This</w:t>
      </w:r>
      <w:r w:rsidRPr="000A4DDA">
        <w:rPr>
          <w:rFonts w:ascii="Arial" w:hAnsi="Arial" w:cs="Arial"/>
          <w:color w:val="000000"/>
        </w:rPr>
        <w:t xml:space="preserve"> persistent gap illustrates the limits of international influence when domestic provision remains under-resourced and fragmented.</w:t>
      </w:r>
    </w:p>
    <w:p w14:paraId="5CACA1CC" w14:textId="6E06E417" w:rsidR="00FD5BE9" w:rsidRPr="000A4DDA" w:rsidRDefault="00FD5BE9" w:rsidP="000A4DDA">
      <w:pPr>
        <w:pStyle w:val="NormalWeb"/>
        <w:spacing w:line="360" w:lineRule="auto"/>
        <w:rPr>
          <w:rFonts w:ascii="Arial" w:hAnsi="Arial" w:cs="Arial"/>
          <w:color w:val="000000"/>
        </w:rPr>
      </w:pPr>
      <w:r w:rsidRPr="000A4DDA">
        <w:rPr>
          <w:rFonts w:ascii="Arial" w:hAnsi="Arial" w:cs="Arial"/>
          <w:color w:val="000000"/>
        </w:rPr>
        <w:t xml:space="preserve">The international community's scrutiny has shaped reform rhetoric. During its 2022 visit to the UK, the Committee for the Prevention of Torture advised a "shift from punitive management to rights-based rehabilitation," echoing the broader European trend towards humane correctional regimes (Council of Europe- Directorate General Human Rights and Rule of Law, 2023). Similarly, the Office of the United Nations High Commissioner for Human Rights' (2025) Periodic </w:t>
      </w:r>
      <w:r w:rsidR="00105F04" w:rsidRPr="000A4DDA">
        <w:rPr>
          <w:rFonts w:ascii="Arial" w:hAnsi="Arial" w:cs="Arial"/>
          <w:color w:val="000000"/>
        </w:rPr>
        <w:t>Review suggested</w:t>
      </w:r>
      <w:r w:rsidRPr="000A4DDA">
        <w:rPr>
          <w:rFonts w:ascii="Arial" w:hAnsi="Arial" w:cs="Arial"/>
          <w:color w:val="000000"/>
        </w:rPr>
        <w:t xml:space="preserve"> lowering prison congestion by sentencing reform, widening community </w:t>
      </w:r>
      <w:proofErr w:type="gramStart"/>
      <w:r w:rsidRPr="000A4DDA">
        <w:rPr>
          <w:rFonts w:ascii="Arial" w:hAnsi="Arial" w:cs="Arial"/>
          <w:color w:val="000000"/>
        </w:rPr>
        <w:t>penalties</w:t>
      </w:r>
      <w:proofErr w:type="gramEnd"/>
      <w:r w:rsidRPr="000A4DDA">
        <w:rPr>
          <w:rFonts w:ascii="Arial" w:hAnsi="Arial" w:cs="Arial"/>
          <w:color w:val="000000"/>
        </w:rPr>
        <w:t> and enhancing health-care standards. While the UK government (2024) "noted" rather than "accepted" some recommendations, their participation in policy debate demonstrates continuous adherence to global norms.</w:t>
      </w:r>
    </w:p>
    <w:p w14:paraId="1FA5DC8B" w14:textId="746D844C" w:rsidR="003F5EE1" w:rsidRPr="000A4DDA" w:rsidRDefault="003F5EE1" w:rsidP="000A4DDA">
      <w:pPr>
        <w:pStyle w:val="NormalWeb"/>
        <w:spacing w:line="360" w:lineRule="auto"/>
        <w:rPr>
          <w:rFonts w:ascii="Arial" w:hAnsi="Arial" w:cs="Arial"/>
          <w:color w:val="000000"/>
        </w:rPr>
      </w:pPr>
      <w:r w:rsidRPr="000A4DDA">
        <w:rPr>
          <w:rFonts w:ascii="Arial" w:hAnsi="Arial" w:cs="Arial"/>
          <w:color w:val="000000"/>
        </w:rPr>
        <w:t xml:space="preserve">The influence of international human rights norms in England and Wales can be studied conceptually using norm diffusion theory. As argued </w:t>
      </w:r>
      <w:proofErr w:type="spellStart"/>
      <w:r w:rsidRPr="000A4DDA">
        <w:rPr>
          <w:rFonts w:ascii="Arial" w:hAnsi="Arial" w:cs="Arial"/>
          <w:color w:val="000000"/>
        </w:rPr>
        <w:t>byFinnemore</w:t>
      </w:r>
      <w:proofErr w:type="spellEnd"/>
      <w:r w:rsidRPr="000A4DDA">
        <w:rPr>
          <w:rFonts w:ascii="Arial" w:hAnsi="Arial" w:cs="Arial"/>
          <w:color w:val="000000"/>
        </w:rPr>
        <w:t xml:space="preserve"> and </w:t>
      </w:r>
      <w:proofErr w:type="spellStart"/>
      <w:r w:rsidRPr="000A4DDA">
        <w:rPr>
          <w:rFonts w:ascii="Arial" w:hAnsi="Arial" w:cs="Arial"/>
          <w:color w:val="000000"/>
        </w:rPr>
        <w:t>Sikkink</w:t>
      </w:r>
      <w:proofErr w:type="spellEnd"/>
      <w:r w:rsidRPr="000A4DDA">
        <w:rPr>
          <w:rFonts w:ascii="Arial" w:hAnsi="Arial" w:cs="Arial"/>
          <w:color w:val="000000"/>
        </w:rPr>
        <w:t xml:space="preserve"> (1998), international standards develop in three stages: emergence, </w:t>
      </w:r>
      <w:proofErr w:type="gramStart"/>
      <w:r w:rsidRPr="000A4DDA">
        <w:rPr>
          <w:rFonts w:ascii="Arial" w:hAnsi="Arial" w:cs="Arial"/>
          <w:color w:val="000000"/>
        </w:rPr>
        <w:t>cascade</w:t>
      </w:r>
      <w:proofErr w:type="gramEnd"/>
      <w:r w:rsidR="00105F04">
        <w:rPr>
          <w:rFonts w:ascii="Arial" w:hAnsi="Arial" w:cs="Arial"/>
          <w:color w:val="000000"/>
        </w:rPr>
        <w:t xml:space="preserve"> </w:t>
      </w:r>
      <w:r w:rsidRPr="000A4DDA">
        <w:rPr>
          <w:rFonts w:ascii="Arial" w:hAnsi="Arial" w:cs="Arial"/>
          <w:color w:val="000000"/>
        </w:rPr>
        <w:t xml:space="preserve">and internalisation. In the UK, the ECHR and UN norms have obviously emerged and cascaded, embedded in legislation, inspection criteria and political rhetoric but they are only partially internalised inside prison culture. In the opinion of Case and Haines (2021), true internalisation necessitates alignment of policy, practice and </w:t>
      </w:r>
      <w:r w:rsidRPr="000A4DDA">
        <w:rPr>
          <w:rFonts w:ascii="Arial" w:hAnsi="Arial" w:cs="Arial"/>
          <w:color w:val="000000"/>
        </w:rPr>
        <w:lastRenderedPageBreak/>
        <w:t>belief, a condition that has yet to be met in a system dominated by control and austerity.</w:t>
      </w:r>
    </w:p>
    <w:p w14:paraId="25CA3FC6" w14:textId="18DDC485" w:rsidR="005908DA" w:rsidRPr="000A4DDA" w:rsidRDefault="005908DA" w:rsidP="000A4DDA">
      <w:pPr>
        <w:pStyle w:val="NormalWeb"/>
        <w:spacing w:line="360" w:lineRule="auto"/>
        <w:rPr>
          <w:rFonts w:ascii="Arial" w:hAnsi="Arial" w:cs="Arial"/>
          <w:color w:val="000000"/>
        </w:rPr>
      </w:pPr>
      <w:r w:rsidRPr="000A4DDA">
        <w:rPr>
          <w:rFonts w:ascii="Arial" w:hAnsi="Arial" w:cs="Arial"/>
          <w:color w:val="000000"/>
        </w:rPr>
        <w:t xml:space="preserve">The Council of Europe (2025) demonstrated that the efficacy of human rights norms is ultimately determined by the interaction of legal, </w:t>
      </w:r>
      <w:proofErr w:type="gramStart"/>
      <w:r w:rsidRPr="000A4DDA">
        <w:rPr>
          <w:rFonts w:ascii="Arial" w:hAnsi="Arial" w:cs="Arial"/>
          <w:color w:val="000000"/>
        </w:rPr>
        <w:t>political</w:t>
      </w:r>
      <w:proofErr w:type="gramEnd"/>
      <w:r w:rsidRPr="000A4DDA">
        <w:rPr>
          <w:rFonts w:ascii="Arial" w:hAnsi="Arial" w:cs="Arial"/>
          <w:color w:val="000000"/>
        </w:rPr>
        <w:t xml:space="preserve"> and cultural variables. Legally, the ECHR and domestic judicial monitoring establish enforceable standards. Politically, advocacy and public opinion dictate the level of government involvement. Culturally, the moral ethos of </w:t>
      </w:r>
      <w:r w:rsidR="00105F04">
        <w:rPr>
          <w:rFonts w:ascii="Arial" w:hAnsi="Arial" w:cs="Arial"/>
          <w:color w:val="000000"/>
        </w:rPr>
        <w:t>prison</w:t>
      </w:r>
      <w:r w:rsidRPr="000A4DDA">
        <w:rPr>
          <w:rFonts w:ascii="Arial" w:hAnsi="Arial" w:cs="Arial"/>
          <w:color w:val="000000"/>
        </w:rPr>
        <w:t xml:space="preserve"> administration determines whether obedience is genuine or performed. As Crewe (2023) points out, "The soul of a prison lies not in its rules but in its relationships." This insight emphasises that human rights realisation is a lived practice rather than a legal artefact.</w:t>
      </w:r>
    </w:p>
    <w:p w14:paraId="6C1E5A75" w14:textId="77777777" w:rsidR="00A70DBC" w:rsidRPr="000A4DDA" w:rsidRDefault="00A70DBC" w:rsidP="000A4DDA">
      <w:pPr>
        <w:pStyle w:val="NormalWeb"/>
        <w:spacing w:line="360" w:lineRule="auto"/>
        <w:rPr>
          <w:rFonts w:ascii="Arial" w:hAnsi="Arial" w:cs="Arial"/>
          <w:color w:val="000000"/>
        </w:rPr>
      </w:pPr>
      <w:r w:rsidRPr="000A4DDA">
        <w:rPr>
          <w:rFonts w:ascii="Arial" w:hAnsi="Arial" w:cs="Arial"/>
          <w:color w:val="000000"/>
        </w:rPr>
        <w:t xml:space="preserve">Empirical data demonstrates that adhering to international human rights principles is more than just a moral necessity; it also leads to tangible benefits. The Ministry of Justice (2025), reported that, prisons with higher decency ratings, less staff-prisoner conflict and more access to meaningful activity had much lower recidivism rates. Similarly, </w:t>
      </w:r>
      <w:proofErr w:type="spellStart"/>
      <w:r w:rsidRPr="000A4DDA">
        <w:rPr>
          <w:rFonts w:ascii="Arial" w:hAnsi="Arial" w:cs="Arial"/>
          <w:color w:val="000000"/>
        </w:rPr>
        <w:t>Nacro</w:t>
      </w:r>
      <w:proofErr w:type="spellEnd"/>
      <w:r w:rsidRPr="000A4DDA">
        <w:rPr>
          <w:rFonts w:ascii="Arial" w:hAnsi="Arial" w:cs="Arial"/>
          <w:color w:val="000000"/>
        </w:rPr>
        <w:t xml:space="preserve"> (2025) discovered that education and job programmes based on human rights principles improve reintegration outcomes. Internationally, comparative studies by Van de </w:t>
      </w:r>
      <w:proofErr w:type="spellStart"/>
      <w:r w:rsidRPr="000A4DDA">
        <w:rPr>
          <w:rFonts w:ascii="Arial" w:hAnsi="Arial" w:cs="Arial"/>
          <w:color w:val="000000"/>
        </w:rPr>
        <w:t>Rijt</w:t>
      </w:r>
      <w:proofErr w:type="spellEnd"/>
      <w:r w:rsidRPr="000A4DDA">
        <w:rPr>
          <w:rFonts w:ascii="Arial" w:hAnsi="Arial" w:cs="Arial"/>
          <w:color w:val="000000"/>
        </w:rPr>
        <w:t xml:space="preserve">, van </w:t>
      </w:r>
      <w:proofErr w:type="spellStart"/>
      <w:r w:rsidRPr="000A4DDA">
        <w:rPr>
          <w:rFonts w:ascii="Arial" w:hAnsi="Arial" w:cs="Arial"/>
          <w:color w:val="000000"/>
        </w:rPr>
        <w:t>Ginneken</w:t>
      </w:r>
      <w:proofErr w:type="spellEnd"/>
      <w:r w:rsidRPr="000A4DDA">
        <w:rPr>
          <w:rFonts w:ascii="Arial" w:hAnsi="Arial" w:cs="Arial"/>
          <w:color w:val="000000"/>
        </w:rPr>
        <w:t xml:space="preserve"> and Boone (2023) show that countries that closely adhere to the Mandela Rules, such as Norway and the Netherlands, have higher safety, mental </w:t>
      </w:r>
      <w:proofErr w:type="gramStart"/>
      <w:r w:rsidRPr="000A4DDA">
        <w:rPr>
          <w:rFonts w:ascii="Arial" w:hAnsi="Arial" w:cs="Arial"/>
          <w:color w:val="000000"/>
        </w:rPr>
        <w:t>health</w:t>
      </w:r>
      <w:proofErr w:type="gramEnd"/>
      <w:r w:rsidRPr="000A4DDA">
        <w:rPr>
          <w:rFonts w:ascii="Arial" w:hAnsi="Arial" w:cs="Arial"/>
          <w:color w:val="000000"/>
        </w:rPr>
        <w:t> and rehabilitation outcomes. These findings confirm that adherence to human rights criteria and good correctional performance are mutually reinforcing, rather than conflicting.</w:t>
      </w:r>
    </w:p>
    <w:p w14:paraId="3A391376" w14:textId="706B5A9D" w:rsidR="0029780F" w:rsidRPr="000A4DDA" w:rsidRDefault="0029780F" w:rsidP="000A4DDA">
      <w:pPr>
        <w:pStyle w:val="NormalWeb"/>
        <w:spacing w:line="360" w:lineRule="auto"/>
        <w:rPr>
          <w:rFonts w:ascii="Arial" w:hAnsi="Arial" w:cs="Arial"/>
          <w:color w:val="000000"/>
        </w:rPr>
      </w:pPr>
      <w:r w:rsidRPr="000A4DDA">
        <w:rPr>
          <w:rFonts w:ascii="Arial" w:hAnsi="Arial" w:cs="Arial"/>
          <w:color w:val="000000"/>
        </w:rPr>
        <w:t xml:space="preserve">Nonetheless, persisting structural constraints prevent complete implementation. According to the Institute for Government (2023), austerity-era cuts have depleted the </w:t>
      </w:r>
      <w:r w:rsidR="00105F04">
        <w:rPr>
          <w:rFonts w:ascii="Arial" w:hAnsi="Arial" w:cs="Arial"/>
          <w:color w:val="000000"/>
        </w:rPr>
        <w:t>prison</w:t>
      </w:r>
      <w:r w:rsidRPr="000A4DDA">
        <w:rPr>
          <w:rFonts w:ascii="Arial" w:hAnsi="Arial" w:cs="Arial"/>
          <w:color w:val="000000"/>
        </w:rPr>
        <w:t xml:space="preserve"> system's resources needed to maintain humane conditions, while political incentives prioritise visible toughness over long-term change. Garland and Sparks' (2018) assessment of the "criminology of the other" remains relevant: prisons serve as symbols of state power and humanitarian reform risks being portrayed as weakness. As per to the Vera Institute of Justice (2018), addressing this tension involves rethinking prisons as institutions of social reintegration rather than agents of retribution, an ethos central to international human rights legislation.</w:t>
      </w:r>
    </w:p>
    <w:p w14:paraId="6BDF2B39" w14:textId="066F46FF" w:rsidR="0029780F" w:rsidRPr="000A4DDA" w:rsidRDefault="0029780F" w:rsidP="000A4DDA">
      <w:pPr>
        <w:pStyle w:val="NormalWeb"/>
        <w:spacing w:line="360" w:lineRule="auto"/>
        <w:rPr>
          <w:rFonts w:ascii="Arial" w:hAnsi="Arial" w:cs="Arial"/>
          <w:color w:val="000000"/>
        </w:rPr>
      </w:pPr>
      <w:r w:rsidRPr="000A4DDA">
        <w:rPr>
          <w:rFonts w:ascii="Arial" w:hAnsi="Arial" w:cs="Arial"/>
          <w:color w:val="000000"/>
        </w:rPr>
        <w:lastRenderedPageBreak/>
        <w:t>The future of prison reform in England and Wales will depend on incorporating human rights concepts across the criminal justice system. As to the Bar Council (2024), satisfying international duties requires decarceration, investing in community penalties and implementing rehabilitation-focused programs. The Howard League</w:t>
      </w:r>
      <w:r w:rsidR="00677F3F" w:rsidRPr="000A4DDA">
        <w:rPr>
          <w:rFonts w:ascii="Arial" w:hAnsi="Arial" w:cs="Arial"/>
          <w:color w:val="000000"/>
        </w:rPr>
        <w:t xml:space="preserve"> </w:t>
      </w:r>
      <w:r w:rsidR="00677F3F" w:rsidRPr="000A4DDA">
        <w:rPr>
          <w:rStyle w:val="Strong"/>
          <w:rFonts w:ascii="Arial" w:eastAsiaTheme="majorEastAsia" w:hAnsi="Arial" w:cs="Arial"/>
          <w:b w:val="0"/>
          <w:bCs w:val="0"/>
          <w:color w:val="000000"/>
        </w:rPr>
        <w:t>for Penal Reform</w:t>
      </w:r>
      <w:r w:rsidRPr="000A4DDA">
        <w:rPr>
          <w:rFonts w:ascii="Arial" w:hAnsi="Arial" w:cs="Arial"/>
          <w:color w:val="000000"/>
        </w:rPr>
        <w:t xml:space="preserve"> (2025</w:t>
      </w:r>
      <w:r w:rsidR="00677F3F" w:rsidRPr="000A4DDA">
        <w:rPr>
          <w:rFonts w:ascii="Arial" w:hAnsi="Arial" w:cs="Arial"/>
          <w:color w:val="000000"/>
        </w:rPr>
        <w:t>b</w:t>
      </w:r>
      <w:r w:rsidRPr="000A4DDA">
        <w:rPr>
          <w:rFonts w:ascii="Arial" w:hAnsi="Arial" w:cs="Arial"/>
          <w:color w:val="000000"/>
        </w:rPr>
        <w:t xml:space="preserve">) advocates for a nationwide approach to reduce prison populations, increase oversight </w:t>
      </w:r>
      <w:proofErr w:type="gramStart"/>
      <w:r w:rsidRPr="000A4DDA">
        <w:rPr>
          <w:rFonts w:ascii="Arial" w:hAnsi="Arial" w:cs="Arial"/>
          <w:color w:val="000000"/>
        </w:rPr>
        <w:t>mechanisms</w:t>
      </w:r>
      <w:proofErr w:type="gramEnd"/>
      <w:r w:rsidRPr="000A4DDA">
        <w:rPr>
          <w:rFonts w:ascii="Arial" w:hAnsi="Arial" w:cs="Arial"/>
          <w:color w:val="000000"/>
        </w:rPr>
        <w:t> and match sentencing with the notion of proportionality. Such measures would not only meet the UK's legal commitments under the ECHR and UN treaties but would also promote social fairness and public safety.</w:t>
      </w:r>
    </w:p>
    <w:p w14:paraId="5A994D2B" w14:textId="70474A1F" w:rsidR="0029780F" w:rsidRPr="000A4DDA" w:rsidRDefault="0029780F" w:rsidP="000A4DDA">
      <w:pPr>
        <w:pStyle w:val="NormalWeb"/>
        <w:spacing w:line="360" w:lineRule="auto"/>
        <w:rPr>
          <w:rFonts w:ascii="Arial" w:hAnsi="Arial" w:cs="Arial"/>
          <w:color w:val="000000"/>
        </w:rPr>
      </w:pPr>
      <w:r w:rsidRPr="000A4DDA">
        <w:rPr>
          <w:rFonts w:ascii="Arial" w:hAnsi="Arial" w:cs="Arial"/>
          <w:color w:val="000000"/>
        </w:rPr>
        <w:t>In conclusion, international human rights norms have had a significant but imperfect impact on prison conditions and practices in England and Wales. The United Kingdom has adopted a normative framework based on dignity, humanity and rehabilitation through the ECHR, Mandela Rules and UN and Council of Europe</w:t>
      </w:r>
      <w:r w:rsidR="00AB4B2E" w:rsidRPr="000A4DDA">
        <w:rPr>
          <w:rStyle w:val="Strong"/>
          <w:rFonts w:ascii="Arial" w:eastAsiaTheme="majorEastAsia" w:hAnsi="Arial" w:cs="Arial"/>
          <w:b w:val="0"/>
          <w:bCs w:val="0"/>
          <w:color w:val="000000"/>
        </w:rPr>
        <w:t xml:space="preserve"> Directorate General Human Rights </w:t>
      </w:r>
      <w:r w:rsidR="00AB4B2E" w:rsidRPr="000A4DDA">
        <w:rPr>
          <w:rFonts w:ascii="Arial" w:hAnsi="Arial" w:cs="Arial"/>
          <w:color w:val="000000"/>
        </w:rPr>
        <w:t>(2023</w:t>
      </w:r>
      <w:proofErr w:type="gramStart"/>
      <w:r w:rsidR="00AB4B2E" w:rsidRPr="000A4DDA">
        <w:rPr>
          <w:rFonts w:ascii="Arial" w:hAnsi="Arial" w:cs="Arial"/>
          <w:color w:val="000000"/>
        </w:rPr>
        <w:t xml:space="preserve">) </w:t>
      </w:r>
      <w:r w:rsidR="00AB4B2E" w:rsidRPr="000A4DDA">
        <w:rPr>
          <w:rStyle w:val="Strong"/>
          <w:rFonts w:ascii="Arial" w:eastAsiaTheme="majorEastAsia" w:hAnsi="Arial" w:cs="Arial"/>
          <w:b w:val="0"/>
          <w:bCs w:val="0"/>
          <w:color w:val="000000"/>
        </w:rPr>
        <w:t xml:space="preserve"> and</w:t>
      </w:r>
      <w:proofErr w:type="gramEnd"/>
      <w:r w:rsidR="00AB4B2E" w:rsidRPr="000A4DDA">
        <w:rPr>
          <w:rStyle w:val="Strong"/>
          <w:rFonts w:ascii="Arial" w:eastAsiaTheme="majorEastAsia" w:hAnsi="Arial" w:cs="Arial"/>
          <w:b w:val="0"/>
          <w:bCs w:val="0"/>
          <w:color w:val="000000"/>
        </w:rPr>
        <w:t xml:space="preserve"> Rule of Law </w:t>
      </w:r>
      <w:r w:rsidRPr="000A4DDA">
        <w:rPr>
          <w:rFonts w:ascii="Arial" w:hAnsi="Arial" w:cs="Arial"/>
          <w:color w:val="000000"/>
        </w:rPr>
        <w:t xml:space="preserve">monitoring mechanisms. These norms have affected legislation, policy debate, inspection criteria and ethical reflection within the criminal justice system. However, structural restrictions such as overpopulation, underfunding, political </w:t>
      </w:r>
      <w:proofErr w:type="gramStart"/>
      <w:r w:rsidRPr="000A4DDA">
        <w:rPr>
          <w:rFonts w:ascii="Arial" w:hAnsi="Arial" w:cs="Arial"/>
          <w:color w:val="000000"/>
        </w:rPr>
        <w:t>populism</w:t>
      </w:r>
      <w:proofErr w:type="gramEnd"/>
      <w:r w:rsidRPr="000A4DDA">
        <w:rPr>
          <w:rFonts w:ascii="Arial" w:hAnsi="Arial" w:cs="Arial"/>
          <w:color w:val="000000"/>
        </w:rPr>
        <w:t xml:space="preserve"> and institutional inertia continue to impede full compliance. The implications for prisoner treatment are thus mixed: while rights-based terminology and oversight have increased transparency and accountability, daily jail life is frequently brutal and unpleasant.</w:t>
      </w:r>
    </w:p>
    <w:p w14:paraId="2D08B594" w14:textId="634F3597" w:rsidR="00452723" w:rsidRPr="000A4DDA" w:rsidRDefault="00BE634B" w:rsidP="000A4DDA">
      <w:pPr>
        <w:tabs>
          <w:tab w:val="left" w:pos="2126"/>
        </w:tabs>
        <w:spacing w:line="360" w:lineRule="auto"/>
        <w:rPr>
          <w:rFonts w:ascii="Arial" w:hAnsi="Arial" w:cs="Arial"/>
          <w:color w:val="000000"/>
        </w:rPr>
      </w:pPr>
      <w:r w:rsidRPr="000A4DDA">
        <w:rPr>
          <w:rFonts w:ascii="Arial" w:hAnsi="Arial" w:cs="Arial"/>
          <w:color w:val="000000"/>
        </w:rPr>
        <w:t xml:space="preserve">Comparative evidence from more human-rights-compliant institutions, such as those in </w:t>
      </w:r>
      <w:r w:rsidR="00105F04">
        <w:rPr>
          <w:rFonts w:ascii="Arial" w:hAnsi="Arial" w:cs="Arial"/>
          <w:color w:val="000000"/>
        </w:rPr>
        <w:t>Norway</w:t>
      </w:r>
      <w:r w:rsidRPr="000A4DDA">
        <w:rPr>
          <w:rFonts w:ascii="Arial" w:hAnsi="Arial" w:cs="Arial"/>
          <w:color w:val="000000"/>
        </w:rPr>
        <w:t>, shows that compliance with international norms may coexist with public safety and fiscal discipline. For England and Wales, meaningful change will require moving beyond rhetorical commitment to genuine cultural reform, in which dignity and rehabilitation are operational imperatives rather than aspirational objectives. As Foucault (1977) warned, the measure of a society is how it disciplines rather than punishes; and, as the Prison Reform Trust (2024) points out, the actual test of justice is found in its prisons, not its laws. Only by incorporating international human rights norms into the daily reality of detention can England and Wales hope to meet their legal and moral commitments to people under their custody.</w:t>
      </w:r>
    </w:p>
    <w:p w14:paraId="42804FC4" w14:textId="6DBF2690" w:rsidR="009C50A8" w:rsidRDefault="009C50A8" w:rsidP="00A74EA6">
      <w:pPr>
        <w:tabs>
          <w:tab w:val="left" w:pos="2126"/>
        </w:tabs>
        <w:spacing w:line="360" w:lineRule="auto"/>
        <w:rPr>
          <w:rFonts w:ascii="Arial" w:hAnsi="Arial" w:cs="Arial"/>
          <w:b/>
          <w:bCs/>
          <w:color w:val="000000"/>
          <w:sz w:val="27"/>
          <w:szCs w:val="27"/>
        </w:rPr>
      </w:pPr>
    </w:p>
    <w:p w14:paraId="73E1C885" w14:textId="77777777" w:rsidR="00565269" w:rsidRDefault="00565269" w:rsidP="00A74EA6">
      <w:pPr>
        <w:tabs>
          <w:tab w:val="left" w:pos="2126"/>
        </w:tabs>
        <w:spacing w:line="360" w:lineRule="auto"/>
        <w:rPr>
          <w:rFonts w:ascii="Arial" w:hAnsi="Arial" w:cs="Arial"/>
          <w:b/>
          <w:bCs/>
          <w:color w:val="000000"/>
          <w:sz w:val="27"/>
          <w:szCs w:val="27"/>
        </w:rPr>
      </w:pPr>
    </w:p>
    <w:p w14:paraId="1570B78D" w14:textId="05061DBA" w:rsidR="006E2B85" w:rsidRPr="000A4DDA" w:rsidRDefault="006E2B85" w:rsidP="000A4DDA">
      <w:pPr>
        <w:pStyle w:val="NormalWeb"/>
        <w:spacing w:line="360" w:lineRule="auto"/>
        <w:rPr>
          <w:rFonts w:ascii="Arial" w:hAnsi="Arial" w:cs="Arial"/>
        </w:rPr>
      </w:pPr>
      <w:r w:rsidRPr="000A4DDA">
        <w:rPr>
          <w:rFonts w:ascii="Arial" w:hAnsi="Arial" w:cs="Arial"/>
        </w:rPr>
        <w:lastRenderedPageBreak/>
        <w:t xml:space="preserve">I acknowledge the use of cite this for me and chat </w:t>
      </w:r>
      <w:r w:rsidR="00F413EC" w:rsidRPr="000A4DDA">
        <w:rPr>
          <w:rFonts w:ascii="Arial" w:hAnsi="Arial" w:cs="Arial"/>
        </w:rPr>
        <w:t>GPT</w:t>
      </w:r>
      <w:r w:rsidRPr="000A4DDA">
        <w:rPr>
          <w:rFonts w:ascii="Arial" w:hAnsi="Arial" w:cs="Arial"/>
        </w:rPr>
        <w:t xml:space="preserve"> on 3/11/25 to </w:t>
      </w:r>
      <w:r w:rsidR="00F413EC" w:rsidRPr="000A4DDA">
        <w:rPr>
          <w:rFonts w:ascii="Arial" w:hAnsi="Arial" w:cs="Arial"/>
        </w:rPr>
        <w:t>a</w:t>
      </w:r>
      <w:r w:rsidRPr="000A4DDA">
        <w:rPr>
          <w:rFonts w:ascii="Arial" w:hAnsi="Arial" w:cs="Arial"/>
        </w:rPr>
        <w:t xml:space="preserve">rrange my reference list. I used the prompt(s): </w:t>
      </w:r>
    </w:p>
    <w:p w14:paraId="203E50E6" w14:textId="5C0F3170" w:rsidR="006E2B85" w:rsidRPr="000A4DDA" w:rsidRDefault="006E2B85" w:rsidP="000A4DDA">
      <w:pPr>
        <w:pStyle w:val="NormalWeb"/>
        <w:numPr>
          <w:ilvl w:val="0"/>
          <w:numId w:val="1"/>
        </w:numPr>
        <w:spacing w:line="360" w:lineRule="auto"/>
        <w:rPr>
          <w:rFonts w:ascii="Arial" w:hAnsi="Arial" w:cs="Arial"/>
        </w:rPr>
      </w:pPr>
      <w:r w:rsidRPr="000A4DDA">
        <w:rPr>
          <w:rFonts w:ascii="Arial" w:hAnsi="Arial" w:cs="Arial"/>
        </w:rPr>
        <w:t xml:space="preserve">Please arrange my reference list into alphabetical order </w:t>
      </w:r>
    </w:p>
    <w:p w14:paraId="78064B9E" w14:textId="29B82F2F" w:rsidR="00F413EC" w:rsidRPr="000A4DDA" w:rsidRDefault="008306BB" w:rsidP="000A4DDA">
      <w:pPr>
        <w:pStyle w:val="NormalWeb"/>
        <w:numPr>
          <w:ilvl w:val="0"/>
          <w:numId w:val="1"/>
        </w:numPr>
        <w:spacing w:line="360" w:lineRule="auto"/>
        <w:rPr>
          <w:rFonts w:ascii="Arial" w:hAnsi="Arial" w:cs="Arial"/>
        </w:rPr>
      </w:pPr>
      <w:r>
        <w:rPr>
          <w:rFonts w:ascii="Arial" w:hAnsi="Arial" w:cs="Arial"/>
          <w:color w:val="000000"/>
        </w:rPr>
        <w:t>If</w:t>
      </w:r>
      <w:r w:rsidR="00F413EC" w:rsidRPr="000A4DDA">
        <w:rPr>
          <w:rFonts w:ascii="Arial" w:hAnsi="Arial" w:cs="Arial"/>
          <w:color w:val="000000"/>
        </w:rPr>
        <w:t xml:space="preserve"> there are any repeat </w:t>
      </w:r>
      <w:r>
        <w:rPr>
          <w:rFonts w:ascii="Arial" w:hAnsi="Arial" w:cs="Arial"/>
          <w:color w:val="000000"/>
        </w:rPr>
        <w:t>citations</w:t>
      </w:r>
      <w:r w:rsidR="00F413EC" w:rsidRPr="000A4DDA">
        <w:rPr>
          <w:rFonts w:ascii="Arial" w:hAnsi="Arial" w:cs="Arial"/>
          <w:color w:val="000000"/>
        </w:rPr>
        <w:t xml:space="preserve"> with the same dates also, please label them a, b, c etc after the dates that are </w:t>
      </w:r>
      <w:r w:rsidR="00B41F97" w:rsidRPr="000A4DDA">
        <w:rPr>
          <w:rFonts w:ascii="Arial" w:hAnsi="Arial" w:cs="Arial"/>
          <w:color w:val="000000"/>
        </w:rPr>
        <w:t>given.</w:t>
      </w:r>
    </w:p>
    <w:p w14:paraId="272647B9" w14:textId="19F6EC9A" w:rsidR="00F413EC" w:rsidRPr="000A4DDA" w:rsidRDefault="00F413EC" w:rsidP="000A4DDA">
      <w:pPr>
        <w:pStyle w:val="NormalWeb"/>
        <w:numPr>
          <w:ilvl w:val="0"/>
          <w:numId w:val="1"/>
        </w:numPr>
        <w:spacing w:line="360" w:lineRule="auto"/>
        <w:rPr>
          <w:rFonts w:ascii="Arial" w:hAnsi="Arial" w:cs="Arial"/>
        </w:rPr>
      </w:pPr>
      <w:r w:rsidRPr="000A4DDA">
        <w:rPr>
          <w:rFonts w:ascii="Arial" w:hAnsi="Arial" w:cs="Arial"/>
          <w:color w:val="000000"/>
        </w:rPr>
        <w:t>Just provide it here, thank you</w:t>
      </w:r>
      <w:r w:rsidR="008306BB">
        <w:rPr>
          <w:rFonts w:ascii="Arial" w:hAnsi="Arial" w:cs="Arial"/>
          <w:color w:val="000000"/>
        </w:rPr>
        <w:t>.</w:t>
      </w:r>
    </w:p>
    <w:p w14:paraId="11B255A2" w14:textId="77777777" w:rsidR="006E2B85" w:rsidRPr="000A4DDA" w:rsidRDefault="006E2B85" w:rsidP="000A4DDA">
      <w:pPr>
        <w:pStyle w:val="NormalWeb"/>
        <w:spacing w:line="360" w:lineRule="auto"/>
        <w:rPr>
          <w:rFonts w:ascii="Arial" w:hAnsi="Arial" w:cs="Arial"/>
        </w:rPr>
      </w:pPr>
      <w:r w:rsidRPr="000A4DDA">
        <w:rPr>
          <w:rFonts w:ascii="Arial" w:hAnsi="Arial" w:cs="Arial"/>
        </w:rPr>
        <w:t xml:space="preserve">I confirm that I have not presented any AI generated text as my own work. I confirm I have copies of my drafts, notes, and other resources I used before, and after the use of AI tools which I may be asked to provide in evidence. </w:t>
      </w:r>
    </w:p>
    <w:p w14:paraId="22E2F320" w14:textId="77777777" w:rsidR="006E2B85" w:rsidRDefault="006E2B85" w:rsidP="00A74EA6">
      <w:pPr>
        <w:tabs>
          <w:tab w:val="left" w:pos="2126"/>
        </w:tabs>
        <w:spacing w:line="360" w:lineRule="auto"/>
        <w:rPr>
          <w:rFonts w:ascii="Arial" w:hAnsi="Arial" w:cs="Arial"/>
          <w:b/>
          <w:bCs/>
          <w:color w:val="000000"/>
          <w:sz w:val="27"/>
          <w:szCs w:val="27"/>
        </w:rPr>
      </w:pPr>
    </w:p>
    <w:p w14:paraId="2780B3A9" w14:textId="77777777" w:rsidR="006E2B85" w:rsidRDefault="006E2B85" w:rsidP="00A74EA6">
      <w:pPr>
        <w:tabs>
          <w:tab w:val="left" w:pos="2126"/>
        </w:tabs>
        <w:spacing w:line="360" w:lineRule="auto"/>
        <w:rPr>
          <w:rFonts w:ascii="Arial" w:hAnsi="Arial" w:cs="Arial"/>
          <w:b/>
          <w:bCs/>
          <w:color w:val="000000"/>
          <w:sz w:val="27"/>
          <w:szCs w:val="27"/>
        </w:rPr>
      </w:pPr>
    </w:p>
    <w:p w14:paraId="37265B5C" w14:textId="77777777" w:rsidR="006E2B85" w:rsidRDefault="006E2B85" w:rsidP="00A74EA6">
      <w:pPr>
        <w:tabs>
          <w:tab w:val="left" w:pos="2126"/>
        </w:tabs>
        <w:spacing w:line="360" w:lineRule="auto"/>
        <w:rPr>
          <w:rFonts w:ascii="Arial" w:hAnsi="Arial" w:cs="Arial"/>
          <w:b/>
          <w:bCs/>
          <w:color w:val="000000"/>
          <w:sz w:val="27"/>
          <w:szCs w:val="27"/>
        </w:rPr>
      </w:pPr>
    </w:p>
    <w:p w14:paraId="689F0467" w14:textId="77777777" w:rsidR="006E2B85" w:rsidRDefault="006E2B85" w:rsidP="00A74EA6">
      <w:pPr>
        <w:tabs>
          <w:tab w:val="left" w:pos="2126"/>
        </w:tabs>
        <w:spacing w:line="360" w:lineRule="auto"/>
        <w:rPr>
          <w:rFonts w:ascii="Arial" w:hAnsi="Arial" w:cs="Arial"/>
          <w:b/>
          <w:bCs/>
          <w:color w:val="000000"/>
          <w:sz w:val="27"/>
          <w:szCs w:val="27"/>
        </w:rPr>
      </w:pPr>
    </w:p>
    <w:p w14:paraId="2F576F43" w14:textId="77777777" w:rsidR="006E2B85" w:rsidRDefault="006E2B85" w:rsidP="00A74EA6">
      <w:pPr>
        <w:tabs>
          <w:tab w:val="left" w:pos="2126"/>
        </w:tabs>
        <w:spacing w:line="360" w:lineRule="auto"/>
        <w:rPr>
          <w:rFonts w:ascii="Arial" w:hAnsi="Arial" w:cs="Arial"/>
          <w:b/>
          <w:bCs/>
          <w:color w:val="000000"/>
          <w:sz w:val="27"/>
          <w:szCs w:val="27"/>
        </w:rPr>
      </w:pPr>
    </w:p>
    <w:p w14:paraId="5D43C604" w14:textId="77777777" w:rsidR="006E2B85" w:rsidRDefault="006E2B85" w:rsidP="00A74EA6">
      <w:pPr>
        <w:tabs>
          <w:tab w:val="left" w:pos="2126"/>
        </w:tabs>
        <w:spacing w:line="360" w:lineRule="auto"/>
        <w:rPr>
          <w:rFonts w:ascii="Arial" w:hAnsi="Arial" w:cs="Arial"/>
          <w:b/>
          <w:bCs/>
          <w:color w:val="000000"/>
          <w:sz w:val="27"/>
          <w:szCs w:val="27"/>
        </w:rPr>
      </w:pPr>
    </w:p>
    <w:p w14:paraId="6F84BCF8" w14:textId="77777777" w:rsidR="006E2B85" w:rsidRDefault="006E2B85" w:rsidP="00A74EA6">
      <w:pPr>
        <w:tabs>
          <w:tab w:val="left" w:pos="2126"/>
        </w:tabs>
        <w:spacing w:line="360" w:lineRule="auto"/>
        <w:rPr>
          <w:rFonts w:ascii="Arial" w:hAnsi="Arial" w:cs="Arial"/>
          <w:b/>
          <w:bCs/>
          <w:color w:val="000000"/>
          <w:sz w:val="27"/>
          <w:szCs w:val="27"/>
        </w:rPr>
      </w:pPr>
    </w:p>
    <w:p w14:paraId="408873AB" w14:textId="77777777" w:rsidR="006E2B85" w:rsidRDefault="006E2B85" w:rsidP="00A74EA6">
      <w:pPr>
        <w:tabs>
          <w:tab w:val="left" w:pos="2126"/>
        </w:tabs>
        <w:spacing w:line="360" w:lineRule="auto"/>
        <w:rPr>
          <w:rFonts w:ascii="Arial" w:hAnsi="Arial" w:cs="Arial"/>
          <w:b/>
          <w:bCs/>
          <w:color w:val="000000"/>
          <w:sz w:val="27"/>
          <w:szCs w:val="27"/>
        </w:rPr>
      </w:pPr>
    </w:p>
    <w:p w14:paraId="64F3FA79" w14:textId="77777777" w:rsidR="006E2B85" w:rsidRDefault="006E2B85" w:rsidP="00A74EA6">
      <w:pPr>
        <w:tabs>
          <w:tab w:val="left" w:pos="2126"/>
        </w:tabs>
        <w:spacing w:line="360" w:lineRule="auto"/>
        <w:rPr>
          <w:rFonts w:ascii="Arial" w:hAnsi="Arial" w:cs="Arial"/>
          <w:b/>
          <w:bCs/>
          <w:color w:val="000000"/>
          <w:sz w:val="27"/>
          <w:szCs w:val="27"/>
        </w:rPr>
      </w:pPr>
    </w:p>
    <w:p w14:paraId="0CA8FBA6" w14:textId="77777777" w:rsidR="00473A90" w:rsidRDefault="00473A90" w:rsidP="00A74EA6">
      <w:pPr>
        <w:tabs>
          <w:tab w:val="left" w:pos="2126"/>
        </w:tabs>
        <w:spacing w:line="360" w:lineRule="auto"/>
        <w:rPr>
          <w:rFonts w:ascii="Arial" w:hAnsi="Arial" w:cs="Arial"/>
          <w:b/>
          <w:bCs/>
          <w:color w:val="000000"/>
          <w:sz w:val="27"/>
          <w:szCs w:val="27"/>
        </w:rPr>
      </w:pPr>
    </w:p>
    <w:p w14:paraId="36EEB42B" w14:textId="77777777" w:rsidR="00565269" w:rsidRDefault="00565269" w:rsidP="00A74EA6">
      <w:pPr>
        <w:tabs>
          <w:tab w:val="left" w:pos="2126"/>
        </w:tabs>
        <w:spacing w:line="360" w:lineRule="auto"/>
        <w:rPr>
          <w:rFonts w:ascii="Arial" w:hAnsi="Arial" w:cs="Arial"/>
          <w:b/>
          <w:bCs/>
          <w:color w:val="000000"/>
          <w:sz w:val="27"/>
          <w:szCs w:val="27"/>
          <w:u w:val="single"/>
        </w:rPr>
      </w:pPr>
    </w:p>
    <w:p w14:paraId="76E28FEA" w14:textId="77777777" w:rsidR="00565269" w:rsidRDefault="00565269" w:rsidP="00A74EA6">
      <w:pPr>
        <w:tabs>
          <w:tab w:val="left" w:pos="2126"/>
        </w:tabs>
        <w:spacing w:line="360" w:lineRule="auto"/>
        <w:rPr>
          <w:rFonts w:ascii="Arial" w:hAnsi="Arial" w:cs="Arial"/>
          <w:b/>
          <w:bCs/>
          <w:color w:val="000000"/>
          <w:sz w:val="27"/>
          <w:szCs w:val="27"/>
          <w:u w:val="single"/>
        </w:rPr>
      </w:pPr>
    </w:p>
    <w:p w14:paraId="6A699EA8" w14:textId="77777777" w:rsidR="00565269" w:rsidRDefault="00565269" w:rsidP="00A74EA6">
      <w:pPr>
        <w:tabs>
          <w:tab w:val="left" w:pos="2126"/>
        </w:tabs>
        <w:spacing w:line="360" w:lineRule="auto"/>
        <w:rPr>
          <w:rFonts w:ascii="Arial" w:hAnsi="Arial" w:cs="Arial"/>
          <w:b/>
          <w:bCs/>
          <w:color w:val="000000"/>
          <w:sz w:val="27"/>
          <w:szCs w:val="27"/>
          <w:u w:val="single"/>
        </w:rPr>
      </w:pPr>
    </w:p>
    <w:p w14:paraId="06DFA864" w14:textId="77777777" w:rsidR="00565269" w:rsidRDefault="00565269" w:rsidP="00A74EA6">
      <w:pPr>
        <w:tabs>
          <w:tab w:val="left" w:pos="2126"/>
        </w:tabs>
        <w:spacing w:line="360" w:lineRule="auto"/>
        <w:rPr>
          <w:rFonts w:ascii="Arial" w:hAnsi="Arial" w:cs="Arial"/>
          <w:b/>
          <w:bCs/>
          <w:color w:val="000000"/>
          <w:sz w:val="27"/>
          <w:szCs w:val="27"/>
          <w:u w:val="single"/>
        </w:rPr>
      </w:pPr>
    </w:p>
    <w:p w14:paraId="6F720D80" w14:textId="77777777" w:rsidR="00565269" w:rsidRDefault="00565269" w:rsidP="00A74EA6">
      <w:pPr>
        <w:tabs>
          <w:tab w:val="left" w:pos="2126"/>
        </w:tabs>
        <w:spacing w:line="360" w:lineRule="auto"/>
        <w:rPr>
          <w:rFonts w:ascii="Arial" w:hAnsi="Arial" w:cs="Arial"/>
          <w:b/>
          <w:bCs/>
          <w:color w:val="000000"/>
          <w:sz w:val="27"/>
          <w:szCs w:val="27"/>
          <w:u w:val="single"/>
        </w:rPr>
      </w:pPr>
    </w:p>
    <w:p w14:paraId="243371BE" w14:textId="77777777" w:rsidR="00565269" w:rsidRDefault="00565269" w:rsidP="00A74EA6">
      <w:pPr>
        <w:tabs>
          <w:tab w:val="left" w:pos="2126"/>
        </w:tabs>
        <w:spacing w:line="360" w:lineRule="auto"/>
        <w:rPr>
          <w:rFonts w:ascii="Arial" w:hAnsi="Arial" w:cs="Arial"/>
          <w:b/>
          <w:bCs/>
          <w:color w:val="000000"/>
          <w:sz w:val="27"/>
          <w:szCs w:val="27"/>
          <w:u w:val="single"/>
        </w:rPr>
      </w:pPr>
    </w:p>
    <w:p w14:paraId="4E6772E6" w14:textId="77777777" w:rsidR="00565269" w:rsidRDefault="00565269" w:rsidP="00A74EA6">
      <w:pPr>
        <w:tabs>
          <w:tab w:val="left" w:pos="2126"/>
        </w:tabs>
        <w:spacing w:line="360" w:lineRule="auto"/>
        <w:rPr>
          <w:rFonts w:ascii="Arial" w:hAnsi="Arial" w:cs="Arial"/>
          <w:b/>
          <w:bCs/>
          <w:color w:val="000000"/>
          <w:sz w:val="27"/>
          <w:szCs w:val="27"/>
          <w:u w:val="single"/>
        </w:rPr>
      </w:pPr>
    </w:p>
    <w:p w14:paraId="00B460D6" w14:textId="77777777" w:rsidR="00565269" w:rsidRDefault="00565269" w:rsidP="00A74EA6">
      <w:pPr>
        <w:tabs>
          <w:tab w:val="left" w:pos="2126"/>
        </w:tabs>
        <w:spacing w:line="360" w:lineRule="auto"/>
        <w:rPr>
          <w:rFonts w:ascii="Arial" w:hAnsi="Arial" w:cs="Arial"/>
          <w:b/>
          <w:bCs/>
          <w:color w:val="000000"/>
          <w:sz w:val="27"/>
          <w:szCs w:val="27"/>
          <w:u w:val="single"/>
        </w:rPr>
      </w:pPr>
    </w:p>
    <w:p w14:paraId="79DC5294" w14:textId="77777777" w:rsidR="00565269" w:rsidRDefault="00565269" w:rsidP="00A74EA6">
      <w:pPr>
        <w:tabs>
          <w:tab w:val="left" w:pos="2126"/>
        </w:tabs>
        <w:spacing w:line="360" w:lineRule="auto"/>
        <w:rPr>
          <w:rFonts w:ascii="Arial" w:hAnsi="Arial" w:cs="Arial"/>
          <w:b/>
          <w:bCs/>
          <w:color w:val="000000"/>
          <w:sz w:val="27"/>
          <w:szCs w:val="27"/>
          <w:u w:val="single"/>
        </w:rPr>
      </w:pPr>
    </w:p>
    <w:p w14:paraId="35FDF1D8" w14:textId="77777777" w:rsidR="00565269" w:rsidRDefault="00565269" w:rsidP="00A74EA6">
      <w:pPr>
        <w:tabs>
          <w:tab w:val="left" w:pos="2126"/>
        </w:tabs>
        <w:spacing w:line="360" w:lineRule="auto"/>
        <w:rPr>
          <w:rFonts w:ascii="Arial" w:hAnsi="Arial" w:cs="Arial"/>
          <w:b/>
          <w:bCs/>
          <w:color w:val="000000"/>
          <w:sz w:val="27"/>
          <w:szCs w:val="27"/>
          <w:u w:val="single"/>
        </w:rPr>
      </w:pPr>
    </w:p>
    <w:p w14:paraId="25432870" w14:textId="14590412" w:rsidR="006E2B85" w:rsidRDefault="006E2B85" w:rsidP="00A74EA6">
      <w:pPr>
        <w:tabs>
          <w:tab w:val="left" w:pos="2126"/>
        </w:tabs>
        <w:spacing w:line="360" w:lineRule="auto"/>
        <w:rPr>
          <w:rFonts w:ascii="Arial" w:hAnsi="Arial" w:cs="Arial"/>
          <w:b/>
          <w:bCs/>
          <w:color w:val="000000"/>
          <w:sz w:val="27"/>
          <w:szCs w:val="27"/>
          <w:u w:val="single"/>
        </w:rPr>
      </w:pPr>
      <w:r w:rsidRPr="006E2B85">
        <w:rPr>
          <w:rFonts w:ascii="Arial" w:hAnsi="Arial" w:cs="Arial"/>
          <w:b/>
          <w:bCs/>
          <w:color w:val="000000"/>
          <w:sz w:val="27"/>
          <w:szCs w:val="27"/>
          <w:u w:val="single"/>
        </w:rPr>
        <w:lastRenderedPageBreak/>
        <w:t>Reference list</w:t>
      </w:r>
    </w:p>
    <w:p w14:paraId="0A977C94" w14:textId="77777777" w:rsidR="000A4DDA" w:rsidRPr="009F2C7E" w:rsidRDefault="000A4DDA" w:rsidP="000A4DDA">
      <w:pPr>
        <w:spacing w:line="360" w:lineRule="auto"/>
        <w:rPr>
          <w:rFonts w:ascii="Arial" w:hAnsi="Arial" w:cs="Arial"/>
        </w:rPr>
      </w:pPr>
    </w:p>
    <w:p w14:paraId="7092FED9" w14:textId="77777777" w:rsidR="000A4DDA" w:rsidRPr="009F2C7E" w:rsidRDefault="000A4DDA" w:rsidP="000A4DDA">
      <w:pPr>
        <w:pStyle w:val="NormalWeb"/>
        <w:spacing w:line="360" w:lineRule="auto"/>
        <w:rPr>
          <w:rFonts w:ascii="Arial" w:hAnsi="Arial" w:cs="Arial"/>
          <w:color w:val="000000"/>
        </w:rPr>
      </w:pPr>
      <w:proofErr w:type="spellStart"/>
      <w:r w:rsidRPr="009F2C7E">
        <w:rPr>
          <w:rStyle w:val="Strong"/>
          <w:rFonts w:ascii="Arial" w:eastAsiaTheme="majorEastAsia" w:hAnsi="Arial" w:cs="Arial"/>
          <w:b w:val="0"/>
          <w:bCs w:val="0"/>
          <w:color w:val="000000"/>
        </w:rPr>
        <w:t>Annison</w:t>
      </w:r>
      <w:proofErr w:type="spellEnd"/>
      <w:r w:rsidRPr="009F2C7E">
        <w:rPr>
          <w:rStyle w:val="Strong"/>
          <w:rFonts w:ascii="Arial" w:eastAsiaTheme="majorEastAsia" w:hAnsi="Arial" w:cs="Arial"/>
          <w:b w:val="0"/>
          <w:bCs w:val="0"/>
          <w:color w:val="000000"/>
        </w:rPr>
        <w:t>, H. and Guiney, T. (2023)</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Locked In? Achieving penal change in the context of crisis and scandal.</w:t>
      </w:r>
      <w:r w:rsidRPr="009F2C7E">
        <w:rPr>
          <w:rStyle w:val="apple-converted-space"/>
          <w:rFonts w:ascii="Arial" w:eastAsiaTheme="majorEastAsia" w:hAnsi="Arial" w:cs="Arial"/>
          <w:color w:val="000000"/>
        </w:rPr>
        <w:t> </w:t>
      </w:r>
      <w:r w:rsidRPr="009F2C7E">
        <w:rPr>
          <w:rFonts w:ascii="Arial" w:hAnsi="Arial" w:cs="Arial"/>
          <w:color w:val="000000"/>
        </w:rPr>
        <w:t>London: Prison Reform Trust. Available at:</w:t>
      </w:r>
      <w:r w:rsidRPr="009F2C7E">
        <w:rPr>
          <w:rStyle w:val="apple-converted-space"/>
          <w:rFonts w:ascii="Arial" w:eastAsiaTheme="majorEastAsia" w:hAnsi="Arial" w:cs="Arial"/>
          <w:color w:val="000000"/>
        </w:rPr>
        <w:t> </w:t>
      </w:r>
      <w:hyperlink r:id="rId6" w:tgtFrame="_new" w:history="1">
        <w:r w:rsidRPr="009F2C7E">
          <w:rPr>
            <w:rStyle w:val="Hyperlink"/>
            <w:rFonts w:ascii="Arial" w:eastAsiaTheme="majorEastAsia" w:hAnsi="Arial" w:cs="Arial"/>
          </w:rPr>
          <w:t>https://prisonreformtrust.org.uk/wp-content/uploads/2023/07/Locked-In_A-discussion-paper.pdf</w:t>
        </w:r>
      </w:hyperlink>
      <w:r w:rsidRPr="009F2C7E">
        <w:rPr>
          <w:rStyle w:val="apple-converted-space"/>
          <w:rFonts w:ascii="Arial" w:eastAsiaTheme="majorEastAsia" w:hAnsi="Arial" w:cs="Arial"/>
          <w:color w:val="000000"/>
        </w:rPr>
        <w:t> </w:t>
      </w:r>
      <w:r w:rsidRPr="009F2C7E">
        <w:rPr>
          <w:rFonts w:ascii="Arial" w:hAnsi="Arial" w:cs="Arial"/>
          <w:color w:val="000000"/>
        </w:rPr>
        <w:t>(Accessed: 3 November 2025).</w:t>
      </w:r>
    </w:p>
    <w:p w14:paraId="5247B6CE" w14:textId="77777777" w:rsidR="000A4DDA" w:rsidRPr="009F2C7E" w:rsidRDefault="000A4DDA" w:rsidP="000A4DDA">
      <w:pPr>
        <w:pStyle w:val="NormalWeb"/>
        <w:spacing w:line="360" w:lineRule="auto"/>
        <w:rPr>
          <w:rFonts w:ascii="Arial" w:hAnsi="Arial" w:cs="Arial"/>
          <w:color w:val="000000"/>
        </w:rPr>
      </w:pPr>
    </w:p>
    <w:p w14:paraId="243CCCF0"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 xml:space="preserve">Aon, M., </w:t>
      </w:r>
      <w:proofErr w:type="spellStart"/>
      <w:r w:rsidRPr="009F2C7E">
        <w:rPr>
          <w:rStyle w:val="Strong"/>
          <w:rFonts w:ascii="Arial" w:eastAsiaTheme="majorEastAsia" w:hAnsi="Arial" w:cs="Arial"/>
          <w:b w:val="0"/>
          <w:bCs w:val="0"/>
          <w:color w:val="000000"/>
        </w:rPr>
        <w:t>Oberconz</w:t>
      </w:r>
      <w:proofErr w:type="spellEnd"/>
      <w:r w:rsidRPr="009F2C7E">
        <w:rPr>
          <w:rStyle w:val="Strong"/>
          <w:rFonts w:ascii="Arial" w:eastAsiaTheme="majorEastAsia" w:hAnsi="Arial" w:cs="Arial"/>
          <w:b w:val="0"/>
          <w:bCs w:val="0"/>
          <w:color w:val="000000"/>
        </w:rPr>
        <w:t xml:space="preserve">, S. and </w:t>
      </w:r>
      <w:proofErr w:type="spellStart"/>
      <w:r w:rsidRPr="009F2C7E">
        <w:rPr>
          <w:rStyle w:val="Strong"/>
          <w:rFonts w:ascii="Arial" w:eastAsiaTheme="majorEastAsia" w:hAnsi="Arial" w:cs="Arial"/>
          <w:b w:val="0"/>
          <w:bCs w:val="0"/>
          <w:color w:val="000000"/>
        </w:rPr>
        <w:t>Brasholt</w:t>
      </w:r>
      <w:proofErr w:type="spellEnd"/>
      <w:r w:rsidRPr="009F2C7E">
        <w:rPr>
          <w:rStyle w:val="Strong"/>
          <w:rFonts w:ascii="Arial" w:eastAsiaTheme="majorEastAsia" w:hAnsi="Arial" w:cs="Arial"/>
          <w:b w:val="0"/>
          <w:bCs w:val="0"/>
          <w:color w:val="000000"/>
        </w:rPr>
        <w:t>, M. (2025)</w:t>
      </w:r>
      <w:r w:rsidRPr="009F2C7E">
        <w:rPr>
          <w:rStyle w:val="apple-converted-space"/>
          <w:rFonts w:ascii="Arial" w:eastAsiaTheme="majorEastAsia" w:hAnsi="Arial" w:cs="Arial"/>
          <w:color w:val="000000"/>
        </w:rPr>
        <w:t> </w:t>
      </w:r>
      <w:r w:rsidRPr="009F2C7E">
        <w:rPr>
          <w:rFonts w:ascii="Arial" w:hAnsi="Arial" w:cs="Arial"/>
          <w:color w:val="000000"/>
        </w:rPr>
        <w:t>‘The association between health and prison overcrowding: a scoping review’,</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BMC Public Health,</w:t>
      </w:r>
      <w:r w:rsidRPr="009F2C7E">
        <w:rPr>
          <w:rStyle w:val="apple-converted-space"/>
          <w:rFonts w:ascii="Arial" w:eastAsiaTheme="majorEastAsia" w:hAnsi="Arial" w:cs="Arial"/>
          <w:color w:val="000000"/>
        </w:rPr>
        <w:t> </w:t>
      </w:r>
      <w:r w:rsidRPr="009F2C7E">
        <w:rPr>
          <w:rFonts w:ascii="Arial" w:hAnsi="Arial" w:cs="Arial"/>
          <w:color w:val="000000"/>
        </w:rPr>
        <w:t>25(1).</w:t>
      </w:r>
      <w:r w:rsidRPr="009F2C7E">
        <w:rPr>
          <w:rStyle w:val="apple-converted-space"/>
          <w:rFonts w:ascii="Arial" w:eastAsiaTheme="majorEastAsia" w:hAnsi="Arial" w:cs="Arial"/>
          <w:color w:val="000000"/>
        </w:rPr>
        <w:t> </w:t>
      </w:r>
      <w:hyperlink r:id="rId7" w:history="1">
        <w:r w:rsidRPr="009F2C7E">
          <w:rPr>
            <w:rStyle w:val="Hyperlink"/>
            <w:rFonts w:ascii="Arial" w:hAnsi="Arial" w:cs="Arial"/>
          </w:rPr>
          <w:t>https://doi.org/10.1186/s12889-025-23340-9</w:t>
        </w:r>
      </w:hyperlink>
      <w:r w:rsidRPr="009F2C7E">
        <w:rPr>
          <w:rFonts w:ascii="Arial" w:hAnsi="Arial" w:cs="Arial"/>
          <w:color w:val="000000"/>
        </w:rPr>
        <w:t>.</w:t>
      </w:r>
    </w:p>
    <w:p w14:paraId="4B8ECD55" w14:textId="77777777" w:rsidR="000A4DDA" w:rsidRPr="009F2C7E" w:rsidRDefault="000A4DDA" w:rsidP="000A4DDA">
      <w:pPr>
        <w:pStyle w:val="NormalWeb"/>
        <w:spacing w:line="360" w:lineRule="auto"/>
        <w:rPr>
          <w:rFonts w:ascii="Arial" w:hAnsi="Arial" w:cs="Arial"/>
          <w:color w:val="000000"/>
        </w:rPr>
      </w:pPr>
    </w:p>
    <w:p w14:paraId="40680DEC"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Bar Council (2024a)</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Manifesto for Justice 2024.</w:t>
      </w:r>
      <w:r w:rsidRPr="009F2C7E">
        <w:rPr>
          <w:rStyle w:val="apple-converted-space"/>
          <w:rFonts w:ascii="Arial" w:eastAsiaTheme="majorEastAsia" w:hAnsi="Arial" w:cs="Arial"/>
          <w:color w:val="000000"/>
        </w:rPr>
        <w:t> </w:t>
      </w:r>
      <w:r w:rsidRPr="009F2C7E">
        <w:rPr>
          <w:rFonts w:ascii="Arial" w:hAnsi="Arial" w:cs="Arial"/>
          <w:color w:val="000000"/>
        </w:rPr>
        <w:t>[online] Available at:</w:t>
      </w:r>
      <w:r w:rsidRPr="009F2C7E">
        <w:rPr>
          <w:rStyle w:val="apple-converted-space"/>
          <w:rFonts w:ascii="Arial" w:eastAsiaTheme="majorEastAsia" w:hAnsi="Arial" w:cs="Arial"/>
          <w:color w:val="000000"/>
        </w:rPr>
        <w:t> </w:t>
      </w:r>
      <w:hyperlink r:id="rId8" w:tgtFrame="_new" w:history="1">
        <w:r w:rsidRPr="009F2C7E">
          <w:rPr>
            <w:rStyle w:val="Hyperlink"/>
            <w:rFonts w:ascii="Arial" w:eastAsiaTheme="majorEastAsia" w:hAnsi="Arial" w:cs="Arial"/>
          </w:rPr>
          <w:t>https://www.barcouncil.org.uk/asset/43CEBFDB-5E10-414A-96D21F4CB65C2712/</w:t>
        </w:r>
      </w:hyperlink>
      <w:r w:rsidRPr="009F2C7E">
        <w:rPr>
          <w:rStyle w:val="apple-converted-space"/>
          <w:rFonts w:ascii="Arial" w:eastAsiaTheme="majorEastAsia" w:hAnsi="Arial" w:cs="Arial"/>
          <w:color w:val="000000"/>
        </w:rPr>
        <w:t> </w:t>
      </w:r>
      <w:r w:rsidRPr="009F2C7E">
        <w:rPr>
          <w:rFonts w:ascii="Arial" w:hAnsi="Arial" w:cs="Arial"/>
          <w:color w:val="000000"/>
        </w:rPr>
        <w:t>(Accessed: 1 November 2025).</w:t>
      </w:r>
    </w:p>
    <w:p w14:paraId="72EADA9E" w14:textId="77777777" w:rsidR="000A4DDA" w:rsidRPr="009F2C7E" w:rsidRDefault="000A4DDA" w:rsidP="000A4DDA">
      <w:pPr>
        <w:pStyle w:val="NormalWeb"/>
        <w:spacing w:line="360" w:lineRule="auto"/>
        <w:rPr>
          <w:rFonts w:ascii="Arial" w:hAnsi="Arial" w:cs="Arial"/>
          <w:color w:val="000000"/>
        </w:rPr>
      </w:pPr>
    </w:p>
    <w:p w14:paraId="36D1CEF8" w14:textId="1B75F0EE" w:rsidR="000A4DDA"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Bar Council (2024b)</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The right policies can reverse the harmful trends in our prison system.</w:t>
      </w:r>
      <w:r w:rsidRPr="009F2C7E">
        <w:rPr>
          <w:rStyle w:val="apple-converted-space"/>
          <w:rFonts w:ascii="Arial" w:eastAsiaTheme="majorEastAsia" w:hAnsi="Arial" w:cs="Arial"/>
          <w:color w:val="000000"/>
        </w:rPr>
        <w:t> </w:t>
      </w:r>
      <w:r w:rsidRPr="009F2C7E">
        <w:rPr>
          <w:rFonts w:ascii="Arial" w:hAnsi="Arial" w:cs="Arial"/>
          <w:color w:val="000000"/>
        </w:rPr>
        <w:t>[online] Available at:</w:t>
      </w:r>
      <w:r w:rsidRPr="009F2C7E">
        <w:rPr>
          <w:rStyle w:val="apple-converted-space"/>
          <w:rFonts w:ascii="Arial" w:eastAsiaTheme="majorEastAsia" w:hAnsi="Arial" w:cs="Arial"/>
          <w:color w:val="000000"/>
        </w:rPr>
        <w:t> </w:t>
      </w:r>
      <w:hyperlink r:id="rId9" w:tgtFrame="_new" w:history="1">
        <w:r w:rsidRPr="009F2C7E">
          <w:rPr>
            <w:rStyle w:val="Hyperlink"/>
            <w:rFonts w:ascii="Arial" w:eastAsiaTheme="majorEastAsia" w:hAnsi="Arial" w:cs="Arial"/>
          </w:rPr>
          <w:t>https://www.barcouncil.org.uk/resource/the-right-policies-can-reverse-the-harmful-trends-in-our-prison-system.html</w:t>
        </w:r>
      </w:hyperlink>
      <w:r w:rsidRPr="009F2C7E">
        <w:rPr>
          <w:rFonts w:ascii="Arial" w:hAnsi="Arial" w:cs="Arial"/>
          <w:color w:val="000000"/>
        </w:rPr>
        <w:t>(Accessed: 3 November 2025).</w:t>
      </w:r>
    </w:p>
    <w:p w14:paraId="11E345D1" w14:textId="77777777" w:rsidR="00473A90" w:rsidRDefault="00473A90" w:rsidP="000A4DDA">
      <w:pPr>
        <w:pStyle w:val="NormalWeb"/>
        <w:spacing w:line="360" w:lineRule="auto"/>
        <w:rPr>
          <w:rFonts w:ascii="Arial" w:hAnsi="Arial" w:cs="Arial"/>
          <w:color w:val="000000"/>
        </w:rPr>
      </w:pPr>
    </w:p>
    <w:p w14:paraId="0CE1A116" w14:textId="4CE177E0" w:rsidR="00473A90" w:rsidRPr="00473A90" w:rsidRDefault="00473A90" w:rsidP="000A4DDA">
      <w:pPr>
        <w:pStyle w:val="NormalWeb"/>
        <w:spacing w:line="360" w:lineRule="auto"/>
        <w:rPr>
          <w:rFonts w:ascii="Arial" w:hAnsi="Arial" w:cs="Arial"/>
          <w:color w:val="000000"/>
        </w:rPr>
      </w:pPr>
      <w:r w:rsidRPr="00473A90">
        <w:rPr>
          <w:rFonts w:ascii="Arial" w:hAnsi="Arial" w:cs="Arial"/>
          <w:color w:val="000000"/>
        </w:rPr>
        <w:t>Barrow Cadbury Trust (2021)</w:t>
      </w:r>
      <w:r w:rsidRPr="00473A90">
        <w:rPr>
          <w:rStyle w:val="apple-converted-space"/>
          <w:rFonts w:ascii="Arial" w:eastAsiaTheme="majorEastAsia" w:hAnsi="Arial" w:cs="Arial"/>
          <w:color w:val="000000"/>
        </w:rPr>
        <w:t> </w:t>
      </w:r>
      <w:r w:rsidRPr="00473A90">
        <w:rPr>
          <w:rStyle w:val="Emphasis"/>
          <w:rFonts w:ascii="Arial" w:eastAsiaTheme="majorEastAsia" w:hAnsi="Arial" w:cs="Arial"/>
          <w:color w:val="000000"/>
        </w:rPr>
        <w:t>LGBT+ people in prisons: Experiences in England and Scotland.</w:t>
      </w:r>
      <w:r w:rsidRPr="00473A90">
        <w:rPr>
          <w:rStyle w:val="apple-converted-space"/>
          <w:rFonts w:ascii="Arial" w:eastAsiaTheme="majorEastAsia" w:hAnsi="Arial" w:cs="Arial"/>
          <w:color w:val="000000"/>
        </w:rPr>
        <w:t> </w:t>
      </w:r>
      <w:r w:rsidRPr="00473A90">
        <w:rPr>
          <w:rFonts w:ascii="Arial" w:hAnsi="Arial" w:cs="Arial"/>
          <w:color w:val="000000"/>
        </w:rPr>
        <w:t>Available at:</w:t>
      </w:r>
      <w:r w:rsidRPr="00473A90">
        <w:rPr>
          <w:rStyle w:val="apple-converted-space"/>
          <w:rFonts w:ascii="Arial" w:eastAsiaTheme="majorEastAsia" w:hAnsi="Arial" w:cs="Arial"/>
          <w:color w:val="000000"/>
        </w:rPr>
        <w:t> </w:t>
      </w:r>
      <w:hyperlink r:id="rId10" w:tgtFrame="_new" w:history="1">
        <w:r w:rsidRPr="00473A90">
          <w:rPr>
            <w:rStyle w:val="Hyperlink"/>
            <w:rFonts w:ascii="Arial" w:eastAsiaTheme="majorEastAsia" w:hAnsi="Arial" w:cs="Arial"/>
          </w:rPr>
          <w:t>https://barrowcadbury.org.uk/wp-content/uploads/2023/11/LGBT-People-in-Prisons-Full-Report-16-FEB-21-WEB-1.pdf</w:t>
        </w:r>
      </w:hyperlink>
      <w:r w:rsidRPr="00473A90">
        <w:rPr>
          <w:rStyle w:val="apple-converted-space"/>
          <w:rFonts w:ascii="Arial" w:eastAsiaTheme="majorEastAsia" w:hAnsi="Arial" w:cs="Arial"/>
          <w:color w:val="000000"/>
        </w:rPr>
        <w:t> </w:t>
      </w:r>
      <w:r w:rsidRPr="00473A90">
        <w:rPr>
          <w:rFonts w:ascii="Arial" w:hAnsi="Arial" w:cs="Arial"/>
          <w:color w:val="000000"/>
        </w:rPr>
        <w:t>(Accessed: 6 November 2025).</w:t>
      </w:r>
    </w:p>
    <w:p w14:paraId="29FDC567" w14:textId="77777777" w:rsidR="000A4DDA" w:rsidRPr="009F2C7E" w:rsidRDefault="000A4DDA" w:rsidP="000A4DDA">
      <w:pPr>
        <w:pStyle w:val="NormalWeb"/>
        <w:spacing w:line="360" w:lineRule="auto"/>
        <w:rPr>
          <w:rFonts w:ascii="Arial" w:hAnsi="Arial" w:cs="Arial"/>
          <w:color w:val="000000"/>
        </w:rPr>
      </w:pPr>
    </w:p>
    <w:p w14:paraId="078ADAEF" w14:textId="77777777" w:rsidR="000A4DDA"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lastRenderedPageBreak/>
        <w:t>Behan, C. and Stark, A. (2023)</w:t>
      </w:r>
      <w:r w:rsidRPr="009F2C7E">
        <w:rPr>
          <w:rStyle w:val="apple-converted-space"/>
          <w:rFonts w:ascii="Arial" w:eastAsiaTheme="majorEastAsia" w:hAnsi="Arial" w:cs="Arial"/>
          <w:color w:val="000000"/>
        </w:rPr>
        <w:t> </w:t>
      </w:r>
      <w:r w:rsidRPr="009F2C7E">
        <w:rPr>
          <w:rFonts w:ascii="Arial" w:hAnsi="Arial" w:cs="Arial"/>
          <w:color w:val="000000"/>
        </w:rPr>
        <w:t>‘Governing prisons’, in</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Prisons and Imprisonment: An Introduction.</w:t>
      </w:r>
      <w:r w:rsidRPr="009F2C7E">
        <w:rPr>
          <w:rStyle w:val="apple-converted-space"/>
          <w:rFonts w:ascii="Arial" w:eastAsiaTheme="majorEastAsia" w:hAnsi="Arial" w:cs="Arial"/>
          <w:color w:val="000000"/>
        </w:rPr>
        <w:t> </w:t>
      </w:r>
      <w:r w:rsidRPr="009F2C7E">
        <w:rPr>
          <w:rFonts w:ascii="Arial" w:hAnsi="Arial" w:cs="Arial"/>
          <w:color w:val="000000"/>
        </w:rPr>
        <w:t>Cham: Palgrave Macmillan, pp. 177–193.</w:t>
      </w:r>
      <w:r w:rsidRPr="009F2C7E">
        <w:rPr>
          <w:rStyle w:val="apple-converted-space"/>
          <w:rFonts w:ascii="Arial" w:eastAsiaTheme="majorEastAsia" w:hAnsi="Arial" w:cs="Arial"/>
          <w:color w:val="000000"/>
        </w:rPr>
        <w:t> </w:t>
      </w:r>
      <w:hyperlink r:id="rId11" w:history="1">
        <w:r w:rsidRPr="009F2C7E">
          <w:rPr>
            <w:rStyle w:val="Hyperlink"/>
            <w:rFonts w:ascii="Arial" w:hAnsi="Arial" w:cs="Arial"/>
          </w:rPr>
          <w:t>https://doi.org/10.1007/978-3-031-09301-2_10</w:t>
        </w:r>
      </w:hyperlink>
      <w:r w:rsidRPr="009F2C7E">
        <w:rPr>
          <w:rFonts w:ascii="Arial" w:hAnsi="Arial" w:cs="Arial"/>
          <w:color w:val="000000"/>
        </w:rPr>
        <w:t>.</w:t>
      </w:r>
    </w:p>
    <w:p w14:paraId="398A0A37" w14:textId="77777777" w:rsidR="00473A90" w:rsidRDefault="00473A90" w:rsidP="000A4DDA">
      <w:pPr>
        <w:pStyle w:val="NormalWeb"/>
        <w:spacing w:line="360" w:lineRule="auto"/>
        <w:rPr>
          <w:rFonts w:ascii="Arial" w:hAnsi="Arial" w:cs="Arial"/>
          <w:color w:val="000000"/>
        </w:rPr>
      </w:pPr>
    </w:p>
    <w:p w14:paraId="7FA19E01" w14:textId="63714721" w:rsidR="00473A90" w:rsidRDefault="00473A90" w:rsidP="000A4DDA">
      <w:pPr>
        <w:pStyle w:val="NormalWeb"/>
        <w:spacing w:line="360" w:lineRule="auto"/>
        <w:rPr>
          <w:rFonts w:ascii="Arial" w:hAnsi="Arial" w:cs="Arial"/>
          <w:color w:val="000000"/>
        </w:rPr>
      </w:pPr>
      <w:r w:rsidRPr="00473A90">
        <w:rPr>
          <w:rFonts w:ascii="Arial" w:hAnsi="Arial" w:cs="Arial"/>
          <w:color w:val="000000"/>
        </w:rPr>
        <w:t>Bhatt Murphy Solicitors (2025)</w:t>
      </w:r>
      <w:r w:rsidRPr="00473A90">
        <w:rPr>
          <w:rStyle w:val="apple-converted-space"/>
          <w:rFonts w:ascii="Arial" w:eastAsiaTheme="majorEastAsia" w:hAnsi="Arial" w:cs="Arial"/>
          <w:color w:val="000000"/>
        </w:rPr>
        <w:t> </w:t>
      </w:r>
      <w:r w:rsidRPr="00473A90">
        <w:rPr>
          <w:rStyle w:val="Emphasis"/>
          <w:rFonts w:ascii="Arial" w:eastAsiaTheme="majorEastAsia" w:hAnsi="Arial" w:cs="Arial"/>
          <w:color w:val="000000"/>
        </w:rPr>
        <w:t>Pregnant women prisoners shackled during labour call for independent investigation.</w:t>
      </w:r>
      <w:r w:rsidRPr="00473A90">
        <w:rPr>
          <w:rFonts w:ascii="Arial" w:hAnsi="Arial" w:cs="Arial"/>
          <w:color w:val="000000"/>
        </w:rPr>
        <w:t xml:space="preserve"> Available at:</w:t>
      </w:r>
      <w:r w:rsidRPr="00473A90">
        <w:rPr>
          <w:rStyle w:val="apple-converted-space"/>
          <w:rFonts w:ascii="Arial" w:eastAsiaTheme="majorEastAsia" w:hAnsi="Arial" w:cs="Arial"/>
          <w:color w:val="000000"/>
        </w:rPr>
        <w:t> </w:t>
      </w:r>
      <w:hyperlink r:id="rId12" w:tgtFrame="_new" w:history="1">
        <w:r w:rsidRPr="00473A90">
          <w:rPr>
            <w:rStyle w:val="Hyperlink"/>
            <w:rFonts w:ascii="Arial" w:eastAsiaTheme="majorEastAsia" w:hAnsi="Arial" w:cs="Arial"/>
          </w:rPr>
          <w:t>https://bhattmurphy.co.uk/newsroom/pregnant-women-prisoners-shackled-during-labour-call-for-independent-investigation/</w:t>
        </w:r>
      </w:hyperlink>
      <w:r w:rsidRPr="00473A90">
        <w:rPr>
          <w:rStyle w:val="apple-converted-space"/>
          <w:rFonts w:ascii="Arial" w:eastAsiaTheme="majorEastAsia" w:hAnsi="Arial" w:cs="Arial"/>
          <w:color w:val="000000"/>
        </w:rPr>
        <w:t> </w:t>
      </w:r>
      <w:r w:rsidRPr="00473A90">
        <w:rPr>
          <w:rFonts w:ascii="Arial" w:hAnsi="Arial" w:cs="Arial"/>
          <w:color w:val="000000"/>
        </w:rPr>
        <w:t>(Accessed: 6 November 2025).</w:t>
      </w:r>
    </w:p>
    <w:p w14:paraId="46B45DB6" w14:textId="4007A068"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Bowen, P. (2022)</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Human rights and the judicial shaping of punishment.</w:t>
      </w:r>
      <w:r w:rsidRPr="009F2C7E">
        <w:rPr>
          <w:rStyle w:val="apple-converted-space"/>
          <w:rFonts w:ascii="Arial" w:eastAsiaTheme="majorEastAsia" w:hAnsi="Arial" w:cs="Arial"/>
          <w:color w:val="000000"/>
        </w:rPr>
        <w:t> </w:t>
      </w:r>
      <w:r w:rsidRPr="009F2C7E">
        <w:rPr>
          <w:rFonts w:ascii="Arial" w:hAnsi="Arial" w:cs="Arial"/>
          <w:color w:val="000000"/>
        </w:rPr>
        <w:t>London: Centre for Justice Innovation. Available at:</w:t>
      </w:r>
      <w:r w:rsidRPr="009F2C7E">
        <w:rPr>
          <w:rStyle w:val="apple-converted-space"/>
          <w:rFonts w:ascii="Arial" w:eastAsiaTheme="majorEastAsia" w:hAnsi="Arial" w:cs="Arial"/>
          <w:color w:val="000000"/>
        </w:rPr>
        <w:t> </w:t>
      </w:r>
      <w:hyperlink r:id="rId13" w:tgtFrame="_new" w:history="1">
        <w:r w:rsidRPr="009F2C7E">
          <w:rPr>
            <w:rStyle w:val="Hyperlink"/>
            <w:rFonts w:ascii="Arial" w:eastAsiaTheme="majorEastAsia" w:hAnsi="Arial" w:cs="Arial"/>
          </w:rPr>
          <w:t>https://justiceinnovation.org/publications/human-rights-and-the-judicial-shaping-of-punishment</w:t>
        </w:r>
      </w:hyperlink>
      <w:r w:rsidRPr="009F2C7E">
        <w:rPr>
          <w:rFonts w:ascii="Arial" w:hAnsi="Arial" w:cs="Arial"/>
          <w:color w:val="000000"/>
        </w:rPr>
        <w:t>(Accessed: 3 November 2025).</w:t>
      </w:r>
    </w:p>
    <w:p w14:paraId="107BE0B8" w14:textId="77777777" w:rsidR="000A4DDA" w:rsidRPr="009F2C7E" w:rsidRDefault="000A4DDA" w:rsidP="000A4DDA">
      <w:pPr>
        <w:pStyle w:val="NormalWeb"/>
        <w:spacing w:line="360" w:lineRule="auto"/>
        <w:rPr>
          <w:rFonts w:ascii="Arial" w:hAnsi="Arial" w:cs="Arial"/>
          <w:color w:val="000000"/>
        </w:rPr>
      </w:pPr>
    </w:p>
    <w:p w14:paraId="7B689EE6" w14:textId="77777777" w:rsidR="000A4DDA" w:rsidRPr="009F2C7E" w:rsidRDefault="000A4DDA" w:rsidP="000A4DDA">
      <w:pPr>
        <w:pStyle w:val="NormalWeb"/>
        <w:spacing w:line="360" w:lineRule="auto"/>
        <w:rPr>
          <w:rFonts w:ascii="Arial" w:hAnsi="Arial" w:cs="Arial"/>
          <w:color w:val="000000"/>
        </w:rPr>
      </w:pPr>
      <w:proofErr w:type="spellStart"/>
      <w:r w:rsidRPr="009F2C7E">
        <w:rPr>
          <w:rStyle w:val="Strong"/>
          <w:rFonts w:ascii="Arial" w:eastAsiaTheme="majorEastAsia" w:hAnsi="Arial" w:cs="Arial"/>
          <w:b w:val="0"/>
          <w:bCs w:val="0"/>
          <w:color w:val="000000"/>
        </w:rPr>
        <w:t>Carvacho</w:t>
      </w:r>
      <w:proofErr w:type="spellEnd"/>
      <w:r w:rsidRPr="009F2C7E">
        <w:rPr>
          <w:rStyle w:val="Strong"/>
          <w:rFonts w:ascii="Arial" w:eastAsiaTheme="majorEastAsia" w:hAnsi="Arial" w:cs="Arial"/>
          <w:b w:val="0"/>
          <w:bCs w:val="0"/>
          <w:color w:val="000000"/>
        </w:rPr>
        <w:t xml:space="preserve">, P., Marshall, P., </w:t>
      </w:r>
      <w:proofErr w:type="spellStart"/>
      <w:r w:rsidRPr="009F2C7E">
        <w:rPr>
          <w:rStyle w:val="Strong"/>
          <w:rFonts w:ascii="Arial" w:eastAsiaTheme="majorEastAsia" w:hAnsi="Arial" w:cs="Arial"/>
          <w:b w:val="0"/>
          <w:bCs w:val="0"/>
          <w:color w:val="000000"/>
        </w:rPr>
        <w:t>Montanari</w:t>
      </w:r>
      <w:proofErr w:type="spellEnd"/>
      <w:r w:rsidRPr="009F2C7E">
        <w:rPr>
          <w:rStyle w:val="Strong"/>
          <w:rFonts w:ascii="Arial" w:eastAsiaTheme="majorEastAsia" w:hAnsi="Arial" w:cs="Arial"/>
          <w:b w:val="0"/>
          <w:bCs w:val="0"/>
          <w:color w:val="000000"/>
        </w:rPr>
        <w:t>, D. and Rodríguez, J. (2025)</w:t>
      </w:r>
      <w:r w:rsidRPr="009F2C7E">
        <w:rPr>
          <w:rStyle w:val="apple-converted-space"/>
          <w:rFonts w:ascii="Arial" w:eastAsiaTheme="majorEastAsia" w:hAnsi="Arial" w:cs="Arial"/>
          <w:color w:val="000000"/>
        </w:rPr>
        <w:t> </w:t>
      </w:r>
      <w:r w:rsidRPr="009F2C7E">
        <w:rPr>
          <w:rFonts w:ascii="Arial" w:hAnsi="Arial" w:cs="Arial"/>
          <w:color w:val="000000"/>
        </w:rPr>
        <w:t>‘Equality, collaboration, flexibility: the emergence of (fragile) legitimacy in prison settings during the COVID-19 pandemic’,</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Crime, Law &amp; Social Change,</w:t>
      </w:r>
      <w:r w:rsidRPr="009F2C7E">
        <w:rPr>
          <w:rFonts w:ascii="Arial" w:hAnsi="Arial" w:cs="Arial"/>
          <w:color w:val="000000"/>
        </w:rPr>
        <w:t>83, article 37.</w:t>
      </w:r>
      <w:r w:rsidRPr="009F2C7E">
        <w:rPr>
          <w:rStyle w:val="apple-converted-space"/>
          <w:rFonts w:ascii="Arial" w:eastAsiaTheme="majorEastAsia" w:hAnsi="Arial" w:cs="Arial"/>
          <w:color w:val="000000"/>
        </w:rPr>
        <w:t> </w:t>
      </w:r>
      <w:hyperlink r:id="rId14" w:history="1">
        <w:r w:rsidRPr="009F2C7E">
          <w:rPr>
            <w:rStyle w:val="Hyperlink"/>
            <w:rFonts w:ascii="Arial" w:hAnsi="Arial" w:cs="Arial"/>
          </w:rPr>
          <w:t>https://doi.org/10.1007/s10611-025-10225-6</w:t>
        </w:r>
      </w:hyperlink>
      <w:r w:rsidRPr="009F2C7E">
        <w:rPr>
          <w:rFonts w:ascii="Arial" w:hAnsi="Arial" w:cs="Arial"/>
          <w:color w:val="000000"/>
        </w:rPr>
        <w:t>.</w:t>
      </w:r>
    </w:p>
    <w:p w14:paraId="77A4D643" w14:textId="77777777" w:rsidR="000A4DDA" w:rsidRPr="009F2C7E" w:rsidRDefault="000A4DDA" w:rsidP="000A4DDA">
      <w:pPr>
        <w:pStyle w:val="NormalWeb"/>
        <w:spacing w:line="360" w:lineRule="auto"/>
        <w:rPr>
          <w:rFonts w:ascii="Arial" w:hAnsi="Arial" w:cs="Arial"/>
          <w:color w:val="000000"/>
        </w:rPr>
      </w:pPr>
    </w:p>
    <w:p w14:paraId="09BCBA29"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Care Quality Commission (2025)</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Health and care in the criminal justice system.</w:t>
      </w:r>
      <w:r w:rsidRPr="009F2C7E">
        <w:rPr>
          <w:rStyle w:val="apple-converted-space"/>
          <w:rFonts w:ascii="Arial" w:eastAsiaTheme="majorEastAsia" w:hAnsi="Arial" w:cs="Arial"/>
          <w:color w:val="000000"/>
        </w:rPr>
        <w:t> </w:t>
      </w:r>
      <w:r w:rsidRPr="009F2C7E">
        <w:rPr>
          <w:rFonts w:ascii="Arial" w:hAnsi="Arial" w:cs="Arial"/>
          <w:color w:val="000000"/>
        </w:rPr>
        <w:t>[online] Available at:</w:t>
      </w:r>
      <w:r w:rsidRPr="009F2C7E">
        <w:rPr>
          <w:rStyle w:val="apple-converted-space"/>
          <w:rFonts w:ascii="Arial" w:eastAsiaTheme="majorEastAsia" w:hAnsi="Arial" w:cs="Arial"/>
          <w:color w:val="000000"/>
        </w:rPr>
        <w:t> </w:t>
      </w:r>
      <w:hyperlink r:id="rId15" w:tgtFrame="_new" w:history="1">
        <w:r w:rsidRPr="009F2C7E">
          <w:rPr>
            <w:rStyle w:val="Hyperlink"/>
            <w:rFonts w:ascii="Arial" w:eastAsiaTheme="majorEastAsia" w:hAnsi="Arial" w:cs="Arial"/>
          </w:rPr>
          <w:t>https://www.cqc.org.uk/guidance-regulation/criminal-justice-system/health-care-criminal-justice-system</w:t>
        </w:r>
      </w:hyperlink>
      <w:r w:rsidRPr="009F2C7E">
        <w:rPr>
          <w:rStyle w:val="apple-converted-space"/>
          <w:rFonts w:ascii="Arial" w:eastAsiaTheme="majorEastAsia" w:hAnsi="Arial" w:cs="Arial"/>
          <w:color w:val="000000"/>
        </w:rPr>
        <w:t> </w:t>
      </w:r>
      <w:r w:rsidRPr="009F2C7E">
        <w:rPr>
          <w:rFonts w:ascii="Arial" w:hAnsi="Arial" w:cs="Arial"/>
          <w:color w:val="000000"/>
        </w:rPr>
        <w:t>(Accessed: 3 November 2025).</w:t>
      </w:r>
    </w:p>
    <w:p w14:paraId="283E6713" w14:textId="77777777" w:rsidR="000A4DDA" w:rsidRPr="009F2C7E" w:rsidRDefault="000A4DDA" w:rsidP="000A4DDA">
      <w:pPr>
        <w:pStyle w:val="NormalWeb"/>
        <w:spacing w:line="360" w:lineRule="auto"/>
        <w:rPr>
          <w:rFonts w:ascii="Arial" w:hAnsi="Arial" w:cs="Arial"/>
          <w:color w:val="000000"/>
        </w:rPr>
      </w:pPr>
    </w:p>
    <w:p w14:paraId="7D0515DF"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Case, S. and Haines, K. (2021)</w:t>
      </w:r>
      <w:r w:rsidRPr="009F2C7E">
        <w:rPr>
          <w:rStyle w:val="apple-converted-space"/>
          <w:rFonts w:ascii="Arial" w:eastAsiaTheme="majorEastAsia" w:hAnsi="Arial" w:cs="Arial"/>
          <w:color w:val="000000"/>
        </w:rPr>
        <w:t> </w:t>
      </w:r>
      <w:r w:rsidRPr="009F2C7E">
        <w:rPr>
          <w:rFonts w:ascii="Arial" w:hAnsi="Arial" w:cs="Arial"/>
          <w:color w:val="000000"/>
        </w:rPr>
        <w:t>‘Abolishing youth justice systems: Children first, offenders nowhere’,</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Youth Justice,</w:t>
      </w:r>
      <w:r w:rsidRPr="009F2C7E">
        <w:rPr>
          <w:rFonts w:ascii="Arial" w:hAnsi="Arial" w:cs="Arial"/>
          <w:color w:val="000000"/>
        </w:rPr>
        <w:t>21(1), pp. 3–17.</w:t>
      </w:r>
      <w:r w:rsidRPr="009F2C7E">
        <w:rPr>
          <w:rStyle w:val="apple-converted-space"/>
          <w:rFonts w:ascii="Arial" w:eastAsiaTheme="majorEastAsia" w:hAnsi="Arial" w:cs="Arial"/>
          <w:color w:val="000000"/>
        </w:rPr>
        <w:t> </w:t>
      </w:r>
      <w:hyperlink r:id="rId16" w:history="1">
        <w:r w:rsidRPr="009F2C7E">
          <w:rPr>
            <w:rStyle w:val="Hyperlink"/>
            <w:rFonts w:ascii="Arial" w:hAnsi="Arial" w:cs="Arial"/>
          </w:rPr>
          <w:t>https://doi.org/10.1177/1473225419898754</w:t>
        </w:r>
      </w:hyperlink>
      <w:r w:rsidRPr="009F2C7E">
        <w:rPr>
          <w:rFonts w:ascii="Arial" w:hAnsi="Arial" w:cs="Arial"/>
          <w:color w:val="000000"/>
        </w:rPr>
        <w:t>.</w:t>
      </w:r>
    </w:p>
    <w:p w14:paraId="47250146" w14:textId="77777777" w:rsidR="000A4DDA" w:rsidRPr="009F2C7E" w:rsidRDefault="000A4DDA" w:rsidP="000A4DDA">
      <w:pPr>
        <w:pStyle w:val="NormalWeb"/>
        <w:spacing w:line="360" w:lineRule="auto"/>
        <w:rPr>
          <w:rFonts w:ascii="Arial" w:hAnsi="Arial" w:cs="Arial"/>
          <w:color w:val="000000"/>
        </w:rPr>
      </w:pPr>
    </w:p>
    <w:p w14:paraId="71AEBE9B"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lastRenderedPageBreak/>
        <w:t>Centre for Mental Health (2023)</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Prison mental health services in England, 2023.</w:t>
      </w:r>
      <w:r w:rsidRPr="009F2C7E">
        <w:rPr>
          <w:rStyle w:val="apple-converted-space"/>
          <w:rFonts w:ascii="Arial" w:eastAsiaTheme="majorEastAsia" w:hAnsi="Arial" w:cs="Arial"/>
          <w:color w:val="000000"/>
        </w:rPr>
        <w:t> </w:t>
      </w:r>
      <w:r w:rsidRPr="009F2C7E">
        <w:rPr>
          <w:rFonts w:ascii="Arial" w:hAnsi="Arial" w:cs="Arial"/>
          <w:color w:val="000000"/>
        </w:rPr>
        <w:t>London: Centre for Mental Health. Available at:</w:t>
      </w:r>
      <w:r w:rsidRPr="009F2C7E">
        <w:rPr>
          <w:rStyle w:val="apple-converted-space"/>
          <w:rFonts w:ascii="Arial" w:eastAsiaTheme="majorEastAsia" w:hAnsi="Arial" w:cs="Arial"/>
          <w:color w:val="000000"/>
        </w:rPr>
        <w:t> </w:t>
      </w:r>
      <w:hyperlink r:id="rId17" w:tgtFrame="_new" w:history="1">
        <w:r w:rsidRPr="009F2C7E">
          <w:rPr>
            <w:rStyle w:val="Hyperlink"/>
            <w:rFonts w:ascii="Arial" w:eastAsiaTheme="majorEastAsia" w:hAnsi="Arial" w:cs="Arial"/>
          </w:rPr>
          <w:t>https://www.centreformentalhealth.org.uk/publications/prison-mental-health-services-england-2023/</w:t>
        </w:r>
      </w:hyperlink>
      <w:r w:rsidRPr="009F2C7E">
        <w:rPr>
          <w:rFonts w:ascii="Arial" w:hAnsi="Arial" w:cs="Arial"/>
          <w:color w:val="000000"/>
        </w:rPr>
        <w:t>(Accessed: 3 November 2025).</w:t>
      </w:r>
    </w:p>
    <w:p w14:paraId="57D33AE4" w14:textId="77777777" w:rsidR="000A4DDA" w:rsidRPr="009F2C7E" w:rsidRDefault="000A4DDA" w:rsidP="000A4DDA">
      <w:pPr>
        <w:pStyle w:val="NormalWeb"/>
        <w:spacing w:line="360" w:lineRule="auto"/>
        <w:rPr>
          <w:rFonts w:ascii="Arial" w:hAnsi="Arial" w:cs="Arial"/>
          <w:color w:val="000000"/>
        </w:rPr>
      </w:pPr>
    </w:p>
    <w:p w14:paraId="5D871CF6"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Centre for Social Justice (2023)</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Unlocking potential: A review of prison education and employment.</w:t>
      </w:r>
      <w:r w:rsidRPr="009F2C7E">
        <w:rPr>
          <w:rStyle w:val="apple-converted-space"/>
          <w:rFonts w:ascii="Arial" w:eastAsiaTheme="majorEastAsia" w:hAnsi="Arial" w:cs="Arial"/>
          <w:color w:val="000000"/>
        </w:rPr>
        <w:t> </w:t>
      </w:r>
      <w:r w:rsidRPr="009F2C7E">
        <w:rPr>
          <w:rFonts w:ascii="Arial" w:hAnsi="Arial" w:cs="Arial"/>
          <w:color w:val="000000"/>
        </w:rPr>
        <w:t>[online] Available at:</w:t>
      </w:r>
      <w:r w:rsidRPr="009F2C7E">
        <w:rPr>
          <w:rStyle w:val="apple-converted-space"/>
          <w:rFonts w:ascii="Arial" w:eastAsiaTheme="majorEastAsia" w:hAnsi="Arial" w:cs="Arial"/>
          <w:color w:val="000000"/>
        </w:rPr>
        <w:t> </w:t>
      </w:r>
      <w:hyperlink r:id="rId18" w:tgtFrame="_new" w:history="1">
        <w:r w:rsidRPr="009F2C7E">
          <w:rPr>
            <w:rStyle w:val="Hyperlink"/>
            <w:rFonts w:ascii="Arial" w:eastAsiaTheme="majorEastAsia" w:hAnsi="Arial" w:cs="Arial"/>
          </w:rPr>
          <w:t>https://www.centreforsocialjustice.org.uk/library/unlocking-potential</w:t>
        </w:r>
      </w:hyperlink>
      <w:r w:rsidRPr="009F2C7E">
        <w:rPr>
          <w:rStyle w:val="apple-converted-space"/>
          <w:rFonts w:ascii="Arial" w:eastAsiaTheme="majorEastAsia" w:hAnsi="Arial" w:cs="Arial"/>
          <w:color w:val="000000"/>
        </w:rPr>
        <w:t> </w:t>
      </w:r>
      <w:r w:rsidRPr="009F2C7E">
        <w:rPr>
          <w:rFonts w:ascii="Arial" w:hAnsi="Arial" w:cs="Arial"/>
          <w:color w:val="000000"/>
        </w:rPr>
        <w:t>(Accessed: 3 November 2025).</w:t>
      </w:r>
    </w:p>
    <w:p w14:paraId="236EE4EE" w14:textId="77777777" w:rsidR="000A4DDA" w:rsidRPr="009F2C7E" w:rsidRDefault="000A4DDA" w:rsidP="000A4DDA">
      <w:pPr>
        <w:pStyle w:val="NormalWeb"/>
        <w:spacing w:line="360" w:lineRule="auto"/>
        <w:rPr>
          <w:rFonts w:ascii="Arial" w:hAnsi="Arial" w:cs="Arial"/>
          <w:color w:val="000000"/>
        </w:rPr>
      </w:pPr>
    </w:p>
    <w:p w14:paraId="7B8195F8" w14:textId="35032375"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Children’s Commissioner for England (2023)</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Business plan 2023–24.</w:t>
      </w:r>
      <w:r w:rsidRPr="009F2C7E">
        <w:rPr>
          <w:rStyle w:val="apple-converted-space"/>
          <w:rFonts w:ascii="Arial" w:eastAsiaTheme="majorEastAsia" w:hAnsi="Arial" w:cs="Arial"/>
          <w:color w:val="000000"/>
        </w:rPr>
        <w:t> </w:t>
      </w:r>
      <w:r w:rsidRPr="009F2C7E">
        <w:rPr>
          <w:rFonts w:ascii="Arial" w:hAnsi="Arial" w:cs="Arial"/>
          <w:color w:val="000000"/>
        </w:rPr>
        <w:t>[online] Available at:</w:t>
      </w:r>
      <w:r w:rsidRPr="009F2C7E">
        <w:rPr>
          <w:rStyle w:val="apple-converted-space"/>
          <w:rFonts w:ascii="Arial" w:eastAsiaTheme="majorEastAsia" w:hAnsi="Arial" w:cs="Arial"/>
          <w:color w:val="000000"/>
        </w:rPr>
        <w:t> </w:t>
      </w:r>
      <w:hyperlink r:id="rId19" w:tgtFrame="_new" w:history="1">
        <w:r w:rsidRPr="009F2C7E">
          <w:rPr>
            <w:rStyle w:val="Hyperlink"/>
            <w:rFonts w:ascii="Arial" w:eastAsiaTheme="majorEastAsia" w:hAnsi="Arial" w:cs="Arial"/>
          </w:rPr>
          <w:t>https://www.childrenscommissioner.gov.uk/corporate-governance/business-plan-2023-24/</w:t>
        </w:r>
      </w:hyperlink>
      <w:r w:rsidRPr="009F2C7E">
        <w:rPr>
          <w:rStyle w:val="apple-converted-space"/>
          <w:rFonts w:ascii="Arial" w:eastAsiaTheme="majorEastAsia" w:hAnsi="Arial" w:cs="Arial"/>
          <w:color w:val="000000"/>
        </w:rPr>
        <w:t> </w:t>
      </w:r>
      <w:r w:rsidRPr="009F2C7E">
        <w:rPr>
          <w:rFonts w:ascii="Arial" w:hAnsi="Arial" w:cs="Arial"/>
          <w:color w:val="000000"/>
        </w:rPr>
        <w:t>(Accessed: 4 November 2025).</w:t>
      </w:r>
    </w:p>
    <w:p w14:paraId="3563484D" w14:textId="77777777" w:rsidR="000A4DDA" w:rsidRPr="009F2C7E" w:rsidRDefault="000A4DDA" w:rsidP="000A4DDA">
      <w:pPr>
        <w:pStyle w:val="NormalWeb"/>
        <w:spacing w:line="360" w:lineRule="auto"/>
        <w:rPr>
          <w:rFonts w:ascii="Arial" w:hAnsi="Arial" w:cs="Arial"/>
          <w:color w:val="000000"/>
        </w:rPr>
      </w:pPr>
    </w:p>
    <w:p w14:paraId="3CD97988"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Council of Europe (2025)</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Effectiveness of the ECHR system at national and European level.</w:t>
      </w:r>
      <w:r w:rsidRPr="009F2C7E">
        <w:rPr>
          <w:rStyle w:val="apple-converted-space"/>
          <w:rFonts w:ascii="Arial" w:eastAsiaTheme="majorEastAsia" w:hAnsi="Arial" w:cs="Arial"/>
          <w:color w:val="000000"/>
        </w:rPr>
        <w:t> </w:t>
      </w:r>
      <w:r w:rsidRPr="009F2C7E">
        <w:rPr>
          <w:rFonts w:ascii="Arial" w:hAnsi="Arial" w:cs="Arial"/>
          <w:color w:val="000000"/>
        </w:rPr>
        <w:t>[online] Available at:</w:t>
      </w:r>
      <w:r w:rsidRPr="009F2C7E">
        <w:rPr>
          <w:rStyle w:val="apple-converted-space"/>
          <w:rFonts w:ascii="Arial" w:eastAsiaTheme="majorEastAsia" w:hAnsi="Arial" w:cs="Arial"/>
          <w:color w:val="000000"/>
        </w:rPr>
        <w:t> </w:t>
      </w:r>
      <w:hyperlink r:id="rId20" w:tgtFrame="_new" w:history="1">
        <w:r w:rsidRPr="009F2C7E">
          <w:rPr>
            <w:rStyle w:val="Hyperlink"/>
            <w:rFonts w:ascii="Arial" w:eastAsiaTheme="majorEastAsia" w:hAnsi="Arial" w:cs="Arial"/>
          </w:rPr>
          <w:t>https://www.coe.int/en/web/civil-society/effectiveness-of-the-echr-system-at-national-and-european-level1</w:t>
        </w:r>
      </w:hyperlink>
      <w:r w:rsidRPr="009F2C7E">
        <w:rPr>
          <w:rFonts w:ascii="Arial" w:hAnsi="Arial" w:cs="Arial"/>
          <w:color w:val="000000"/>
        </w:rPr>
        <w:t>(Accessed: 3 November 2025).</w:t>
      </w:r>
    </w:p>
    <w:p w14:paraId="7E181BC9" w14:textId="77777777" w:rsidR="000A4DDA" w:rsidRPr="009F2C7E" w:rsidRDefault="000A4DDA" w:rsidP="000A4DDA">
      <w:pPr>
        <w:pStyle w:val="NormalWeb"/>
        <w:spacing w:line="360" w:lineRule="auto"/>
        <w:rPr>
          <w:rFonts w:ascii="Arial" w:hAnsi="Arial" w:cs="Arial"/>
          <w:color w:val="000000"/>
        </w:rPr>
      </w:pPr>
    </w:p>
    <w:p w14:paraId="7DEEF5DC"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Council of Europe – Directorate General Human Rights and Rule of Law (2023)</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Council of Europe’s Anti-Torture Committee publishes report on its 2022 ad hoc visit to the United Kingdom.</w:t>
      </w:r>
      <w:r w:rsidRPr="009F2C7E">
        <w:rPr>
          <w:rStyle w:val="apple-converted-space"/>
          <w:rFonts w:ascii="Arial" w:eastAsiaTheme="majorEastAsia" w:hAnsi="Arial" w:cs="Arial"/>
          <w:color w:val="000000"/>
        </w:rPr>
        <w:t> </w:t>
      </w:r>
      <w:r w:rsidRPr="009F2C7E">
        <w:rPr>
          <w:rFonts w:ascii="Arial" w:hAnsi="Arial" w:cs="Arial"/>
          <w:color w:val="000000"/>
        </w:rPr>
        <w:t>Strasbourg: Council of Europe. Available at:</w:t>
      </w:r>
      <w:r w:rsidRPr="009F2C7E">
        <w:rPr>
          <w:rStyle w:val="apple-converted-space"/>
          <w:rFonts w:ascii="Arial" w:eastAsiaTheme="majorEastAsia" w:hAnsi="Arial" w:cs="Arial"/>
          <w:color w:val="000000"/>
        </w:rPr>
        <w:t> </w:t>
      </w:r>
      <w:hyperlink r:id="rId21" w:tgtFrame="_new" w:history="1">
        <w:r w:rsidRPr="009F2C7E">
          <w:rPr>
            <w:rStyle w:val="Hyperlink"/>
            <w:rFonts w:ascii="Arial" w:eastAsiaTheme="majorEastAsia" w:hAnsi="Arial" w:cs="Arial"/>
          </w:rPr>
          <w:t>https://www.coe.int/en/web/human-rights-rule-of-law/-/council-of-europe-anti-torture-committee-publishes-report-on-its-2022-ad-hoc-visit-to-the-united-kingdom</w:t>
        </w:r>
      </w:hyperlink>
      <w:r w:rsidRPr="009F2C7E">
        <w:rPr>
          <w:rStyle w:val="apple-converted-space"/>
          <w:rFonts w:ascii="Arial" w:eastAsiaTheme="majorEastAsia" w:hAnsi="Arial" w:cs="Arial"/>
          <w:color w:val="000000"/>
        </w:rPr>
        <w:t> </w:t>
      </w:r>
      <w:r w:rsidRPr="009F2C7E">
        <w:rPr>
          <w:rFonts w:ascii="Arial" w:hAnsi="Arial" w:cs="Arial"/>
          <w:color w:val="000000"/>
        </w:rPr>
        <w:t>(Accessed: 3 November 2025).</w:t>
      </w:r>
    </w:p>
    <w:p w14:paraId="535B0543" w14:textId="77777777" w:rsidR="000A4DDA" w:rsidRPr="009F2C7E" w:rsidRDefault="000A4DDA" w:rsidP="000A4DDA">
      <w:pPr>
        <w:pStyle w:val="NormalWeb"/>
        <w:spacing w:line="360" w:lineRule="auto"/>
        <w:rPr>
          <w:rFonts w:ascii="Arial" w:hAnsi="Arial" w:cs="Arial"/>
          <w:color w:val="000000"/>
        </w:rPr>
      </w:pPr>
    </w:p>
    <w:p w14:paraId="65E5BD6B"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lastRenderedPageBreak/>
        <w:t>Council of Europe, Committee for the Prevention of Torture (CPT) (2024)</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Anti-torture annual report: Rights of transgender prisoners in focus.</w:t>
      </w:r>
      <w:r w:rsidRPr="009F2C7E">
        <w:rPr>
          <w:rStyle w:val="apple-converted-space"/>
          <w:rFonts w:ascii="Arial" w:eastAsiaTheme="majorEastAsia" w:hAnsi="Arial" w:cs="Arial"/>
          <w:color w:val="000000"/>
        </w:rPr>
        <w:t> </w:t>
      </w:r>
      <w:r w:rsidRPr="009F2C7E">
        <w:rPr>
          <w:rFonts w:ascii="Arial" w:hAnsi="Arial" w:cs="Arial"/>
          <w:color w:val="000000"/>
        </w:rPr>
        <w:t>Strasbourg: Council of Europe. Available at:</w:t>
      </w:r>
      <w:r w:rsidRPr="009F2C7E">
        <w:rPr>
          <w:rStyle w:val="apple-converted-space"/>
          <w:rFonts w:ascii="Arial" w:eastAsiaTheme="majorEastAsia" w:hAnsi="Arial" w:cs="Arial"/>
          <w:color w:val="000000"/>
        </w:rPr>
        <w:t> </w:t>
      </w:r>
      <w:hyperlink r:id="rId22" w:tgtFrame="_new" w:history="1">
        <w:r w:rsidRPr="009F2C7E">
          <w:rPr>
            <w:rStyle w:val="Hyperlink"/>
            <w:rFonts w:ascii="Arial" w:eastAsiaTheme="majorEastAsia" w:hAnsi="Arial" w:cs="Arial"/>
          </w:rPr>
          <w:t>https://www.coe.int/en/web/portal/-/anti-torture-annual-report-rights-of-transgender-prisoners-in-focus</w:t>
        </w:r>
      </w:hyperlink>
      <w:r w:rsidRPr="009F2C7E">
        <w:rPr>
          <w:rStyle w:val="apple-converted-space"/>
          <w:rFonts w:ascii="Arial" w:eastAsiaTheme="majorEastAsia" w:hAnsi="Arial" w:cs="Arial"/>
          <w:color w:val="000000"/>
        </w:rPr>
        <w:t> </w:t>
      </w:r>
      <w:r w:rsidRPr="009F2C7E">
        <w:rPr>
          <w:rFonts w:ascii="Arial" w:hAnsi="Arial" w:cs="Arial"/>
          <w:color w:val="000000"/>
        </w:rPr>
        <w:t>(Accessed: 3 November 2025).</w:t>
      </w:r>
    </w:p>
    <w:p w14:paraId="39A0A928" w14:textId="77777777" w:rsidR="000A4DDA" w:rsidRPr="009F2C7E" w:rsidRDefault="000A4DDA" w:rsidP="000A4DDA">
      <w:pPr>
        <w:pStyle w:val="NormalWeb"/>
        <w:spacing w:line="360" w:lineRule="auto"/>
        <w:rPr>
          <w:rFonts w:ascii="Arial" w:hAnsi="Arial" w:cs="Arial"/>
          <w:color w:val="000000"/>
        </w:rPr>
      </w:pPr>
    </w:p>
    <w:p w14:paraId="638643F6"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Crewe, B. (2021)</w:t>
      </w:r>
      <w:r w:rsidRPr="009F2C7E">
        <w:rPr>
          <w:rStyle w:val="apple-converted-space"/>
          <w:rFonts w:ascii="Arial" w:eastAsiaTheme="majorEastAsia" w:hAnsi="Arial" w:cs="Arial"/>
          <w:color w:val="000000"/>
        </w:rPr>
        <w:t> </w:t>
      </w:r>
      <w:r w:rsidRPr="009F2C7E">
        <w:rPr>
          <w:rFonts w:ascii="Arial" w:hAnsi="Arial" w:cs="Arial"/>
          <w:color w:val="000000"/>
        </w:rPr>
        <w:t>‘Depth, weight, tightness: Revisiting the pains of imprisonment’,</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Punishment &amp; Society,</w:t>
      </w:r>
      <w:r w:rsidRPr="009F2C7E">
        <w:rPr>
          <w:rStyle w:val="apple-converted-space"/>
          <w:rFonts w:ascii="Arial" w:eastAsiaTheme="majorEastAsia" w:hAnsi="Arial" w:cs="Arial"/>
          <w:color w:val="000000"/>
        </w:rPr>
        <w:t> </w:t>
      </w:r>
      <w:r w:rsidRPr="009F2C7E">
        <w:rPr>
          <w:rFonts w:ascii="Arial" w:hAnsi="Arial" w:cs="Arial"/>
          <w:color w:val="000000"/>
        </w:rPr>
        <w:t>23(5), pp. 611–633.</w:t>
      </w:r>
      <w:r w:rsidRPr="009F2C7E">
        <w:rPr>
          <w:rStyle w:val="apple-converted-space"/>
          <w:rFonts w:ascii="Arial" w:eastAsiaTheme="majorEastAsia" w:hAnsi="Arial" w:cs="Arial"/>
          <w:color w:val="000000"/>
        </w:rPr>
        <w:t> </w:t>
      </w:r>
      <w:hyperlink r:id="rId23" w:history="1">
        <w:r w:rsidRPr="009F2C7E">
          <w:rPr>
            <w:rStyle w:val="Hyperlink"/>
            <w:rFonts w:ascii="Arial" w:hAnsi="Arial" w:cs="Arial"/>
          </w:rPr>
          <w:t>https://doi.org/10.1177/14624745211007003</w:t>
        </w:r>
      </w:hyperlink>
      <w:r w:rsidRPr="009F2C7E">
        <w:rPr>
          <w:rFonts w:ascii="Arial" w:hAnsi="Arial" w:cs="Arial"/>
          <w:color w:val="000000"/>
        </w:rPr>
        <w:t>.</w:t>
      </w:r>
    </w:p>
    <w:p w14:paraId="065EA6BD" w14:textId="77777777" w:rsidR="000A4DDA" w:rsidRDefault="000A4DDA" w:rsidP="000A4DDA">
      <w:pPr>
        <w:pStyle w:val="NormalWeb"/>
        <w:spacing w:line="360" w:lineRule="auto"/>
        <w:rPr>
          <w:rFonts w:ascii="Arial" w:hAnsi="Arial" w:cs="Arial"/>
          <w:color w:val="000000"/>
        </w:rPr>
      </w:pPr>
    </w:p>
    <w:p w14:paraId="229F45D8" w14:textId="5474228F"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Crewe, B. (2023)</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CV – Professor Ben Crewe.</w:t>
      </w:r>
      <w:r w:rsidRPr="009F2C7E">
        <w:rPr>
          <w:rStyle w:val="apple-converted-space"/>
          <w:rFonts w:ascii="Arial" w:eastAsiaTheme="majorEastAsia" w:hAnsi="Arial" w:cs="Arial"/>
          <w:color w:val="000000"/>
        </w:rPr>
        <w:t> </w:t>
      </w:r>
      <w:r w:rsidRPr="009F2C7E">
        <w:rPr>
          <w:rFonts w:ascii="Arial" w:hAnsi="Arial" w:cs="Arial"/>
          <w:color w:val="000000"/>
        </w:rPr>
        <w:t>Cambridge: University of Cambridge. Available at:</w:t>
      </w:r>
      <w:r w:rsidRPr="009F2C7E">
        <w:rPr>
          <w:rStyle w:val="apple-converted-space"/>
          <w:rFonts w:ascii="Arial" w:eastAsiaTheme="majorEastAsia" w:hAnsi="Arial" w:cs="Arial"/>
          <w:color w:val="000000"/>
        </w:rPr>
        <w:t> </w:t>
      </w:r>
      <w:hyperlink r:id="rId24" w:tgtFrame="_new" w:history="1">
        <w:r w:rsidRPr="009F2C7E">
          <w:rPr>
            <w:rStyle w:val="Hyperlink"/>
            <w:rFonts w:ascii="Arial" w:eastAsiaTheme="majorEastAsia" w:hAnsi="Arial" w:cs="Arial"/>
          </w:rPr>
          <w:t>https://www.crim.cam.ac.uk/files/crewe_cv_2023.pdf</w:t>
        </w:r>
      </w:hyperlink>
      <w:r w:rsidRPr="009F2C7E">
        <w:rPr>
          <w:rStyle w:val="apple-converted-space"/>
          <w:rFonts w:ascii="Arial" w:eastAsiaTheme="majorEastAsia" w:hAnsi="Arial" w:cs="Arial"/>
          <w:color w:val="000000"/>
        </w:rPr>
        <w:t> </w:t>
      </w:r>
      <w:r w:rsidRPr="009F2C7E">
        <w:rPr>
          <w:rFonts w:ascii="Arial" w:hAnsi="Arial" w:cs="Arial"/>
          <w:color w:val="000000"/>
        </w:rPr>
        <w:t>(Accessed: 3 November 2025).</w:t>
      </w:r>
    </w:p>
    <w:p w14:paraId="5347384C" w14:textId="77777777" w:rsidR="000A4DDA" w:rsidRPr="009F2C7E" w:rsidRDefault="000A4DDA" w:rsidP="000A4DDA">
      <w:pPr>
        <w:pStyle w:val="NormalWeb"/>
        <w:spacing w:line="360" w:lineRule="auto"/>
        <w:rPr>
          <w:rFonts w:ascii="Arial" w:hAnsi="Arial" w:cs="Arial"/>
          <w:color w:val="000000"/>
        </w:rPr>
      </w:pPr>
    </w:p>
    <w:p w14:paraId="6E47AABA"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Crewe, B. and Liebling, A. (2023)</w:t>
      </w:r>
      <w:r w:rsidRPr="009F2C7E">
        <w:rPr>
          <w:rStyle w:val="apple-converted-space"/>
          <w:rFonts w:ascii="Arial" w:eastAsiaTheme="majorEastAsia" w:hAnsi="Arial" w:cs="Arial"/>
          <w:color w:val="000000"/>
        </w:rPr>
        <w:t> </w:t>
      </w:r>
      <w:r w:rsidRPr="009F2C7E">
        <w:rPr>
          <w:rFonts w:ascii="Arial" w:hAnsi="Arial" w:cs="Arial"/>
          <w:color w:val="000000"/>
        </w:rPr>
        <w:t>‘The moral performance of prisons revisited’,</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Punishment &amp; Society,</w:t>
      </w:r>
      <w:r w:rsidRPr="009F2C7E">
        <w:rPr>
          <w:rStyle w:val="apple-converted-space"/>
          <w:rFonts w:ascii="Arial" w:eastAsiaTheme="majorEastAsia" w:hAnsi="Arial" w:cs="Arial"/>
          <w:color w:val="000000"/>
        </w:rPr>
        <w:t> </w:t>
      </w:r>
      <w:r w:rsidRPr="009F2C7E">
        <w:rPr>
          <w:rFonts w:ascii="Arial" w:hAnsi="Arial" w:cs="Arial"/>
          <w:color w:val="000000"/>
        </w:rPr>
        <w:t>25(4), pp. 525–548.</w:t>
      </w:r>
      <w:r w:rsidRPr="009F2C7E">
        <w:rPr>
          <w:rStyle w:val="apple-converted-space"/>
          <w:rFonts w:ascii="Arial" w:eastAsiaTheme="majorEastAsia" w:hAnsi="Arial" w:cs="Arial"/>
          <w:color w:val="000000"/>
        </w:rPr>
        <w:t> </w:t>
      </w:r>
      <w:hyperlink r:id="rId25" w:history="1">
        <w:r w:rsidRPr="009F2C7E">
          <w:rPr>
            <w:rStyle w:val="Hyperlink"/>
            <w:rFonts w:ascii="Arial" w:hAnsi="Arial" w:cs="Arial"/>
          </w:rPr>
          <w:t>https://doi.org/10.1177/14624745231169664</w:t>
        </w:r>
      </w:hyperlink>
      <w:r w:rsidRPr="009F2C7E">
        <w:rPr>
          <w:rFonts w:ascii="Arial" w:hAnsi="Arial" w:cs="Arial"/>
          <w:color w:val="000000"/>
        </w:rPr>
        <w:t>.</w:t>
      </w:r>
    </w:p>
    <w:p w14:paraId="4E6D89B8" w14:textId="77777777" w:rsidR="000A4DDA" w:rsidRPr="009F2C7E" w:rsidRDefault="000A4DDA" w:rsidP="000A4DDA">
      <w:pPr>
        <w:pStyle w:val="NormalWeb"/>
        <w:spacing w:line="360" w:lineRule="auto"/>
        <w:rPr>
          <w:rFonts w:ascii="Arial" w:hAnsi="Arial" w:cs="Arial"/>
          <w:color w:val="000000"/>
        </w:rPr>
      </w:pPr>
    </w:p>
    <w:p w14:paraId="5B49441D" w14:textId="77777777" w:rsidR="000A4DDA" w:rsidRPr="009F2C7E" w:rsidRDefault="000A4DDA" w:rsidP="000A4DDA">
      <w:pPr>
        <w:pStyle w:val="NormalWeb"/>
        <w:spacing w:line="360" w:lineRule="auto"/>
        <w:rPr>
          <w:rStyle w:val="Emphasis"/>
          <w:rFonts w:ascii="Arial" w:eastAsiaTheme="majorEastAsia" w:hAnsi="Arial" w:cs="Arial"/>
          <w:color w:val="000000"/>
        </w:rPr>
      </w:pPr>
      <w:proofErr w:type="spellStart"/>
      <w:r w:rsidRPr="009F2C7E">
        <w:rPr>
          <w:rStyle w:val="Strong"/>
          <w:rFonts w:ascii="Arial" w:eastAsiaTheme="majorEastAsia" w:hAnsi="Arial" w:cs="Arial"/>
          <w:b w:val="0"/>
          <w:bCs w:val="0"/>
          <w:color w:val="000000"/>
        </w:rPr>
        <w:t>Curzi</w:t>
      </w:r>
      <w:proofErr w:type="spellEnd"/>
      <w:r w:rsidRPr="009F2C7E">
        <w:rPr>
          <w:rStyle w:val="Strong"/>
          <w:rFonts w:ascii="Arial" w:eastAsiaTheme="majorEastAsia" w:hAnsi="Arial" w:cs="Arial"/>
          <w:b w:val="0"/>
          <w:bCs w:val="0"/>
          <w:color w:val="000000"/>
        </w:rPr>
        <w:t>, C.L. (2017)</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We Need to Talk About Prisoners’ Rights, Each Other.</w:t>
      </w:r>
    </w:p>
    <w:p w14:paraId="24C6F86F" w14:textId="77777777" w:rsidR="000A4DDA" w:rsidRPr="009F2C7E" w:rsidRDefault="000A4DDA" w:rsidP="000A4DDA">
      <w:pPr>
        <w:pStyle w:val="NormalWeb"/>
        <w:spacing w:line="360" w:lineRule="auto"/>
        <w:rPr>
          <w:rStyle w:val="Emphasis"/>
          <w:rFonts w:ascii="Arial" w:hAnsi="Arial" w:cs="Arial"/>
          <w:i w:val="0"/>
          <w:iCs w:val="0"/>
          <w:color w:val="000000"/>
        </w:rPr>
      </w:pPr>
      <w:r w:rsidRPr="009F2C7E">
        <w:rPr>
          <w:rStyle w:val="Emphasis"/>
          <w:rFonts w:ascii="Arial" w:eastAsiaTheme="majorEastAsia" w:hAnsi="Arial" w:cs="Arial"/>
          <w:color w:val="000000"/>
        </w:rPr>
        <w:t>Equality and Human Rights Commission (2022) Human rights and inspection frameworks: Applying the ECHR to prison oversight. [online] Available at:</w:t>
      </w:r>
      <w:r w:rsidRPr="009F2C7E">
        <w:rPr>
          <w:rStyle w:val="apple-converted-space"/>
          <w:rFonts w:ascii="Arial" w:eastAsiaTheme="majorEastAsia" w:hAnsi="Arial" w:cs="Arial"/>
          <w:i/>
          <w:iCs/>
          <w:color w:val="000000"/>
        </w:rPr>
        <w:t> </w:t>
      </w:r>
      <w:hyperlink r:id="rId26" w:tgtFrame="_new" w:history="1">
        <w:r w:rsidRPr="009F2C7E">
          <w:rPr>
            <w:rStyle w:val="Hyperlink"/>
            <w:rFonts w:ascii="Arial" w:eastAsiaTheme="majorEastAsia" w:hAnsi="Arial" w:cs="Arial"/>
            <w:i/>
            <w:iCs/>
          </w:rPr>
          <w:t>https://www.equalityhumanrights.com/</w:t>
        </w:r>
      </w:hyperlink>
      <w:r w:rsidRPr="009F2C7E">
        <w:rPr>
          <w:rStyle w:val="apple-converted-space"/>
          <w:rFonts w:ascii="Arial" w:eastAsiaTheme="majorEastAsia" w:hAnsi="Arial" w:cs="Arial"/>
          <w:color w:val="000000"/>
        </w:rPr>
        <w:t> </w:t>
      </w:r>
      <w:r w:rsidRPr="009F2C7E">
        <w:rPr>
          <w:rFonts w:ascii="Arial" w:hAnsi="Arial" w:cs="Arial"/>
          <w:color w:val="000000"/>
        </w:rPr>
        <w:t>(Accessed: (31 October 2025)</w:t>
      </w:r>
    </w:p>
    <w:p w14:paraId="00358362" w14:textId="77777777" w:rsidR="000A4DDA" w:rsidRPr="009F2C7E" w:rsidRDefault="000A4DDA" w:rsidP="000A4DDA">
      <w:pPr>
        <w:pStyle w:val="NormalWeb"/>
        <w:spacing w:line="360" w:lineRule="auto"/>
        <w:rPr>
          <w:rFonts w:ascii="Arial" w:hAnsi="Arial" w:cs="Arial"/>
          <w:color w:val="000000"/>
        </w:rPr>
      </w:pPr>
    </w:p>
    <w:p w14:paraId="1FFDFDE7"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Ejiofor, C. (2024)</w:t>
      </w:r>
      <w:r w:rsidRPr="009F2C7E">
        <w:rPr>
          <w:rStyle w:val="apple-converted-space"/>
          <w:rFonts w:ascii="Arial" w:eastAsiaTheme="majorEastAsia" w:hAnsi="Arial" w:cs="Arial"/>
          <w:color w:val="000000"/>
        </w:rPr>
        <w:t> </w:t>
      </w:r>
      <w:r w:rsidRPr="009F2C7E">
        <w:rPr>
          <w:rFonts w:ascii="Arial" w:hAnsi="Arial" w:cs="Arial"/>
          <w:color w:val="000000"/>
        </w:rPr>
        <w:t>‘Banning the use of solitary confinement: A policy to tackle the recidivism rate of juveniles in the UK’,</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SSRN Electronic Journal.</w:t>
      </w:r>
      <w:r w:rsidRPr="009F2C7E">
        <w:rPr>
          <w:rStyle w:val="apple-converted-space"/>
          <w:rFonts w:ascii="Arial" w:eastAsiaTheme="majorEastAsia" w:hAnsi="Arial" w:cs="Arial"/>
          <w:color w:val="000000"/>
        </w:rPr>
        <w:t> </w:t>
      </w:r>
      <w:r w:rsidRPr="009F2C7E">
        <w:rPr>
          <w:rFonts w:ascii="Arial" w:hAnsi="Arial" w:cs="Arial"/>
          <w:color w:val="000000"/>
        </w:rPr>
        <w:t>Available at:</w:t>
      </w:r>
      <w:r w:rsidRPr="009F2C7E">
        <w:rPr>
          <w:rStyle w:val="apple-converted-space"/>
          <w:rFonts w:ascii="Arial" w:eastAsiaTheme="majorEastAsia" w:hAnsi="Arial" w:cs="Arial"/>
          <w:color w:val="000000"/>
        </w:rPr>
        <w:t> </w:t>
      </w:r>
      <w:hyperlink r:id="rId27" w:tgtFrame="_new" w:history="1">
        <w:r w:rsidRPr="009F2C7E">
          <w:rPr>
            <w:rStyle w:val="Hyperlink"/>
            <w:rFonts w:ascii="Arial" w:eastAsiaTheme="majorEastAsia" w:hAnsi="Arial" w:cs="Arial"/>
          </w:rPr>
          <w:t>https://papers.ssrn.com/sol3/papers.cfm?abstract_id=5359663</w:t>
        </w:r>
      </w:hyperlink>
      <w:r w:rsidRPr="009F2C7E">
        <w:rPr>
          <w:rFonts w:ascii="Arial" w:hAnsi="Arial" w:cs="Arial"/>
          <w:color w:val="000000"/>
        </w:rPr>
        <w:t>(Accessed: 3 November 2025).</w:t>
      </w:r>
    </w:p>
    <w:p w14:paraId="6E023C57" w14:textId="77777777" w:rsidR="000A4DDA" w:rsidRPr="009F2C7E" w:rsidRDefault="000A4DDA" w:rsidP="000A4DDA">
      <w:pPr>
        <w:pStyle w:val="NormalWeb"/>
        <w:spacing w:line="360" w:lineRule="auto"/>
        <w:rPr>
          <w:rFonts w:ascii="Arial" w:hAnsi="Arial" w:cs="Arial"/>
          <w:color w:val="000000"/>
        </w:rPr>
      </w:pPr>
    </w:p>
    <w:p w14:paraId="66D1D163" w14:textId="77777777" w:rsidR="000A4DDA" w:rsidRPr="009F2C7E" w:rsidRDefault="000A4DDA" w:rsidP="000A4DDA">
      <w:pPr>
        <w:pStyle w:val="NormalWeb"/>
        <w:spacing w:line="360" w:lineRule="auto"/>
        <w:rPr>
          <w:rFonts w:ascii="Arial" w:hAnsi="Arial" w:cs="Arial"/>
          <w:color w:val="000000"/>
        </w:rPr>
      </w:pPr>
      <w:proofErr w:type="spellStart"/>
      <w:r w:rsidRPr="009F2C7E">
        <w:rPr>
          <w:rStyle w:val="Strong"/>
          <w:rFonts w:ascii="Arial" w:eastAsiaTheme="majorEastAsia" w:hAnsi="Arial" w:cs="Arial"/>
          <w:b w:val="0"/>
          <w:bCs w:val="0"/>
          <w:color w:val="000000"/>
        </w:rPr>
        <w:t>Finnemore</w:t>
      </w:r>
      <w:proofErr w:type="spellEnd"/>
      <w:r w:rsidRPr="009F2C7E">
        <w:rPr>
          <w:rStyle w:val="Strong"/>
          <w:rFonts w:ascii="Arial" w:eastAsiaTheme="majorEastAsia" w:hAnsi="Arial" w:cs="Arial"/>
          <w:b w:val="0"/>
          <w:bCs w:val="0"/>
          <w:color w:val="000000"/>
        </w:rPr>
        <w:t xml:space="preserve">, M. and </w:t>
      </w:r>
      <w:proofErr w:type="spellStart"/>
      <w:r w:rsidRPr="009F2C7E">
        <w:rPr>
          <w:rStyle w:val="Strong"/>
          <w:rFonts w:ascii="Arial" w:eastAsiaTheme="majorEastAsia" w:hAnsi="Arial" w:cs="Arial"/>
          <w:b w:val="0"/>
          <w:bCs w:val="0"/>
          <w:color w:val="000000"/>
        </w:rPr>
        <w:t>Sikkink</w:t>
      </w:r>
      <w:proofErr w:type="spellEnd"/>
      <w:r w:rsidRPr="009F2C7E">
        <w:rPr>
          <w:rStyle w:val="Strong"/>
          <w:rFonts w:ascii="Arial" w:eastAsiaTheme="majorEastAsia" w:hAnsi="Arial" w:cs="Arial"/>
          <w:b w:val="0"/>
          <w:bCs w:val="0"/>
          <w:color w:val="000000"/>
        </w:rPr>
        <w:t>, K. (1998)</w:t>
      </w:r>
      <w:r w:rsidRPr="009F2C7E">
        <w:rPr>
          <w:rStyle w:val="apple-converted-space"/>
          <w:rFonts w:ascii="Arial" w:eastAsiaTheme="majorEastAsia" w:hAnsi="Arial" w:cs="Arial"/>
          <w:color w:val="000000"/>
        </w:rPr>
        <w:t> </w:t>
      </w:r>
      <w:r w:rsidRPr="009F2C7E">
        <w:rPr>
          <w:rFonts w:ascii="Arial" w:hAnsi="Arial" w:cs="Arial"/>
          <w:color w:val="000000"/>
        </w:rPr>
        <w:t>‘International norm dynamics and political change’,</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International Organization,</w:t>
      </w:r>
      <w:r w:rsidRPr="009F2C7E">
        <w:rPr>
          <w:rStyle w:val="apple-converted-space"/>
          <w:rFonts w:ascii="Arial" w:eastAsiaTheme="majorEastAsia" w:hAnsi="Arial" w:cs="Arial"/>
          <w:color w:val="000000"/>
        </w:rPr>
        <w:t> </w:t>
      </w:r>
      <w:r w:rsidRPr="009F2C7E">
        <w:rPr>
          <w:rFonts w:ascii="Arial" w:hAnsi="Arial" w:cs="Arial"/>
          <w:color w:val="000000"/>
        </w:rPr>
        <w:t>52(4), pp. 887–917.</w:t>
      </w:r>
    </w:p>
    <w:p w14:paraId="1A5A9F81" w14:textId="77777777" w:rsidR="000A4DDA" w:rsidRPr="009F2C7E" w:rsidRDefault="000A4DDA" w:rsidP="000A4DDA">
      <w:pPr>
        <w:pStyle w:val="NormalWeb"/>
        <w:spacing w:line="360" w:lineRule="auto"/>
        <w:rPr>
          <w:rFonts w:ascii="Arial" w:hAnsi="Arial" w:cs="Arial"/>
          <w:color w:val="000000"/>
        </w:rPr>
      </w:pPr>
    </w:p>
    <w:p w14:paraId="21A5D7DB"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Equality and Human Rights Commission (2022)</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Human Rights and Inspection Frameworks: Applying the ECHR to Prison Oversight.</w:t>
      </w:r>
      <w:r w:rsidRPr="009F2C7E">
        <w:rPr>
          <w:rStyle w:val="apple-converted-space"/>
          <w:rFonts w:ascii="Arial" w:eastAsiaTheme="majorEastAsia" w:hAnsi="Arial" w:cs="Arial"/>
          <w:color w:val="000000"/>
        </w:rPr>
        <w:t> </w:t>
      </w:r>
      <w:r w:rsidRPr="009F2C7E">
        <w:rPr>
          <w:rFonts w:ascii="Arial" w:hAnsi="Arial" w:cs="Arial"/>
          <w:color w:val="000000"/>
        </w:rPr>
        <w:t>[online] Available at:</w:t>
      </w:r>
      <w:r w:rsidRPr="009F2C7E">
        <w:rPr>
          <w:rStyle w:val="apple-converted-space"/>
          <w:rFonts w:ascii="Arial" w:eastAsiaTheme="majorEastAsia" w:hAnsi="Arial" w:cs="Arial"/>
          <w:color w:val="000000"/>
        </w:rPr>
        <w:t> </w:t>
      </w:r>
      <w:hyperlink r:id="rId28" w:tgtFrame="_new" w:history="1">
        <w:r w:rsidRPr="009F2C7E">
          <w:rPr>
            <w:rStyle w:val="Hyperlink"/>
            <w:rFonts w:ascii="Arial" w:eastAsiaTheme="majorEastAsia" w:hAnsi="Arial" w:cs="Arial"/>
          </w:rPr>
          <w:t>https://www.equalityhumanrights.com/</w:t>
        </w:r>
      </w:hyperlink>
      <w:r w:rsidRPr="009F2C7E">
        <w:rPr>
          <w:rStyle w:val="apple-converted-space"/>
          <w:rFonts w:ascii="Arial" w:eastAsiaTheme="majorEastAsia" w:hAnsi="Arial" w:cs="Arial"/>
          <w:color w:val="000000"/>
        </w:rPr>
        <w:t> </w:t>
      </w:r>
      <w:r w:rsidRPr="009F2C7E">
        <w:rPr>
          <w:rFonts w:ascii="Arial" w:hAnsi="Arial" w:cs="Arial"/>
          <w:color w:val="000000"/>
        </w:rPr>
        <w:t>(Accessed: 4 November 2025).</w:t>
      </w:r>
    </w:p>
    <w:p w14:paraId="7256A4AD" w14:textId="77777777" w:rsidR="000A4DDA" w:rsidRPr="009F2C7E" w:rsidRDefault="000A4DDA" w:rsidP="000A4DDA">
      <w:pPr>
        <w:pStyle w:val="NormalWeb"/>
        <w:spacing w:line="360" w:lineRule="auto"/>
        <w:rPr>
          <w:rFonts w:ascii="Arial" w:hAnsi="Arial" w:cs="Arial"/>
          <w:color w:val="000000"/>
        </w:rPr>
      </w:pPr>
    </w:p>
    <w:p w14:paraId="00F882ED"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Flynn, E. (2018)</w:t>
      </w:r>
      <w:r w:rsidRPr="009F2C7E">
        <w:rPr>
          <w:rStyle w:val="apple-converted-space"/>
          <w:rFonts w:ascii="Arial" w:eastAsiaTheme="majorEastAsia" w:hAnsi="Arial" w:cs="Arial"/>
          <w:color w:val="000000"/>
        </w:rPr>
        <w:t> </w:t>
      </w:r>
      <w:r w:rsidRPr="009F2C7E">
        <w:rPr>
          <w:rFonts w:ascii="Arial" w:hAnsi="Arial" w:cs="Arial"/>
          <w:color w:val="000000"/>
        </w:rPr>
        <w:t>‘Disability, deprivation of liberty and human rights norms: Reconciling European and international approaches’,</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 xml:space="preserve">International Journal of Mental </w:t>
      </w:r>
      <w:proofErr w:type="gramStart"/>
      <w:r w:rsidRPr="009F2C7E">
        <w:rPr>
          <w:rStyle w:val="Emphasis"/>
          <w:rFonts w:ascii="Arial" w:eastAsiaTheme="majorEastAsia" w:hAnsi="Arial" w:cs="Arial"/>
          <w:color w:val="000000"/>
        </w:rPr>
        <w:t>Health</w:t>
      </w:r>
      <w:proofErr w:type="gramEnd"/>
      <w:r w:rsidRPr="009F2C7E">
        <w:rPr>
          <w:rStyle w:val="Emphasis"/>
          <w:rFonts w:ascii="Arial" w:eastAsiaTheme="majorEastAsia" w:hAnsi="Arial" w:cs="Arial"/>
          <w:color w:val="000000"/>
        </w:rPr>
        <w:t xml:space="preserve"> and Capacity Law,</w:t>
      </w:r>
      <w:r w:rsidRPr="009F2C7E">
        <w:rPr>
          <w:rStyle w:val="apple-converted-space"/>
          <w:rFonts w:ascii="Arial" w:eastAsiaTheme="majorEastAsia" w:hAnsi="Arial" w:cs="Arial"/>
          <w:color w:val="000000"/>
        </w:rPr>
        <w:t> </w:t>
      </w:r>
      <w:r w:rsidRPr="009F2C7E">
        <w:rPr>
          <w:rFonts w:ascii="Arial" w:hAnsi="Arial" w:cs="Arial"/>
          <w:color w:val="000000"/>
        </w:rPr>
        <w:t>(22), pp. 75–101.</w:t>
      </w:r>
      <w:r w:rsidRPr="009F2C7E">
        <w:rPr>
          <w:rStyle w:val="apple-converted-space"/>
          <w:rFonts w:ascii="Arial" w:eastAsiaTheme="majorEastAsia" w:hAnsi="Arial" w:cs="Arial"/>
          <w:color w:val="000000"/>
        </w:rPr>
        <w:t> </w:t>
      </w:r>
      <w:hyperlink r:id="rId29" w:history="1">
        <w:r w:rsidRPr="009F2C7E">
          <w:rPr>
            <w:rStyle w:val="Hyperlink"/>
            <w:rFonts w:ascii="Arial" w:hAnsi="Arial" w:cs="Arial"/>
          </w:rPr>
          <w:t>https://doi.org/10.19164/ijmhcl.v22i2.503</w:t>
        </w:r>
      </w:hyperlink>
      <w:r w:rsidRPr="009F2C7E">
        <w:rPr>
          <w:rFonts w:ascii="Arial" w:hAnsi="Arial" w:cs="Arial"/>
          <w:color w:val="000000"/>
        </w:rPr>
        <w:t>.</w:t>
      </w:r>
    </w:p>
    <w:p w14:paraId="58C37E29" w14:textId="77777777" w:rsidR="000A4DDA" w:rsidRPr="009F2C7E" w:rsidRDefault="000A4DDA" w:rsidP="000A4DDA">
      <w:pPr>
        <w:pStyle w:val="NormalWeb"/>
        <w:spacing w:line="360" w:lineRule="auto"/>
        <w:rPr>
          <w:rFonts w:ascii="Arial" w:hAnsi="Arial" w:cs="Arial"/>
          <w:color w:val="000000"/>
        </w:rPr>
      </w:pPr>
    </w:p>
    <w:p w14:paraId="5ECBD059"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Foucault, M. (1977)</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Discipline and Punish: The Birth of the Prison.</w:t>
      </w:r>
      <w:r w:rsidRPr="009F2C7E">
        <w:rPr>
          <w:rStyle w:val="apple-converted-space"/>
          <w:rFonts w:ascii="Arial" w:eastAsiaTheme="majorEastAsia" w:hAnsi="Arial" w:cs="Arial"/>
          <w:color w:val="000000"/>
        </w:rPr>
        <w:t> </w:t>
      </w:r>
      <w:r w:rsidRPr="009F2C7E">
        <w:rPr>
          <w:rFonts w:ascii="Arial" w:hAnsi="Arial" w:cs="Arial"/>
          <w:color w:val="000000"/>
        </w:rPr>
        <w:t>London: Penguin Books.</w:t>
      </w:r>
    </w:p>
    <w:p w14:paraId="4C04C963" w14:textId="77777777" w:rsidR="000A4DDA" w:rsidRPr="009F2C7E" w:rsidRDefault="000A4DDA" w:rsidP="000A4DDA">
      <w:pPr>
        <w:spacing w:line="360" w:lineRule="auto"/>
        <w:rPr>
          <w:rFonts w:ascii="Arial" w:hAnsi="Arial" w:cs="Arial"/>
        </w:rPr>
      </w:pPr>
    </w:p>
    <w:p w14:paraId="6EAEB9BF"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Garland, D. (2001)</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The Culture of Control: Crime and Social Order in Contemporary Society.</w:t>
      </w:r>
      <w:r w:rsidRPr="009F2C7E">
        <w:rPr>
          <w:rStyle w:val="apple-converted-space"/>
          <w:rFonts w:ascii="Arial" w:eastAsiaTheme="majorEastAsia" w:hAnsi="Arial" w:cs="Arial"/>
          <w:color w:val="000000"/>
        </w:rPr>
        <w:t> </w:t>
      </w:r>
      <w:r w:rsidRPr="009F2C7E">
        <w:rPr>
          <w:rFonts w:ascii="Arial" w:hAnsi="Arial" w:cs="Arial"/>
          <w:color w:val="000000"/>
        </w:rPr>
        <w:t>Oxford: Oxford University Press.</w:t>
      </w:r>
    </w:p>
    <w:p w14:paraId="4018CBF9" w14:textId="77777777" w:rsidR="000A4DDA" w:rsidRPr="009F2C7E" w:rsidRDefault="000A4DDA" w:rsidP="000A4DDA">
      <w:pPr>
        <w:pStyle w:val="NormalWeb"/>
        <w:spacing w:line="360" w:lineRule="auto"/>
        <w:rPr>
          <w:rFonts w:ascii="Arial" w:hAnsi="Arial" w:cs="Arial"/>
          <w:color w:val="000000"/>
        </w:rPr>
      </w:pPr>
    </w:p>
    <w:p w14:paraId="1255E567"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Garland, D. (2018)</w:t>
      </w:r>
      <w:r w:rsidRPr="009F2C7E">
        <w:rPr>
          <w:rStyle w:val="apple-converted-space"/>
          <w:rFonts w:ascii="Arial" w:eastAsiaTheme="majorEastAsia" w:hAnsi="Arial" w:cs="Arial"/>
          <w:color w:val="000000"/>
        </w:rPr>
        <w:t> </w:t>
      </w:r>
      <w:r w:rsidRPr="009F2C7E">
        <w:rPr>
          <w:rFonts w:ascii="Arial" w:hAnsi="Arial" w:cs="Arial"/>
          <w:color w:val="000000"/>
        </w:rPr>
        <w:t>‘Penal power in America: Forms, functions and foundations’,</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Punishment &amp; Society,</w:t>
      </w:r>
      <w:r w:rsidRPr="009F2C7E">
        <w:rPr>
          <w:rStyle w:val="apple-converted-space"/>
          <w:rFonts w:ascii="Arial" w:eastAsiaTheme="majorEastAsia" w:hAnsi="Arial" w:cs="Arial"/>
          <w:color w:val="000000"/>
        </w:rPr>
        <w:t> </w:t>
      </w:r>
      <w:r w:rsidRPr="009F2C7E">
        <w:rPr>
          <w:rFonts w:ascii="Arial" w:hAnsi="Arial" w:cs="Arial"/>
          <w:color w:val="000000"/>
        </w:rPr>
        <w:t>20(4), pp. 431–454.</w:t>
      </w:r>
      <w:r w:rsidRPr="009F2C7E">
        <w:rPr>
          <w:rStyle w:val="apple-converted-space"/>
          <w:rFonts w:ascii="Arial" w:eastAsiaTheme="majorEastAsia" w:hAnsi="Arial" w:cs="Arial"/>
          <w:color w:val="000000"/>
        </w:rPr>
        <w:t> </w:t>
      </w:r>
      <w:hyperlink r:id="rId30" w:history="1">
        <w:r w:rsidRPr="009F2C7E">
          <w:rPr>
            <w:rStyle w:val="Hyperlink"/>
            <w:rFonts w:ascii="Arial" w:hAnsi="Arial" w:cs="Arial"/>
          </w:rPr>
          <w:t>https://doi.org/10.1177/1462474518794188</w:t>
        </w:r>
      </w:hyperlink>
      <w:r w:rsidRPr="009F2C7E">
        <w:rPr>
          <w:rFonts w:ascii="Arial" w:hAnsi="Arial" w:cs="Arial"/>
          <w:color w:val="000000"/>
        </w:rPr>
        <w:t>.</w:t>
      </w:r>
    </w:p>
    <w:p w14:paraId="044E6103" w14:textId="77777777" w:rsidR="000A4DDA" w:rsidRPr="009F2C7E" w:rsidRDefault="000A4DDA" w:rsidP="000A4DDA">
      <w:pPr>
        <w:pStyle w:val="NormalWeb"/>
        <w:spacing w:line="360" w:lineRule="auto"/>
        <w:rPr>
          <w:rFonts w:ascii="Arial" w:hAnsi="Arial" w:cs="Arial"/>
          <w:color w:val="000000"/>
        </w:rPr>
      </w:pPr>
    </w:p>
    <w:p w14:paraId="4DEC533B"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lastRenderedPageBreak/>
        <w:t>Garland, D. (2020)</w:t>
      </w:r>
      <w:r w:rsidRPr="009F2C7E">
        <w:rPr>
          <w:rStyle w:val="apple-converted-space"/>
          <w:rFonts w:ascii="Arial" w:eastAsiaTheme="majorEastAsia" w:hAnsi="Arial" w:cs="Arial"/>
          <w:color w:val="000000"/>
        </w:rPr>
        <w:t> </w:t>
      </w:r>
      <w:r w:rsidRPr="009F2C7E">
        <w:rPr>
          <w:rFonts w:ascii="Arial" w:hAnsi="Arial" w:cs="Arial"/>
          <w:color w:val="000000"/>
        </w:rPr>
        <w:t>‘Penal controls and social controls: Toward a theory of American penal exceptionalism’,</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Punishment &amp; Society: The International Journal of Penology,</w:t>
      </w:r>
      <w:r w:rsidRPr="009F2C7E">
        <w:rPr>
          <w:rStyle w:val="apple-converted-space"/>
          <w:rFonts w:ascii="Arial" w:eastAsiaTheme="majorEastAsia" w:hAnsi="Arial" w:cs="Arial"/>
          <w:color w:val="000000"/>
        </w:rPr>
        <w:t> </w:t>
      </w:r>
      <w:r w:rsidRPr="009F2C7E">
        <w:rPr>
          <w:rFonts w:ascii="Arial" w:hAnsi="Arial" w:cs="Arial"/>
          <w:color w:val="000000"/>
        </w:rPr>
        <w:t>22(3), pp. 321–352.</w:t>
      </w:r>
      <w:r w:rsidRPr="009F2C7E">
        <w:rPr>
          <w:rStyle w:val="apple-converted-space"/>
          <w:rFonts w:ascii="Arial" w:eastAsiaTheme="majorEastAsia" w:hAnsi="Arial" w:cs="Arial"/>
          <w:color w:val="000000"/>
        </w:rPr>
        <w:t> </w:t>
      </w:r>
      <w:hyperlink r:id="rId31" w:history="1">
        <w:r w:rsidRPr="009F2C7E">
          <w:rPr>
            <w:rStyle w:val="Hyperlink"/>
            <w:rFonts w:ascii="Arial" w:hAnsi="Arial" w:cs="Arial"/>
          </w:rPr>
          <w:t>https://doi.org/10.1177/1462474519881992</w:t>
        </w:r>
      </w:hyperlink>
      <w:r w:rsidRPr="009F2C7E">
        <w:rPr>
          <w:rFonts w:ascii="Arial" w:hAnsi="Arial" w:cs="Arial"/>
          <w:color w:val="000000"/>
        </w:rPr>
        <w:t>.</w:t>
      </w:r>
    </w:p>
    <w:p w14:paraId="7E41DF8A" w14:textId="77777777" w:rsidR="000A4DDA" w:rsidRPr="009F2C7E" w:rsidRDefault="000A4DDA" w:rsidP="000A4DDA">
      <w:pPr>
        <w:pStyle w:val="NormalWeb"/>
        <w:spacing w:line="360" w:lineRule="auto"/>
        <w:rPr>
          <w:rFonts w:ascii="Arial" w:hAnsi="Arial" w:cs="Arial"/>
          <w:color w:val="000000"/>
        </w:rPr>
      </w:pPr>
    </w:p>
    <w:p w14:paraId="40299A8F"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Garland, D. and Sparks, R. (2018)</w:t>
      </w:r>
      <w:r w:rsidRPr="009F2C7E">
        <w:rPr>
          <w:rStyle w:val="apple-converted-space"/>
          <w:rFonts w:ascii="Arial" w:eastAsiaTheme="majorEastAsia" w:hAnsi="Arial" w:cs="Arial"/>
          <w:color w:val="000000"/>
        </w:rPr>
        <w:t> </w:t>
      </w:r>
      <w:r w:rsidRPr="009F2C7E">
        <w:rPr>
          <w:rFonts w:ascii="Arial" w:hAnsi="Arial" w:cs="Arial"/>
          <w:color w:val="000000"/>
        </w:rPr>
        <w:t>‘Criminology, social theory and the challenge of our times’,</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British Journal of Criminology,</w:t>
      </w:r>
      <w:r w:rsidRPr="009F2C7E">
        <w:rPr>
          <w:rStyle w:val="apple-converted-space"/>
          <w:rFonts w:ascii="Arial" w:eastAsiaTheme="majorEastAsia" w:hAnsi="Arial" w:cs="Arial"/>
          <w:color w:val="000000"/>
        </w:rPr>
        <w:t> </w:t>
      </w:r>
      <w:r w:rsidRPr="009F2C7E">
        <w:rPr>
          <w:rFonts w:ascii="Arial" w:hAnsi="Arial" w:cs="Arial"/>
          <w:color w:val="000000"/>
        </w:rPr>
        <w:t>40(2), pp. 189–204.</w:t>
      </w:r>
      <w:r w:rsidRPr="009F2C7E">
        <w:rPr>
          <w:rStyle w:val="apple-converted-space"/>
          <w:rFonts w:ascii="Arial" w:eastAsiaTheme="majorEastAsia" w:hAnsi="Arial" w:cs="Arial"/>
          <w:color w:val="000000"/>
        </w:rPr>
        <w:t> </w:t>
      </w:r>
      <w:hyperlink r:id="rId32" w:history="1">
        <w:r w:rsidRPr="009F2C7E">
          <w:rPr>
            <w:rStyle w:val="Hyperlink"/>
            <w:rFonts w:ascii="Arial" w:hAnsi="Arial" w:cs="Arial"/>
          </w:rPr>
          <w:t>https://doi.org/10.1093/bjc/40.2.189</w:t>
        </w:r>
      </w:hyperlink>
      <w:r w:rsidRPr="009F2C7E">
        <w:rPr>
          <w:rFonts w:ascii="Arial" w:hAnsi="Arial" w:cs="Arial"/>
          <w:color w:val="000000"/>
        </w:rPr>
        <w:t>.</w:t>
      </w:r>
    </w:p>
    <w:p w14:paraId="49710342" w14:textId="77777777" w:rsidR="000A4DDA" w:rsidRDefault="000A4DDA" w:rsidP="000A4DDA">
      <w:pPr>
        <w:pStyle w:val="NormalWeb"/>
        <w:spacing w:line="360" w:lineRule="auto"/>
        <w:rPr>
          <w:rFonts w:ascii="Arial" w:hAnsi="Arial" w:cs="Arial"/>
          <w:color w:val="000000"/>
        </w:rPr>
      </w:pPr>
    </w:p>
    <w:p w14:paraId="080C6883" w14:textId="782F4B84"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Goldson, B. (2021)</w:t>
      </w:r>
      <w:r w:rsidRPr="009F2C7E">
        <w:rPr>
          <w:rStyle w:val="apple-converted-space"/>
          <w:rFonts w:ascii="Arial" w:eastAsiaTheme="majorEastAsia" w:hAnsi="Arial" w:cs="Arial"/>
          <w:color w:val="000000"/>
        </w:rPr>
        <w:t> </w:t>
      </w:r>
      <w:r w:rsidRPr="009F2C7E">
        <w:rPr>
          <w:rFonts w:ascii="Arial" w:hAnsi="Arial" w:cs="Arial"/>
          <w:color w:val="000000"/>
        </w:rPr>
        <w:t>‘The violence of incarceration revisited: Statecraft, child criminalisation and the rights of children in conflict with the law’,</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Youth Justice,</w:t>
      </w:r>
      <w:r w:rsidRPr="009F2C7E">
        <w:rPr>
          <w:rStyle w:val="apple-converted-space"/>
          <w:rFonts w:ascii="Arial" w:eastAsiaTheme="majorEastAsia" w:hAnsi="Arial" w:cs="Arial"/>
          <w:color w:val="000000"/>
        </w:rPr>
        <w:t> </w:t>
      </w:r>
      <w:r w:rsidRPr="009F2C7E">
        <w:rPr>
          <w:rFonts w:ascii="Arial" w:hAnsi="Arial" w:cs="Arial"/>
          <w:color w:val="000000"/>
        </w:rPr>
        <w:t>21(2), pp. 89–108.</w:t>
      </w:r>
      <w:r w:rsidRPr="009F2C7E">
        <w:rPr>
          <w:rStyle w:val="apple-converted-space"/>
          <w:rFonts w:ascii="Arial" w:eastAsiaTheme="majorEastAsia" w:hAnsi="Arial" w:cs="Arial"/>
          <w:color w:val="000000"/>
        </w:rPr>
        <w:t> </w:t>
      </w:r>
      <w:hyperlink r:id="rId33" w:history="1">
        <w:r w:rsidRPr="009F2C7E">
          <w:rPr>
            <w:rStyle w:val="Hyperlink"/>
            <w:rFonts w:ascii="Arial" w:hAnsi="Arial" w:cs="Arial"/>
          </w:rPr>
          <w:t>https://doi.org/10.1177/14732254211023347</w:t>
        </w:r>
      </w:hyperlink>
      <w:r w:rsidRPr="009F2C7E">
        <w:rPr>
          <w:rFonts w:ascii="Arial" w:hAnsi="Arial" w:cs="Arial"/>
          <w:color w:val="000000"/>
        </w:rPr>
        <w:t>.</w:t>
      </w:r>
    </w:p>
    <w:p w14:paraId="5F120E87" w14:textId="77777777" w:rsidR="000A4DDA" w:rsidRPr="009F2C7E" w:rsidRDefault="000A4DDA" w:rsidP="000A4DDA">
      <w:pPr>
        <w:pStyle w:val="NormalWeb"/>
        <w:spacing w:line="360" w:lineRule="auto"/>
        <w:rPr>
          <w:rFonts w:ascii="Arial" w:hAnsi="Arial" w:cs="Arial"/>
          <w:color w:val="000000"/>
        </w:rPr>
      </w:pPr>
    </w:p>
    <w:p w14:paraId="52C43FF0" w14:textId="77777777" w:rsidR="000A4DDA" w:rsidRPr="009F2C7E" w:rsidRDefault="000A4DDA" w:rsidP="000A4DDA">
      <w:pPr>
        <w:pStyle w:val="NormalWeb"/>
        <w:spacing w:line="360" w:lineRule="auto"/>
        <w:rPr>
          <w:rFonts w:ascii="Arial" w:hAnsi="Arial" w:cs="Arial"/>
          <w:color w:val="000000"/>
        </w:rPr>
      </w:pPr>
      <w:proofErr w:type="spellStart"/>
      <w:r w:rsidRPr="009F2C7E">
        <w:rPr>
          <w:rStyle w:val="Strong"/>
          <w:rFonts w:ascii="Arial" w:eastAsiaTheme="majorEastAsia" w:hAnsi="Arial" w:cs="Arial"/>
          <w:b w:val="0"/>
          <w:bCs w:val="0"/>
          <w:color w:val="000000"/>
        </w:rPr>
        <w:t>Gostin</w:t>
      </w:r>
      <w:proofErr w:type="spellEnd"/>
      <w:r w:rsidRPr="009F2C7E">
        <w:rPr>
          <w:rStyle w:val="Strong"/>
          <w:rFonts w:ascii="Arial" w:eastAsiaTheme="majorEastAsia" w:hAnsi="Arial" w:cs="Arial"/>
          <w:b w:val="0"/>
          <w:bCs w:val="0"/>
          <w:color w:val="000000"/>
        </w:rPr>
        <w:t xml:space="preserve">, L.O., Friedman, E.A., Hossain, S., Mukherjee, J., Zia-Zarifi, S., Clinton, C., </w:t>
      </w:r>
      <w:proofErr w:type="spellStart"/>
      <w:r w:rsidRPr="009F2C7E">
        <w:rPr>
          <w:rStyle w:val="Strong"/>
          <w:rFonts w:ascii="Arial" w:eastAsiaTheme="majorEastAsia" w:hAnsi="Arial" w:cs="Arial"/>
          <w:b w:val="0"/>
          <w:bCs w:val="0"/>
          <w:color w:val="000000"/>
        </w:rPr>
        <w:t>Rugege</w:t>
      </w:r>
      <w:proofErr w:type="spellEnd"/>
      <w:r w:rsidRPr="009F2C7E">
        <w:rPr>
          <w:rStyle w:val="Strong"/>
          <w:rFonts w:ascii="Arial" w:eastAsiaTheme="majorEastAsia" w:hAnsi="Arial" w:cs="Arial"/>
          <w:b w:val="0"/>
          <w:bCs w:val="0"/>
          <w:color w:val="000000"/>
        </w:rPr>
        <w:t xml:space="preserve">, U., Buss, P., Were, M. and </w:t>
      </w:r>
      <w:proofErr w:type="spellStart"/>
      <w:r w:rsidRPr="009F2C7E">
        <w:rPr>
          <w:rStyle w:val="Strong"/>
          <w:rFonts w:ascii="Arial" w:eastAsiaTheme="majorEastAsia" w:hAnsi="Arial" w:cs="Arial"/>
          <w:b w:val="0"/>
          <w:bCs w:val="0"/>
          <w:color w:val="000000"/>
        </w:rPr>
        <w:t>Dhai</w:t>
      </w:r>
      <w:proofErr w:type="spellEnd"/>
      <w:r w:rsidRPr="009F2C7E">
        <w:rPr>
          <w:rStyle w:val="Strong"/>
          <w:rFonts w:ascii="Arial" w:eastAsiaTheme="majorEastAsia" w:hAnsi="Arial" w:cs="Arial"/>
          <w:b w:val="0"/>
          <w:bCs w:val="0"/>
          <w:color w:val="000000"/>
        </w:rPr>
        <w:t>, A. (2023)</w:t>
      </w:r>
      <w:r w:rsidRPr="009F2C7E">
        <w:rPr>
          <w:rStyle w:val="apple-converted-space"/>
          <w:rFonts w:ascii="Arial" w:eastAsiaTheme="majorEastAsia" w:hAnsi="Arial" w:cs="Arial"/>
          <w:color w:val="000000"/>
        </w:rPr>
        <w:t> </w:t>
      </w:r>
      <w:r w:rsidRPr="009F2C7E">
        <w:rPr>
          <w:rFonts w:ascii="Arial" w:hAnsi="Arial" w:cs="Arial"/>
          <w:color w:val="000000"/>
        </w:rPr>
        <w:t>‘Human rights and the COVID-19 pandemic: A retrospective and prospective analysis’,</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The Lancet,</w:t>
      </w:r>
      <w:r w:rsidRPr="009F2C7E">
        <w:rPr>
          <w:rStyle w:val="apple-converted-space"/>
          <w:rFonts w:ascii="Arial" w:eastAsiaTheme="majorEastAsia" w:hAnsi="Arial" w:cs="Arial"/>
          <w:color w:val="000000"/>
        </w:rPr>
        <w:t> </w:t>
      </w:r>
      <w:r w:rsidRPr="009F2C7E">
        <w:rPr>
          <w:rFonts w:ascii="Arial" w:hAnsi="Arial" w:cs="Arial"/>
          <w:color w:val="000000"/>
        </w:rPr>
        <w:t>401(10371), pp. 154–168.</w:t>
      </w:r>
      <w:r w:rsidRPr="009F2C7E">
        <w:rPr>
          <w:rStyle w:val="apple-converted-space"/>
          <w:rFonts w:ascii="Arial" w:eastAsiaTheme="majorEastAsia" w:hAnsi="Arial" w:cs="Arial"/>
          <w:color w:val="000000"/>
        </w:rPr>
        <w:t> </w:t>
      </w:r>
      <w:hyperlink r:id="rId34" w:history="1">
        <w:r w:rsidRPr="009F2C7E">
          <w:rPr>
            <w:rStyle w:val="Hyperlink"/>
            <w:rFonts w:ascii="Arial" w:hAnsi="Arial" w:cs="Arial"/>
          </w:rPr>
          <w:t>https://doi.org/10.1016/S0140-6736(22)01278-8</w:t>
        </w:r>
      </w:hyperlink>
      <w:r w:rsidRPr="009F2C7E">
        <w:rPr>
          <w:rFonts w:ascii="Arial" w:hAnsi="Arial" w:cs="Arial"/>
          <w:color w:val="000000"/>
        </w:rPr>
        <w:t>.</w:t>
      </w:r>
    </w:p>
    <w:p w14:paraId="4DD5AD6F" w14:textId="77777777" w:rsidR="000A4DDA" w:rsidRPr="009F2C7E" w:rsidRDefault="000A4DDA" w:rsidP="000A4DDA">
      <w:pPr>
        <w:pStyle w:val="NormalWeb"/>
        <w:spacing w:line="360" w:lineRule="auto"/>
        <w:rPr>
          <w:rFonts w:ascii="Arial" w:hAnsi="Arial" w:cs="Arial"/>
          <w:color w:val="000000"/>
        </w:rPr>
      </w:pPr>
    </w:p>
    <w:p w14:paraId="196B4D99"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His Majesty’s Chief Inspector of Prisons (2024)</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The long wait: A thematic review of delays in the transfer of mentally unwell prisoners.</w:t>
      </w:r>
      <w:r w:rsidRPr="009F2C7E">
        <w:rPr>
          <w:rStyle w:val="apple-converted-space"/>
          <w:rFonts w:ascii="Arial" w:eastAsiaTheme="majorEastAsia" w:hAnsi="Arial" w:cs="Arial"/>
          <w:color w:val="000000"/>
        </w:rPr>
        <w:t> </w:t>
      </w:r>
      <w:r w:rsidRPr="009F2C7E">
        <w:rPr>
          <w:rFonts w:ascii="Arial" w:hAnsi="Arial" w:cs="Arial"/>
          <w:color w:val="000000"/>
        </w:rPr>
        <w:t>London: HM Inspectorate of Prisons. Available at:</w:t>
      </w:r>
      <w:r w:rsidRPr="009F2C7E">
        <w:rPr>
          <w:rStyle w:val="apple-converted-space"/>
          <w:rFonts w:ascii="Arial" w:eastAsiaTheme="majorEastAsia" w:hAnsi="Arial" w:cs="Arial"/>
          <w:color w:val="000000"/>
        </w:rPr>
        <w:t> </w:t>
      </w:r>
      <w:hyperlink r:id="rId35" w:tgtFrame="_new" w:history="1">
        <w:r w:rsidRPr="009F2C7E">
          <w:rPr>
            <w:rStyle w:val="Hyperlink"/>
            <w:rFonts w:ascii="Arial" w:eastAsiaTheme="majorEastAsia" w:hAnsi="Arial" w:cs="Arial"/>
          </w:rPr>
          <w:t>https://cloud-platform-e218f50a4812967ba1215eaecede923f.s3.amazonaws.com/uploads/sites/19/2024/02/The-long-wait-web-2024.pdf</w:t>
        </w:r>
      </w:hyperlink>
      <w:r w:rsidRPr="009F2C7E">
        <w:rPr>
          <w:rFonts w:ascii="Arial" w:hAnsi="Arial" w:cs="Arial"/>
          <w:color w:val="000000"/>
        </w:rPr>
        <w:t>(Accessed: 3 November 2025).</w:t>
      </w:r>
    </w:p>
    <w:p w14:paraId="448CAAFE" w14:textId="77777777" w:rsidR="000A4DDA" w:rsidRPr="009F2C7E" w:rsidRDefault="000A4DDA" w:rsidP="000A4DDA">
      <w:pPr>
        <w:pStyle w:val="NormalWeb"/>
        <w:spacing w:line="360" w:lineRule="auto"/>
        <w:rPr>
          <w:rFonts w:ascii="Arial" w:hAnsi="Arial" w:cs="Arial"/>
          <w:color w:val="000000"/>
        </w:rPr>
      </w:pPr>
    </w:p>
    <w:p w14:paraId="6388A5E4"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His Majesty’s Chief Inspector of Prisons for England and Wales (2023)</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Annual Report 2022–23.</w:t>
      </w:r>
      <w:r w:rsidRPr="009F2C7E">
        <w:rPr>
          <w:rStyle w:val="apple-converted-space"/>
          <w:rFonts w:ascii="Arial" w:eastAsiaTheme="majorEastAsia" w:hAnsi="Arial" w:cs="Arial"/>
          <w:color w:val="000000"/>
        </w:rPr>
        <w:t> </w:t>
      </w:r>
      <w:r w:rsidRPr="009F2C7E">
        <w:rPr>
          <w:rFonts w:ascii="Arial" w:hAnsi="Arial" w:cs="Arial"/>
          <w:color w:val="000000"/>
        </w:rPr>
        <w:t>[online] Available at:</w:t>
      </w:r>
      <w:r w:rsidRPr="009F2C7E">
        <w:rPr>
          <w:rStyle w:val="apple-converted-space"/>
          <w:rFonts w:ascii="Arial" w:eastAsiaTheme="majorEastAsia" w:hAnsi="Arial" w:cs="Arial"/>
          <w:color w:val="000000"/>
        </w:rPr>
        <w:t> </w:t>
      </w:r>
      <w:hyperlink r:id="rId36" w:tgtFrame="_new" w:history="1">
        <w:r w:rsidRPr="009F2C7E">
          <w:rPr>
            <w:rStyle w:val="Hyperlink"/>
            <w:rFonts w:ascii="Arial" w:eastAsiaTheme="majorEastAsia" w:hAnsi="Arial" w:cs="Arial"/>
          </w:rPr>
          <w:t>https://assets.publishing.service.gov.uk/media/64a43d244dd8b3000c7fa479/hmip-annual-report-2022-23.pdf</w:t>
        </w:r>
      </w:hyperlink>
      <w:r w:rsidRPr="009F2C7E">
        <w:rPr>
          <w:rFonts w:ascii="Arial" w:hAnsi="Arial" w:cs="Arial"/>
          <w:color w:val="000000"/>
        </w:rPr>
        <w:t>(Accessed: 3 November 2025).</w:t>
      </w:r>
    </w:p>
    <w:p w14:paraId="0C5110F2" w14:textId="77777777" w:rsidR="000A4DDA" w:rsidRPr="009F2C7E" w:rsidRDefault="000A4DDA" w:rsidP="000A4DDA">
      <w:pPr>
        <w:pStyle w:val="NormalWeb"/>
        <w:spacing w:line="360" w:lineRule="auto"/>
        <w:rPr>
          <w:rFonts w:ascii="Arial" w:hAnsi="Arial" w:cs="Arial"/>
          <w:color w:val="000000"/>
        </w:rPr>
      </w:pPr>
    </w:p>
    <w:p w14:paraId="1D03C3B9"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His Majesty’s Inspectorate of Prisons (2022)</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Annual Report 2021–22.</w:t>
      </w:r>
      <w:r w:rsidRPr="009F2C7E">
        <w:rPr>
          <w:rStyle w:val="apple-converted-space"/>
          <w:rFonts w:ascii="Arial" w:eastAsiaTheme="majorEastAsia" w:hAnsi="Arial" w:cs="Arial"/>
          <w:color w:val="000000"/>
        </w:rPr>
        <w:t> </w:t>
      </w:r>
      <w:r w:rsidRPr="009F2C7E">
        <w:rPr>
          <w:rFonts w:ascii="Arial" w:hAnsi="Arial" w:cs="Arial"/>
          <w:color w:val="000000"/>
        </w:rPr>
        <w:t>London: HM Inspectorate of Prisons. Available at:</w:t>
      </w:r>
      <w:r w:rsidRPr="009F2C7E">
        <w:rPr>
          <w:rStyle w:val="apple-converted-space"/>
          <w:rFonts w:ascii="Arial" w:eastAsiaTheme="majorEastAsia" w:hAnsi="Arial" w:cs="Arial"/>
          <w:color w:val="000000"/>
        </w:rPr>
        <w:t> </w:t>
      </w:r>
      <w:hyperlink r:id="rId37" w:tgtFrame="_new" w:history="1">
        <w:r w:rsidRPr="009F2C7E">
          <w:rPr>
            <w:rStyle w:val="Hyperlink"/>
            <w:rFonts w:ascii="Arial" w:eastAsiaTheme="majorEastAsia" w:hAnsi="Arial" w:cs="Arial"/>
          </w:rPr>
          <w:t>https://assets.publishing.service.gov.uk/media/62cc11a1d3bf7f2ff9806b1f214f79/hmip-annual-report-2021-22.pdf</w:t>
        </w:r>
      </w:hyperlink>
      <w:r w:rsidRPr="009F2C7E">
        <w:rPr>
          <w:rFonts w:ascii="Arial" w:hAnsi="Arial" w:cs="Arial"/>
          <w:color w:val="000000"/>
        </w:rPr>
        <w:t>(Accessed: 27 October 2025).</w:t>
      </w:r>
    </w:p>
    <w:p w14:paraId="34783F57" w14:textId="77777777" w:rsidR="000A4DDA" w:rsidRPr="009F2C7E" w:rsidRDefault="000A4DDA" w:rsidP="000A4DDA">
      <w:pPr>
        <w:pStyle w:val="NormalWeb"/>
        <w:spacing w:line="360" w:lineRule="auto"/>
        <w:rPr>
          <w:rFonts w:ascii="Arial" w:hAnsi="Arial" w:cs="Arial"/>
          <w:color w:val="000000"/>
        </w:rPr>
      </w:pPr>
    </w:p>
    <w:p w14:paraId="5E8091A1" w14:textId="29FC17FE" w:rsidR="00322731"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His Majesty’s Prison and Probation Service (2024)</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HMP Five Wells – HMIP Action Plan 2024.</w:t>
      </w:r>
      <w:r w:rsidRPr="009F2C7E">
        <w:rPr>
          <w:rStyle w:val="apple-converted-space"/>
          <w:rFonts w:ascii="Arial" w:eastAsiaTheme="majorEastAsia" w:hAnsi="Arial" w:cs="Arial"/>
          <w:color w:val="000000"/>
        </w:rPr>
        <w:t> </w:t>
      </w:r>
      <w:r w:rsidRPr="009F2C7E">
        <w:rPr>
          <w:rFonts w:ascii="Arial" w:hAnsi="Arial" w:cs="Arial"/>
          <w:color w:val="000000"/>
        </w:rPr>
        <w:t>[online] Available at:</w:t>
      </w:r>
      <w:r w:rsidRPr="009F2C7E">
        <w:rPr>
          <w:rStyle w:val="apple-converted-space"/>
          <w:rFonts w:ascii="Arial" w:eastAsiaTheme="majorEastAsia" w:hAnsi="Arial" w:cs="Arial"/>
          <w:color w:val="000000"/>
        </w:rPr>
        <w:t> </w:t>
      </w:r>
      <w:hyperlink w:history="1">
        <w:r w:rsidR="00322731" w:rsidRPr="007A29B0">
          <w:rPr>
            <w:rStyle w:val="Hyperlink"/>
            <w:rFonts w:ascii="Arial" w:eastAsiaTheme="majorEastAsia" w:hAnsi="Arial" w:cs="Arial"/>
          </w:rPr>
          <w:t>https://cloud-platform- e218f50a4812967ba1215eaecede923f.s3.amazonaws.com/uploads/sites/19/2024/05/HMP-Five-Wells-HMIP-Action-Plan-2024.pdf</w:t>
        </w:r>
      </w:hyperlink>
      <w:r w:rsidRPr="009F2C7E">
        <w:rPr>
          <w:rStyle w:val="apple-converted-space"/>
          <w:rFonts w:ascii="Arial" w:eastAsiaTheme="majorEastAsia" w:hAnsi="Arial" w:cs="Arial"/>
          <w:color w:val="000000"/>
        </w:rPr>
        <w:t> </w:t>
      </w:r>
      <w:r w:rsidRPr="009F2C7E">
        <w:rPr>
          <w:rFonts w:ascii="Arial" w:hAnsi="Arial" w:cs="Arial"/>
          <w:color w:val="000000"/>
        </w:rPr>
        <w:t>(Accessed: 3 November 2025).</w:t>
      </w:r>
    </w:p>
    <w:p w14:paraId="46694FE6" w14:textId="77777777" w:rsidR="00322731" w:rsidRPr="00322731" w:rsidRDefault="00322731" w:rsidP="000A4DDA">
      <w:pPr>
        <w:pStyle w:val="NormalWeb"/>
        <w:spacing w:line="360" w:lineRule="auto"/>
        <w:rPr>
          <w:rFonts w:ascii="Arial" w:hAnsi="Arial" w:cs="Arial"/>
          <w:color w:val="000000"/>
        </w:rPr>
      </w:pPr>
    </w:p>
    <w:p w14:paraId="4332A136" w14:textId="3E4AF12F" w:rsidR="00322731" w:rsidRPr="00322731" w:rsidRDefault="00322731" w:rsidP="000A4DDA">
      <w:pPr>
        <w:pStyle w:val="NormalWeb"/>
        <w:spacing w:line="360" w:lineRule="auto"/>
        <w:rPr>
          <w:rFonts w:ascii="Arial" w:hAnsi="Arial" w:cs="Arial"/>
          <w:color w:val="000000"/>
        </w:rPr>
      </w:pPr>
      <w:r w:rsidRPr="00322731">
        <w:rPr>
          <w:rFonts w:ascii="Arial" w:hAnsi="Arial" w:cs="Arial"/>
          <w:color w:val="000000"/>
        </w:rPr>
        <w:t>His Majesty’s Prison and Probation Service (2024)</w:t>
      </w:r>
      <w:r w:rsidRPr="00322731">
        <w:rPr>
          <w:rStyle w:val="apple-converted-space"/>
          <w:rFonts w:ascii="Arial" w:eastAsiaTheme="majorEastAsia" w:hAnsi="Arial" w:cs="Arial"/>
          <w:color w:val="000000"/>
        </w:rPr>
        <w:t> </w:t>
      </w:r>
      <w:r w:rsidRPr="00322731">
        <w:rPr>
          <w:rStyle w:val="Emphasis"/>
          <w:rFonts w:ascii="Arial" w:eastAsiaTheme="majorEastAsia" w:hAnsi="Arial" w:cs="Arial"/>
          <w:color w:val="000000"/>
        </w:rPr>
        <w:t xml:space="preserve">Safety in custody statistics, </w:t>
      </w:r>
      <w:proofErr w:type="gramStart"/>
      <w:r w:rsidRPr="00322731">
        <w:rPr>
          <w:rStyle w:val="Emphasis"/>
          <w:rFonts w:ascii="Arial" w:eastAsiaTheme="majorEastAsia" w:hAnsi="Arial" w:cs="Arial"/>
          <w:color w:val="000000"/>
        </w:rPr>
        <w:t>England</w:t>
      </w:r>
      <w:proofErr w:type="gramEnd"/>
      <w:r w:rsidRPr="00322731">
        <w:rPr>
          <w:rStyle w:val="Emphasis"/>
          <w:rFonts w:ascii="Arial" w:eastAsiaTheme="majorEastAsia" w:hAnsi="Arial" w:cs="Arial"/>
          <w:color w:val="000000"/>
        </w:rPr>
        <w:t xml:space="preserve"> and Wales: Deaths in prison custody to December 2024, assaults and self-harm to September 2024.</w:t>
      </w:r>
      <w:r w:rsidRPr="00322731">
        <w:rPr>
          <w:rStyle w:val="apple-converted-space"/>
          <w:rFonts w:ascii="Arial" w:eastAsiaTheme="majorEastAsia" w:hAnsi="Arial" w:cs="Arial"/>
          <w:color w:val="000000"/>
        </w:rPr>
        <w:t> </w:t>
      </w:r>
      <w:r w:rsidRPr="00322731">
        <w:rPr>
          <w:rFonts w:ascii="Arial" w:hAnsi="Arial" w:cs="Arial"/>
          <w:color w:val="000000"/>
        </w:rPr>
        <w:t>Available at:</w:t>
      </w:r>
      <w:r w:rsidRPr="00322731">
        <w:rPr>
          <w:rStyle w:val="apple-converted-space"/>
          <w:rFonts w:ascii="Arial" w:eastAsiaTheme="majorEastAsia" w:hAnsi="Arial" w:cs="Arial"/>
          <w:color w:val="000000"/>
        </w:rPr>
        <w:t> </w:t>
      </w:r>
      <w:hyperlink r:id="rId38" w:tgtFrame="_new" w:history="1">
        <w:r w:rsidRPr="00322731">
          <w:rPr>
            <w:rStyle w:val="Hyperlink"/>
            <w:rFonts w:ascii="Arial" w:eastAsiaTheme="majorEastAsia" w:hAnsi="Arial" w:cs="Arial"/>
          </w:rPr>
          <w:t>https://www.gov.uk/government/statistics/safety-in-custody-quarterly-update-to-september-2024/safety-in-custody-statistics-england-and-wales-deaths-in-prison-custody-to-december-2024-assaults-and-self-harm-to-september-2024</w:t>
        </w:r>
      </w:hyperlink>
      <w:r w:rsidRPr="00322731">
        <w:rPr>
          <w:rFonts w:ascii="Arial" w:hAnsi="Arial" w:cs="Arial"/>
          <w:color w:val="000000"/>
        </w:rPr>
        <w:t>(Accessed: 6 November 2025).</w:t>
      </w:r>
    </w:p>
    <w:p w14:paraId="40D6E69E" w14:textId="77777777" w:rsidR="000A4DDA" w:rsidRPr="009F2C7E" w:rsidRDefault="000A4DDA" w:rsidP="000A4DDA">
      <w:pPr>
        <w:pStyle w:val="NormalWeb"/>
        <w:spacing w:line="360" w:lineRule="auto"/>
        <w:rPr>
          <w:rFonts w:ascii="Arial" w:hAnsi="Arial" w:cs="Arial"/>
          <w:color w:val="000000"/>
        </w:rPr>
      </w:pPr>
    </w:p>
    <w:p w14:paraId="0F5A1A43"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House of Commons Library (2024)</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Suicide prevention: prisons.</w:t>
      </w:r>
      <w:r w:rsidRPr="009F2C7E">
        <w:rPr>
          <w:rStyle w:val="apple-converted-space"/>
          <w:rFonts w:ascii="Arial" w:eastAsiaTheme="majorEastAsia" w:hAnsi="Arial" w:cs="Arial"/>
          <w:color w:val="000000"/>
        </w:rPr>
        <w:t> </w:t>
      </w:r>
      <w:r w:rsidRPr="009F2C7E">
        <w:rPr>
          <w:rFonts w:ascii="Arial" w:hAnsi="Arial" w:cs="Arial"/>
          <w:color w:val="000000"/>
        </w:rPr>
        <w:t>Briefing Paper CBP-10102. London: UK Parliament. Available at:</w:t>
      </w:r>
      <w:r w:rsidRPr="009F2C7E">
        <w:rPr>
          <w:rStyle w:val="apple-converted-space"/>
          <w:rFonts w:ascii="Arial" w:eastAsiaTheme="majorEastAsia" w:hAnsi="Arial" w:cs="Arial"/>
          <w:color w:val="000000"/>
        </w:rPr>
        <w:t> </w:t>
      </w:r>
      <w:hyperlink r:id="rId39" w:tgtFrame="_new" w:history="1">
        <w:r w:rsidRPr="009F2C7E">
          <w:rPr>
            <w:rStyle w:val="Hyperlink"/>
            <w:rFonts w:ascii="Arial" w:eastAsiaTheme="majorEastAsia" w:hAnsi="Arial" w:cs="Arial"/>
          </w:rPr>
          <w:t>https://researchbriefings.files.parliament.uk/documents/CBP-10102/CBP-10102.pdf</w:t>
        </w:r>
      </w:hyperlink>
      <w:r w:rsidRPr="009F2C7E">
        <w:rPr>
          <w:rStyle w:val="apple-converted-space"/>
          <w:rFonts w:ascii="Arial" w:eastAsiaTheme="majorEastAsia" w:hAnsi="Arial" w:cs="Arial"/>
          <w:color w:val="000000"/>
        </w:rPr>
        <w:t> </w:t>
      </w:r>
      <w:r w:rsidRPr="009F2C7E">
        <w:rPr>
          <w:rFonts w:ascii="Arial" w:hAnsi="Arial" w:cs="Arial"/>
          <w:color w:val="000000"/>
        </w:rPr>
        <w:t>(Accessed: 3 November 2025).</w:t>
      </w:r>
    </w:p>
    <w:p w14:paraId="0EAE2E2C" w14:textId="77777777" w:rsidR="000A4DDA" w:rsidRPr="009F2C7E" w:rsidRDefault="000A4DDA" w:rsidP="000A4DDA">
      <w:pPr>
        <w:pStyle w:val="NormalWeb"/>
        <w:spacing w:line="360" w:lineRule="auto"/>
        <w:rPr>
          <w:rFonts w:ascii="Arial" w:hAnsi="Arial" w:cs="Arial"/>
          <w:color w:val="000000"/>
        </w:rPr>
      </w:pPr>
    </w:p>
    <w:p w14:paraId="4B2DF971"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Howard League for Penal Reform (2023a)</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Our legal cases.</w:t>
      </w:r>
      <w:r w:rsidRPr="009F2C7E">
        <w:rPr>
          <w:rStyle w:val="apple-converted-space"/>
          <w:rFonts w:ascii="Arial" w:eastAsiaTheme="majorEastAsia" w:hAnsi="Arial" w:cs="Arial"/>
          <w:color w:val="000000"/>
        </w:rPr>
        <w:t> </w:t>
      </w:r>
      <w:r w:rsidRPr="009F2C7E">
        <w:rPr>
          <w:rFonts w:ascii="Arial" w:hAnsi="Arial" w:cs="Arial"/>
          <w:color w:val="000000"/>
        </w:rPr>
        <w:t>[online] Available at:</w:t>
      </w:r>
      <w:r w:rsidRPr="009F2C7E">
        <w:rPr>
          <w:rStyle w:val="apple-converted-space"/>
          <w:rFonts w:ascii="Arial" w:eastAsiaTheme="majorEastAsia" w:hAnsi="Arial" w:cs="Arial"/>
          <w:color w:val="000000"/>
        </w:rPr>
        <w:t> </w:t>
      </w:r>
      <w:hyperlink r:id="rId40" w:tgtFrame="_new" w:history="1">
        <w:r w:rsidRPr="009F2C7E">
          <w:rPr>
            <w:rStyle w:val="Hyperlink"/>
            <w:rFonts w:ascii="Arial" w:eastAsiaTheme="majorEastAsia" w:hAnsi="Arial" w:cs="Arial"/>
          </w:rPr>
          <w:t>https://howardleague.org/legal-work/our-legal-cases/</w:t>
        </w:r>
      </w:hyperlink>
      <w:r w:rsidRPr="009F2C7E">
        <w:rPr>
          <w:rStyle w:val="apple-converted-space"/>
          <w:rFonts w:ascii="Arial" w:eastAsiaTheme="majorEastAsia" w:hAnsi="Arial" w:cs="Arial"/>
          <w:color w:val="000000"/>
        </w:rPr>
        <w:t> </w:t>
      </w:r>
      <w:r w:rsidRPr="009F2C7E">
        <w:rPr>
          <w:rFonts w:ascii="Arial" w:hAnsi="Arial" w:cs="Arial"/>
          <w:color w:val="000000"/>
        </w:rPr>
        <w:t>(Accessed: 30 October 2025).</w:t>
      </w:r>
    </w:p>
    <w:p w14:paraId="3DC74B61" w14:textId="77777777" w:rsidR="000A4DDA" w:rsidRPr="009F2C7E" w:rsidRDefault="000A4DDA" w:rsidP="000A4DDA">
      <w:pPr>
        <w:pStyle w:val="NormalWeb"/>
        <w:spacing w:line="360" w:lineRule="auto"/>
        <w:rPr>
          <w:rFonts w:ascii="Arial" w:hAnsi="Arial" w:cs="Arial"/>
          <w:color w:val="000000"/>
        </w:rPr>
      </w:pPr>
    </w:p>
    <w:p w14:paraId="21A38E39"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Howard League for Penal Reform (2023b)</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Submission to the UN Special Rapporteur on Torture: Current issues and good practices in prison management.</w:t>
      </w:r>
      <w:r w:rsidRPr="009F2C7E">
        <w:rPr>
          <w:rStyle w:val="apple-converted-space"/>
          <w:rFonts w:ascii="Arial" w:eastAsiaTheme="majorEastAsia" w:hAnsi="Arial" w:cs="Arial"/>
          <w:color w:val="000000"/>
        </w:rPr>
        <w:t> </w:t>
      </w:r>
      <w:r w:rsidRPr="009F2C7E">
        <w:rPr>
          <w:rFonts w:ascii="Arial" w:hAnsi="Arial" w:cs="Arial"/>
          <w:color w:val="000000"/>
        </w:rPr>
        <w:t>[online] Available at:</w:t>
      </w:r>
      <w:r w:rsidRPr="009F2C7E">
        <w:rPr>
          <w:rStyle w:val="apple-converted-space"/>
          <w:rFonts w:ascii="Arial" w:eastAsiaTheme="majorEastAsia" w:hAnsi="Arial" w:cs="Arial"/>
          <w:color w:val="000000"/>
        </w:rPr>
        <w:t> </w:t>
      </w:r>
      <w:hyperlink r:id="rId41" w:tgtFrame="_new" w:history="1">
        <w:r w:rsidRPr="009F2C7E">
          <w:rPr>
            <w:rStyle w:val="Hyperlink"/>
            <w:rFonts w:ascii="Arial" w:eastAsiaTheme="majorEastAsia" w:hAnsi="Arial" w:cs="Arial"/>
          </w:rPr>
          <w:t>https://howardleague.org/wp-content/uploads/2023/11/The-Howard-League-for-Penal-Reform-Submission-to-the-UN-Special-Rapporteur-on-torture.pdf</w:t>
        </w:r>
      </w:hyperlink>
      <w:r w:rsidRPr="009F2C7E">
        <w:rPr>
          <w:rStyle w:val="apple-converted-space"/>
          <w:rFonts w:ascii="Arial" w:eastAsiaTheme="majorEastAsia" w:hAnsi="Arial" w:cs="Arial"/>
          <w:color w:val="000000"/>
        </w:rPr>
        <w:t> </w:t>
      </w:r>
      <w:r w:rsidRPr="009F2C7E">
        <w:rPr>
          <w:rFonts w:ascii="Arial" w:hAnsi="Arial" w:cs="Arial"/>
          <w:color w:val="000000"/>
        </w:rPr>
        <w:t>(Accessed: 31 October 2025).</w:t>
      </w:r>
    </w:p>
    <w:p w14:paraId="1A93ED36" w14:textId="77777777" w:rsidR="000A4DDA" w:rsidRPr="009F2C7E" w:rsidRDefault="000A4DDA" w:rsidP="000A4DDA">
      <w:pPr>
        <w:pStyle w:val="NormalWeb"/>
        <w:spacing w:line="360" w:lineRule="auto"/>
        <w:rPr>
          <w:rFonts w:ascii="Arial" w:hAnsi="Arial" w:cs="Arial"/>
          <w:color w:val="000000"/>
        </w:rPr>
      </w:pPr>
    </w:p>
    <w:p w14:paraId="37FFF58D"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Howard League for Penal Reform (2024a)</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Howard League urges government to resurrect draft Mental Health Bill.</w:t>
      </w:r>
      <w:r w:rsidRPr="009F2C7E">
        <w:rPr>
          <w:rStyle w:val="apple-converted-space"/>
          <w:rFonts w:ascii="Arial" w:eastAsiaTheme="majorEastAsia" w:hAnsi="Arial" w:cs="Arial"/>
          <w:color w:val="000000"/>
        </w:rPr>
        <w:t> </w:t>
      </w:r>
      <w:r w:rsidRPr="009F2C7E">
        <w:rPr>
          <w:rFonts w:ascii="Arial" w:hAnsi="Arial" w:cs="Arial"/>
          <w:color w:val="000000"/>
        </w:rPr>
        <w:t>[online] Available at:</w:t>
      </w:r>
      <w:r w:rsidRPr="009F2C7E">
        <w:rPr>
          <w:rStyle w:val="apple-converted-space"/>
          <w:rFonts w:ascii="Arial" w:eastAsiaTheme="majorEastAsia" w:hAnsi="Arial" w:cs="Arial"/>
          <w:color w:val="000000"/>
        </w:rPr>
        <w:t> </w:t>
      </w:r>
      <w:hyperlink r:id="rId42" w:tgtFrame="_new" w:history="1">
        <w:r w:rsidRPr="009F2C7E">
          <w:rPr>
            <w:rStyle w:val="Hyperlink"/>
            <w:rFonts w:ascii="Arial" w:eastAsiaTheme="majorEastAsia" w:hAnsi="Arial" w:cs="Arial"/>
          </w:rPr>
          <w:t>https://howardleague.org/news/howard-league-urges-government-to-resurrect-draft-mental-health-bill/</w:t>
        </w:r>
      </w:hyperlink>
      <w:r w:rsidRPr="009F2C7E">
        <w:rPr>
          <w:rStyle w:val="apple-converted-space"/>
          <w:rFonts w:ascii="Arial" w:eastAsiaTheme="majorEastAsia" w:hAnsi="Arial" w:cs="Arial"/>
          <w:color w:val="000000"/>
        </w:rPr>
        <w:t> </w:t>
      </w:r>
      <w:r w:rsidRPr="009F2C7E">
        <w:rPr>
          <w:rFonts w:ascii="Arial" w:hAnsi="Arial" w:cs="Arial"/>
          <w:color w:val="000000"/>
        </w:rPr>
        <w:t>(Accessed: 28 October 2025).</w:t>
      </w:r>
    </w:p>
    <w:p w14:paraId="717C0041" w14:textId="77777777" w:rsidR="000A4DDA" w:rsidRPr="009F2C7E" w:rsidRDefault="000A4DDA" w:rsidP="000A4DDA">
      <w:pPr>
        <w:pStyle w:val="NormalWeb"/>
        <w:spacing w:line="360" w:lineRule="auto"/>
        <w:rPr>
          <w:rFonts w:ascii="Arial" w:hAnsi="Arial" w:cs="Arial"/>
          <w:color w:val="000000"/>
        </w:rPr>
      </w:pPr>
    </w:p>
    <w:p w14:paraId="3D22BC3E"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Howard League for Penal Reform (2024b)</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Howard League steps forward with proposals for a lasting solution to the prison capacity crisis.</w:t>
      </w:r>
      <w:r w:rsidRPr="009F2C7E">
        <w:rPr>
          <w:rStyle w:val="apple-converted-space"/>
          <w:rFonts w:ascii="Arial" w:eastAsiaTheme="majorEastAsia" w:hAnsi="Arial" w:cs="Arial"/>
          <w:color w:val="000000"/>
        </w:rPr>
        <w:t> </w:t>
      </w:r>
      <w:r w:rsidRPr="009F2C7E">
        <w:rPr>
          <w:rFonts w:ascii="Arial" w:hAnsi="Arial" w:cs="Arial"/>
          <w:color w:val="000000"/>
        </w:rPr>
        <w:t>[online] Available at:</w:t>
      </w:r>
      <w:r w:rsidRPr="009F2C7E">
        <w:rPr>
          <w:rStyle w:val="apple-converted-space"/>
          <w:rFonts w:ascii="Arial" w:eastAsiaTheme="majorEastAsia" w:hAnsi="Arial" w:cs="Arial"/>
          <w:color w:val="000000"/>
        </w:rPr>
        <w:t> </w:t>
      </w:r>
      <w:hyperlink r:id="rId43" w:tgtFrame="_new" w:history="1">
        <w:r w:rsidRPr="009F2C7E">
          <w:rPr>
            <w:rStyle w:val="Hyperlink"/>
            <w:rFonts w:ascii="Arial" w:eastAsiaTheme="majorEastAsia" w:hAnsi="Arial" w:cs="Arial"/>
          </w:rPr>
          <w:t>https://howardleague.org/news/howard-league-steps-forward-with-proposals-for-a-lasting-solution-to-the-prison-capacity-crisis/</w:t>
        </w:r>
      </w:hyperlink>
      <w:r w:rsidRPr="009F2C7E">
        <w:rPr>
          <w:rStyle w:val="apple-converted-space"/>
          <w:rFonts w:ascii="Arial" w:eastAsiaTheme="majorEastAsia" w:hAnsi="Arial" w:cs="Arial"/>
          <w:color w:val="000000"/>
        </w:rPr>
        <w:t> </w:t>
      </w:r>
      <w:r w:rsidRPr="009F2C7E">
        <w:rPr>
          <w:rFonts w:ascii="Arial" w:hAnsi="Arial" w:cs="Arial"/>
          <w:color w:val="000000"/>
        </w:rPr>
        <w:t>(Accessed: 25 October 2025).</w:t>
      </w:r>
    </w:p>
    <w:p w14:paraId="789C6F4F" w14:textId="77777777" w:rsidR="000A4DDA" w:rsidRPr="009F2C7E" w:rsidRDefault="000A4DDA" w:rsidP="000A4DDA">
      <w:pPr>
        <w:pStyle w:val="NormalWeb"/>
        <w:spacing w:line="360" w:lineRule="auto"/>
        <w:rPr>
          <w:rFonts w:ascii="Arial" w:hAnsi="Arial" w:cs="Arial"/>
          <w:color w:val="000000"/>
        </w:rPr>
      </w:pPr>
    </w:p>
    <w:p w14:paraId="24673345"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Howard League for Penal Reform (2025a)</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Submission to the Independent Sentencing Review 2024–2025: Call for Evidence.</w:t>
      </w:r>
      <w:r w:rsidRPr="009F2C7E">
        <w:rPr>
          <w:rStyle w:val="apple-converted-space"/>
          <w:rFonts w:ascii="Arial" w:eastAsiaTheme="majorEastAsia" w:hAnsi="Arial" w:cs="Arial"/>
          <w:color w:val="000000"/>
        </w:rPr>
        <w:t> </w:t>
      </w:r>
      <w:r w:rsidRPr="009F2C7E">
        <w:rPr>
          <w:rFonts w:ascii="Arial" w:hAnsi="Arial" w:cs="Arial"/>
          <w:color w:val="000000"/>
        </w:rPr>
        <w:t>[online] Available at:</w:t>
      </w:r>
      <w:r w:rsidRPr="009F2C7E">
        <w:rPr>
          <w:rStyle w:val="apple-converted-space"/>
          <w:rFonts w:ascii="Arial" w:eastAsiaTheme="majorEastAsia" w:hAnsi="Arial" w:cs="Arial"/>
          <w:color w:val="000000"/>
        </w:rPr>
        <w:t> </w:t>
      </w:r>
      <w:hyperlink r:id="rId44" w:tgtFrame="_new" w:history="1">
        <w:r w:rsidRPr="009F2C7E">
          <w:rPr>
            <w:rStyle w:val="Hyperlink"/>
            <w:rFonts w:ascii="Arial" w:eastAsiaTheme="majorEastAsia" w:hAnsi="Arial" w:cs="Arial"/>
          </w:rPr>
          <w:t>https://howardleague.org/wp-content/uploads/2025/01/Howard-League-for-Penal-Reform-submission-to-Independent-Sentencing-Review-2024-to-2025_Call-for-Evidence_9-January-2025.pdf</w:t>
        </w:r>
      </w:hyperlink>
      <w:r w:rsidRPr="009F2C7E">
        <w:rPr>
          <w:rFonts w:ascii="Arial" w:hAnsi="Arial" w:cs="Arial"/>
          <w:color w:val="000000"/>
        </w:rPr>
        <w:t>(Accessed: 3 November 2025).</w:t>
      </w:r>
    </w:p>
    <w:p w14:paraId="2626A46D" w14:textId="77777777" w:rsidR="000A4DDA" w:rsidRPr="009F2C7E" w:rsidRDefault="000A4DDA" w:rsidP="000A4DDA">
      <w:pPr>
        <w:pStyle w:val="NormalWeb"/>
        <w:spacing w:line="360" w:lineRule="auto"/>
        <w:rPr>
          <w:rFonts w:ascii="Arial" w:hAnsi="Arial" w:cs="Arial"/>
          <w:color w:val="000000"/>
        </w:rPr>
      </w:pPr>
    </w:p>
    <w:p w14:paraId="337EB294"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Howard League for Penal Reform (2025b)</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Why are prisons overcrowded?</w:t>
      </w:r>
      <w:r w:rsidRPr="009F2C7E">
        <w:rPr>
          <w:rStyle w:val="apple-converted-space"/>
          <w:rFonts w:ascii="Arial" w:eastAsiaTheme="majorEastAsia" w:hAnsi="Arial" w:cs="Arial"/>
          <w:color w:val="000000"/>
        </w:rPr>
        <w:t> </w:t>
      </w:r>
      <w:r w:rsidRPr="009F2C7E">
        <w:rPr>
          <w:rFonts w:ascii="Arial" w:hAnsi="Arial" w:cs="Arial"/>
          <w:color w:val="000000"/>
        </w:rPr>
        <w:t>[online] Available at:</w:t>
      </w:r>
      <w:r w:rsidRPr="009F2C7E">
        <w:rPr>
          <w:rStyle w:val="apple-converted-space"/>
          <w:rFonts w:ascii="Arial" w:eastAsiaTheme="majorEastAsia" w:hAnsi="Arial" w:cs="Arial"/>
          <w:color w:val="000000"/>
        </w:rPr>
        <w:t> </w:t>
      </w:r>
      <w:hyperlink r:id="rId45" w:tgtFrame="_new" w:history="1">
        <w:r w:rsidRPr="009F2C7E">
          <w:rPr>
            <w:rStyle w:val="Hyperlink"/>
            <w:rFonts w:ascii="Arial" w:eastAsiaTheme="majorEastAsia" w:hAnsi="Arial" w:cs="Arial"/>
          </w:rPr>
          <w:t>https://howardleague.org/why-are-prisons-overcrowded/</w:t>
        </w:r>
      </w:hyperlink>
      <w:r w:rsidRPr="009F2C7E">
        <w:rPr>
          <w:rStyle w:val="apple-converted-space"/>
          <w:rFonts w:ascii="Arial" w:eastAsiaTheme="majorEastAsia" w:hAnsi="Arial" w:cs="Arial"/>
          <w:color w:val="000000"/>
        </w:rPr>
        <w:t> </w:t>
      </w:r>
      <w:r w:rsidRPr="009F2C7E">
        <w:rPr>
          <w:rFonts w:ascii="Arial" w:hAnsi="Arial" w:cs="Arial"/>
          <w:color w:val="000000"/>
        </w:rPr>
        <w:t>(Accessed: 29 October 2025).</w:t>
      </w:r>
    </w:p>
    <w:p w14:paraId="1E95AE76" w14:textId="77777777" w:rsidR="000A4DDA" w:rsidRPr="009F2C7E" w:rsidRDefault="000A4DDA" w:rsidP="000A4DDA">
      <w:pPr>
        <w:pStyle w:val="NormalWeb"/>
        <w:spacing w:line="360" w:lineRule="auto"/>
        <w:rPr>
          <w:rFonts w:ascii="Arial" w:hAnsi="Arial" w:cs="Arial"/>
          <w:color w:val="000000"/>
        </w:rPr>
      </w:pPr>
    </w:p>
    <w:p w14:paraId="6F529E69" w14:textId="77777777" w:rsidR="000A4DDA"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lastRenderedPageBreak/>
        <w:t>Human Rights Act 1998 (c.42).</w:t>
      </w:r>
      <w:r w:rsidRPr="009F2C7E">
        <w:rPr>
          <w:rStyle w:val="apple-converted-space"/>
          <w:rFonts w:ascii="Arial" w:eastAsiaTheme="majorEastAsia" w:hAnsi="Arial" w:cs="Arial"/>
          <w:color w:val="000000"/>
        </w:rPr>
        <w:t> </w:t>
      </w:r>
      <w:r w:rsidRPr="009F2C7E">
        <w:rPr>
          <w:rFonts w:ascii="Arial" w:hAnsi="Arial" w:cs="Arial"/>
          <w:color w:val="000000"/>
        </w:rPr>
        <w:t>London: The Stationery Office.</w:t>
      </w:r>
    </w:p>
    <w:p w14:paraId="2A6910D7" w14:textId="77777777" w:rsidR="000A4DDA" w:rsidRPr="009F2C7E" w:rsidRDefault="000A4DDA" w:rsidP="000A4DDA">
      <w:pPr>
        <w:pStyle w:val="NormalWeb"/>
        <w:spacing w:line="360" w:lineRule="auto"/>
        <w:rPr>
          <w:rFonts w:ascii="Arial" w:hAnsi="Arial" w:cs="Arial"/>
          <w:color w:val="000000"/>
        </w:rPr>
      </w:pPr>
    </w:p>
    <w:p w14:paraId="4F940F2A" w14:textId="77777777" w:rsidR="000A4DDA"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Independent Monitoring Board (2024)</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Mental health crisis forces prisoners into inhumane isolation.</w:t>
      </w:r>
      <w:r w:rsidRPr="009F2C7E">
        <w:rPr>
          <w:rStyle w:val="apple-converted-space"/>
          <w:rFonts w:ascii="Arial" w:eastAsiaTheme="majorEastAsia" w:hAnsi="Arial" w:cs="Arial"/>
          <w:color w:val="000000"/>
        </w:rPr>
        <w:t> </w:t>
      </w:r>
      <w:r w:rsidRPr="009F2C7E">
        <w:rPr>
          <w:rFonts w:ascii="Arial" w:hAnsi="Arial" w:cs="Arial"/>
          <w:color w:val="000000"/>
        </w:rPr>
        <w:t>[online]</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Independent Monitoring Boards News,</w:t>
      </w:r>
      <w:r w:rsidRPr="009F2C7E">
        <w:rPr>
          <w:rStyle w:val="apple-converted-space"/>
          <w:rFonts w:ascii="Arial" w:eastAsiaTheme="majorEastAsia" w:hAnsi="Arial" w:cs="Arial"/>
          <w:color w:val="000000"/>
        </w:rPr>
        <w:t> </w:t>
      </w:r>
      <w:r w:rsidRPr="009F2C7E">
        <w:rPr>
          <w:rFonts w:ascii="Arial" w:hAnsi="Arial" w:cs="Arial"/>
          <w:color w:val="000000"/>
        </w:rPr>
        <w:t>25 January. Available at:</w:t>
      </w:r>
      <w:r w:rsidRPr="009F2C7E">
        <w:rPr>
          <w:rStyle w:val="apple-converted-space"/>
          <w:rFonts w:ascii="Arial" w:eastAsiaTheme="majorEastAsia" w:hAnsi="Arial" w:cs="Arial"/>
          <w:color w:val="000000"/>
        </w:rPr>
        <w:t> </w:t>
      </w:r>
      <w:hyperlink r:id="rId46" w:tgtFrame="_new" w:history="1">
        <w:r w:rsidRPr="009F2C7E">
          <w:rPr>
            <w:rStyle w:val="Hyperlink"/>
            <w:rFonts w:ascii="Arial" w:eastAsiaTheme="majorEastAsia" w:hAnsi="Arial" w:cs="Arial"/>
          </w:rPr>
          <w:t>https://www.imb.org.uk/news/mental-health-crisis-forces-prisoners-into-inhumane-isolation/</w:t>
        </w:r>
      </w:hyperlink>
      <w:r w:rsidRPr="009F2C7E">
        <w:rPr>
          <w:rStyle w:val="apple-converted-space"/>
          <w:rFonts w:ascii="Arial" w:eastAsiaTheme="majorEastAsia" w:hAnsi="Arial" w:cs="Arial"/>
          <w:color w:val="000000"/>
        </w:rPr>
        <w:t> </w:t>
      </w:r>
      <w:r w:rsidRPr="009F2C7E">
        <w:rPr>
          <w:rFonts w:ascii="Arial" w:hAnsi="Arial" w:cs="Arial"/>
          <w:color w:val="000000"/>
        </w:rPr>
        <w:t>(Accessed: 3 November 2025).</w:t>
      </w:r>
    </w:p>
    <w:p w14:paraId="7E16A32F" w14:textId="77777777" w:rsidR="000A4DDA" w:rsidRPr="009F2C7E" w:rsidRDefault="000A4DDA" w:rsidP="000A4DDA">
      <w:pPr>
        <w:pStyle w:val="NormalWeb"/>
        <w:spacing w:line="360" w:lineRule="auto"/>
        <w:rPr>
          <w:rFonts w:ascii="Arial" w:hAnsi="Arial" w:cs="Arial"/>
          <w:color w:val="000000"/>
        </w:rPr>
      </w:pPr>
    </w:p>
    <w:p w14:paraId="457F359D"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Institute for Government (2023)</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Performance Tracker 2023: Prisons.</w:t>
      </w:r>
      <w:r w:rsidRPr="009F2C7E">
        <w:rPr>
          <w:rStyle w:val="apple-converted-space"/>
          <w:rFonts w:ascii="Arial" w:eastAsiaTheme="majorEastAsia" w:hAnsi="Arial" w:cs="Arial"/>
          <w:color w:val="000000"/>
        </w:rPr>
        <w:t> </w:t>
      </w:r>
      <w:r w:rsidRPr="009F2C7E">
        <w:rPr>
          <w:rFonts w:ascii="Arial" w:hAnsi="Arial" w:cs="Arial"/>
          <w:color w:val="000000"/>
        </w:rPr>
        <w:t>[online] Available at:</w:t>
      </w:r>
      <w:r w:rsidRPr="009F2C7E">
        <w:rPr>
          <w:rStyle w:val="apple-converted-space"/>
          <w:rFonts w:ascii="Arial" w:eastAsiaTheme="majorEastAsia" w:hAnsi="Arial" w:cs="Arial"/>
          <w:color w:val="000000"/>
        </w:rPr>
        <w:t> </w:t>
      </w:r>
      <w:hyperlink r:id="rId47" w:tgtFrame="_new" w:history="1">
        <w:r w:rsidRPr="009F2C7E">
          <w:rPr>
            <w:rStyle w:val="Hyperlink"/>
            <w:rFonts w:ascii="Arial" w:eastAsiaTheme="majorEastAsia" w:hAnsi="Arial" w:cs="Arial"/>
          </w:rPr>
          <w:t>https://www.instituteforgovernment.org.uk/publication/performance-tracker-2023/prisons</w:t>
        </w:r>
      </w:hyperlink>
      <w:r w:rsidRPr="009F2C7E">
        <w:rPr>
          <w:rStyle w:val="apple-converted-space"/>
          <w:rFonts w:ascii="Arial" w:eastAsiaTheme="majorEastAsia" w:hAnsi="Arial" w:cs="Arial"/>
          <w:color w:val="000000"/>
        </w:rPr>
        <w:t> </w:t>
      </w:r>
      <w:r w:rsidRPr="009F2C7E">
        <w:rPr>
          <w:rFonts w:ascii="Arial" w:hAnsi="Arial" w:cs="Arial"/>
          <w:color w:val="000000"/>
        </w:rPr>
        <w:t>(Accessed: 3 November 2025).</w:t>
      </w:r>
    </w:p>
    <w:p w14:paraId="3C38A552" w14:textId="77777777" w:rsidR="000A4DDA" w:rsidRPr="009F2C7E" w:rsidRDefault="000A4DDA" w:rsidP="000A4DDA">
      <w:pPr>
        <w:pStyle w:val="NormalWeb"/>
        <w:spacing w:line="360" w:lineRule="auto"/>
        <w:rPr>
          <w:rFonts w:ascii="Arial" w:hAnsi="Arial" w:cs="Arial"/>
          <w:color w:val="000000"/>
        </w:rPr>
      </w:pPr>
    </w:p>
    <w:p w14:paraId="642B1A19"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Institute for Government (2024)</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The crisis in prisons.</w:t>
      </w:r>
      <w:r w:rsidRPr="009F2C7E">
        <w:rPr>
          <w:rStyle w:val="apple-converted-space"/>
          <w:rFonts w:ascii="Arial" w:eastAsiaTheme="majorEastAsia" w:hAnsi="Arial" w:cs="Arial"/>
          <w:color w:val="000000"/>
        </w:rPr>
        <w:t> </w:t>
      </w:r>
      <w:r w:rsidRPr="009F2C7E">
        <w:rPr>
          <w:rFonts w:ascii="Arial" w:hAnsi="Arial" w:cs="Arial"/>
          <w:color w:val="000000"/>
        </w:rPr>
        <w:t>[online] Available at:</w:t>
      </w:r>
      <w:r w:rsidRPr="009F2C7E">
        <w:rPr>
          <w:rStyle w:val="apple-converted-space"/>
          <w:rFonts w:ascii="Arial" w:eastAsiaTheme="majorEastAsia" w:hAnsi="Arial" w:cs="Arial"/>
          <w:color w:val="000000"/>
        </w:rPr>
        <w:t> </w:t>
      </w:r>
      <w:hyperlink r:id="rId48" w:tgtFrame="_new" w:history="1">
        <w:r w:rsidRPr="009F2C7E">
          <w:rPr>
            <w:rStyle w:val="Hyperlink"/>
            <w:rFonts w:ascii="Arial" w:eastAsiaTheme="majorEastAsia" w:hAnsi="Arial" w:cs="Arial"/>
          </w:rPr>
          <w:t>https://www.instituteforgovernment.org.uk/publication/crisis-prisons</w:t>
        </w:r>
      </w:hyperlink>
      <w:r w:rsidRPr="009F2C7E">
        <w:rPr>
          <w:rStyle w:val="apple-converted-space"/>
          <w:rFonts w:ascii="Arial" w:eastAsiaTheme="majorEastAsia" w:hAnsi="Arial" w:cs="Arial"/>
          <w:color w:val="000000"/>
        </w:rPr>
        <w:t> </w:t>
      </w:r>
      <w:r w:rsidRPr="009F2C7E">
        <w:rPr>
          <w:rFonts w:ascii="Arial" w:hAnsi="Arial" w:cs="Arial"/>
          <w:color w:val="000000"/>
        </w:rPr>
        <w:t>(Accessed: 29 October 2025).</w:t>
      </w:r>
    </w:p>
    <w:p w14:paraId="64950CB8" w14:textId="77777777" w:rsidR="000A4DDA" w:rsidRPr="009F2C7E" w:rsidRDefault="000A4DDA" w:rsidP="000A4DDA">
      <w:pPr>
        <w:pStyle w:val="NormalWeb"/>
        <w:spacing w:line="360" w:lineRule="auto"/>
        <w:rPr>
          <w:rFonts w:ascii="Arial" w:hAnsi="Arial" w:cs="Arial"/>
          <w:color w:val="000000"/>
        </w:rPr>
      </w:pPr>
    </w:p>
    <w:p w14:paraId="4515CE4D"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 xml:space="preserve">Johnsen, B., </w:t>
      </w:r>
      <w:proofErr w:type="spellStart"/>
      <w:r w:rsidRPr="009F2C7E">
        <w:rPr>
          <w:rStyle w:val="Strong"/>
          <w:rFonts w:ascii="Arial" w:eastAsiaTheme="majorEastAsia" w:hAnsi="Arial" w:cs="Arial"/>
          <w:b w:val="0"/>
          <w:bCs w:val="0"/>
          <w:color w:val="000000"/>
        </w:rPr>
        <w:t>Granheim</w:t>
      </w:r>
      <w:proofErr w:type="spellEnd"/>
      <w:r w:rsidRPr="009F2C7E">
        <w:rPr>
          <w:rStyle w:val="Strong"/>
          <w:rFonts w:ascii="Arial" w:eastAsiaTheme="majorEastAsia" w:hAnsi="Arial" w:cs="Arial"/>
          <w:b w:val="0"/>
          <w:bCs w:val="0"/>
          <w:color w:val="000000"/>
        </w:rPr>
        <w:t xml:space="preserve">, P.K. and </w:t>
      </w:r>
      <w:proofErr w:type="spellStart"/>
      <w:r w:rsidRPr="009F2C7E">
        <w:rPr>
          <w:rStyle w:val="Strong"/>
          <w:rFonts w:ascii="Arial" w:eastAsiaTheme="majorEastAsia" w:hAnsi="Arial" w:cs="Arial"/>
          <w:b w:val="0"/>
          <w:bCs w:val="0"/>
          <w:color w:val="000000"/>
        </w:rPr>
        <w:t>Helgesen</w:t>
      </w:r>
      <w:proofErr w:type="spellEnd"/>
      <w:r w:rsidRPr="009F2C7E">
        <w:rPr>
          <w:rStyle w:val="Strong"/>
          <w:rFonts w:ascii="Arial" w:eastAsiaTheme="majorEastAsia" w:hAnsi="Arial" w:cs="Arial"/>
          <w:b w:val="0"/>
          <w:bCs w:val="0"/>
          <w:color w:val="000000"/>
        </w:rPr>
        <w:t>, J. (2022)</w:t>
      </w:r>
      <w:r w:rsidRPr="009F2C7E">
        <w:rPr>
          <w:rStyle w:val="apple-converted-space"/>
          <w:rFonts w:ascii="Arial" w:eastAsiaTheme="majorEastAsia" w:hAnsi="Arial" w:cs="Arial"/>
          <w:color w:val="000000"/>
        </w:rPr>
        <w:t> </w:t>
      </w:r>
      <w:r w:rsidRPr="009F2C7E">
        <w:rPr>
          <w:rFonts w:ascii="Arial" w:hAnsi="Arial" w:cs="Arial"/>
          <w:color w:val="000000"/>
        </w:rPr>
        <w:t>‘Exceptional prison conditions and the quality of prison life: The case of Norway’,</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European Journal of Criminology,</w:t>
      </w:r>
      <w:r w:rsidRPr="009F2C7E">
        <w:rPr>
          <w:rStyle w:val="apple-converted-space"/>
          <w:rFonts w:ascii="Arial" w:eastAsiaTheme="majorEastAsia" w:hAnsi="Arial" w:cs="Arial"/>
          <w:color w:val="000000"/>
        </w:rPr>
        <w:t> </w:t>
      </w:r>
      <w:r w:rsidRPr="009F2C7E">
        <w:rPr>
          <w:rFonts w:ascii="Arial" w:hAnsi="Arial" w:cs="Arial"/>
          <w:color w:val="000000"/>
        </w:rPr>
        <w:t>19(5), pp. 1090–1108.</w:t>
      </w:r>
      <w:r w:rsidRPr="009F2C7E">
        <w:rPr>
          <w:rStyle w:val="apple-converted-space"/>
          <w:rFonts w:ascii="Arial" w:eastAsiaTheme="majorEastAsia" w:hAnsi="Arial" w:cs="Arial"/>
          <w:color w:val="000000"/>
        </w:rPr>
        <w:t> </w:t>
      </w:r>
      <w:hyperlink r:id="rId49" w:history="1">
        <w:r w:rsidRPr="009F2C7E">
          <w:rPr>
            <w:rStyle w:val="Hyperlink"/>
            <w:rFonts w:ascii="Arial" w:hAnsi="Arial" w:cs="Arial"/>
          </w:rPr>
          <w:t>https://doi.org/10.1177/1477370820941398</w:t>
        </w:r>
      </w:hyperlink>
      <w:r w:rsidRPr="009F2C7E">
        <w:rPr>
          <w:rFonts w:ascii="Arial" w:hAnsi="Arial" w:cs="Arial"/>
          <w:color w:val="000000"/>
        </w:rPr>
        <w:t>.</w:t>
      </w:r>
    </w:p>
    <w:p w14:paraId="7098498B" w14:textId="77777777" w:rsidR="000A4DDA" w:rsidRPr="009F2C7E" w:rsidRDefault="000A4DDA" w:rsidP="000A4DDA">
      <w:pPr>
        <w:pStyle w:val="NormalWeb"/>
        <w:spacing w:line="360" w:lineRule="auto"/>
        <w:rPr>
          <w:rFonts w:ascii="Arial" w:hAnsi="Arial" w:cs="Arial"/>
          <w:color w:val="000000"/>
        </w:rPr>
      </w:pPr>
    </w:p>
    <w:p w14:paraId="1D4A5714" w14:textId="77777777" w:rsidR="000A4DDA" w:rsidRPr="009F2C7E" w:rsidRDefault="000A4DDA" w:rsidP="000A4DDA">
      <w:pPr>
        <w:pStyle w:val="NormalWeb"/>
        <w:spacing w:line="360" w:lineRule="auto"/>
        <w:rPr>
          <w:rFonts w:ascii="Arial" w:hAnsi="Arial" w:cs="Arial"/>
          <w:color w:val="000000"/>
        </w:rPr>
      </w:pPr>
      <w:proofErr w:type="spellStart"/>
      <w:r w:rsidRPr="009F2C7E">
        <w:rPr>
          <w:rStyle w:val="Strong"/>
          <w:rFonts w:ascii="Arial" w:eastAsiaTheme="majorEastAsia" w:hAnsi="Arial" w:cs="Arial"/>
          <w:b w:val="0"/>
          <w:bCs w:val="0"/>
          <w:color w:val="000000"/>
        </w:rPr>
        <w:t>Karamalidou</w:t>
      </w:r>
      <w:proofErr w:type="spellEnd"/>
      <w:r w:rsidRPr="009F2C7E">
        <w:rPr>
          <w:rStyle w:val="Strong"/>
          <w:rFonts w:ascii="Arial" w:eastAsiaTheme="majorEastAsia" w:hAnsi="Arial" w:cs="Arial"/>
          <w:b w:val="0"/>
          <w:bCs w:val="0"/>
          <w:color w:val="000000"/>
        </w:rPr>
        <w:t>, A. (2022)</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Challenges in Criminal Justice.</w:t>
      </w:r>
      <w:r w:rsidRPr="009F2C7E">
        <w:rPr>
          <w:rStyle w:val="apple-converted-space"/>
          <w:rFonts w:ascii="Arial" w:eastAsiaTheme="majorEastAsia" w:hAnsi="Arial" w:cs="Arial"/>
          <w:color w:val="000000"/>
        </w:rPr>
        <w:t> </w:t>
      </w:r>
      <w:r w:rsidRPr="009F2C7E">
        <w:rPr>
          <w:rFonts w:ascii="Arial" w:hAnsi="Arial" w:cs="Arial"/>
          <w:color w:val="000000"/>
        </w:rPr>
        <w:t xml:space="preserve">1st </w:t>
      </w:r>
      <w:proofErr w:type="spellStart"/>
      <w:r w:rsidRPr="009F2C7E">
        <w:rPr>
          <w:rFonts w:ascii="Arial" w:hAnsi="Arial" w:cs="Arial"/>
          <w:color w:val="000000"/>
        </w:rPr>
        <w:t>edn</w:t>
      </w:r>
      <w:proofErr w:type="spellEnd"/>
      <w:r w:rsidRPr="009F2C7E">
        <w:rPr>
          <w:rFonts w:ascii="Arial" w:hAnsi="Arial" w:cs="Arial"/>
          <w:color w:val="000000"/>
        </w:rPr>
        <w:t>. London: Routledge.</w:t>
      </w:r>
    </w:p>
    <w:p w14:paraId="47FB5E3A" w14:textId="77777777" w:rsidR="000A4DDA" w:rsidRPr="009F2C7E" w:rsidRDefault="000A4DDA" w:rsidP="000A4DDA">
      <w:pPr>
        <w:pStyle w:val="NormalWeb"/>
        <w:spacing w:line="360" w:lineRule="auto"/>
        <w:rPr>
          <w:rFonts w:ascii="Arial" w:hAnsi="Arial" w:cs="Arial"/>
          <w:color w:val="000000"/>
        </w:rPr>
      </w:pPr>
    </w:p>
    <w:p w14:paraId="115AA73F"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Khan, F. (2025)</w:t>
      </w:r>
      <w:r w:rsidRPr="009F2C7E">
        <w:rPr>
          <w:rStyle w:val="apple-converted-space"/>
          <w:rFonts w:ascii="Arial" w:eastAsiaTheme="majorEastAsia" w:hAnsi="Arial" w:cs="Arial"/>
          <w:color w:val="000000"/>
        </w:rPr>
        <w:t> </w:t>
      </w:r>
      <w:r w:rsidRPr="009F2C7E">
        <w:rPr>
          <w:rFonts w:ascii="Arial" w:hAnsi="Arial" w:cs="Arial"/>
          <w:color w:val="000000"/>
        </w:rPr>
        <w:t>‘Right of prisoners: The case of solitary confinement in the US’,</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SSRN Electronic Journal.</w:t>
      </w:r>
      <w:r w:rsidRPr="009F2C7E">
        <w:rPr>
          <w:rStyle w:val="apple-converted-space"/>
          <w:rFonts w:ascii="Arial" w:eastAsiaTheme="majorEastAsia" w:hAnsi="Arial" w:cs="Arial"/>
          <w:color w:val="000000"/>
        </w:rPr>
        <w:t> </w:t>
      </w:r>
      <w:r w:rsidRPr="009F2C7E">
        <w:rPr>
          <w:rFonts w:ascii="Arial" w:hAnsi="Arial" w:cs="Arial"/>
          <w:color w:val="000000"/>
        </w:rPr>
        <w:t>Available at:</w:t>
      </w:r>
      <w:r w:rsidRPr="009F2C7E">
        <w:rPr>
          <w:rStyle w:val="apple-converted-space"/>
          <w:rFonts w:ascii="Arial" w:eastAsiaTheme="majorEastAsia" w:hAnsi="Arial" w:cs="Arial"/>
          <w:color w:val="000000"/>
        </w:rPr>
        <w:t> </w:t>
      </w:r>
      <w:hyperlink r:id="rId50" w:tgtFrame="_new" w:history="1">
        <w:r w:rsidRPr="009F2C7E">
          <w:rPr>
            <w:rStyle w:val="Hyperlink"/>
            <w:rFonts w:ascii="Arial" w:eastAsiaTheme="majorEastAsia" w:hAnsi="Arial" w:cs="Arial"/>
          </w:rPr>
          <w:t>https://papers.ssrn.com/sol3/papers.cfm?abstract_id=5345844</w:t>
        </w:r>
      </w:hyperlink>
      <w:r w:rsidRPr="009F2C7E">
        <w:rPr>
          <w:rStyle w:val="apple-converted-space"/>
          <w:rFonts w:ascii="Arial" w:eastAsiaTheme="majorEastAsia" w:hAnsi="Arial" w:cs="Arial"/>
          <w:color w:val="000000"/>
        </w:rPr>
        <w:t> </w:t>
      </w:r>
      <w:r w:rsidRPr="009F2C7E">
        <w:rPr>
          <w:rFonts w:ascii="Arial" w:hAnsi="Arial" w:cs="Arial"/>
          <w:color w:val="000000"/>
        </w:rPr>
        <w:t>(Accessed: 3 November 2025).</w:t>
      </w:r>
    </w:p>
    <w:p w14:paraId="5DCEDCFF" w14:textId="77777777" w:rsidR="000A4DDA" w:rsidRPr="009F2C7E" w:rsidRDefault="000A4DDA" w:rsidP="000A4DDA">
      <w:pPr>
        <w:pStyle w:val="NormalWeb"/>
        <w:spacing w:line="360" w:lineRule="auto"/>
        <w:rPr>
          <w:rFonts w:ascii="Arial" w:hAnsi="Arial" w:cs="Arial"/>
          <w:color w:val="000000"/>
        </w:rPr>
      </w:pPr>
    </w:p>
    <w:p w14:paraId="64011CEB"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Liebling, A. (2022)</w:t>
      </w:r>
      <w:r w:rsidRPr="009F2C7E">
        <w:rPr>
          <w:rStyle w:val="apple-converted-space"/>
          <w:rFonts w:ascii="Arial" w:eastAsiaTheme="majorEastAsia" w:hAnsi="Arial" w:cs="Arial"/>
          <w:color w:val="000000"/>
        </w:rPr>
        <w:t> </w:t>
      </w:r>
      <w:r w:rsidRPr="009F2C7E">
        <w:rPr>
          <w:rFonts w:ascii="Arial" w:hAnsi="Arial" w:cs="Arial"/>
          <w:color w:val="000000"/>
        </w:rPr>
        <w:t xml:space="preserve">‘Penal legitimacy, well-being, and trust: The role of empirical research in “morally serious” work’, in Liebling, A., </w:t>
      </w:r>
      <w:proofErr w:type="spellStart"/>
      <w:r w:rsidRPr="009F2C7E">
        <w:rPr>
          <w:rFonts w:ascii="Arial" w:hAnsi="Arial" w:cs="Arial"/>
          <w:color w:val="000000"/>
        </w:rPr>
        <w:t>Shapland</w:t>
      </w:r>
      <w:proofErr w:type="spellEnd"/>
      <w:r w:rsidRPr="009F2C7E">
        <w:rPr>
          <w:rFonts w:ascii="Arial" w:hAnsi="Arial" w:cs="Arial"/>
          <w:color w:val="000000"/>
        </w:rPr>
        <w:t xml:space="preserve">, J., Sparks, R. and </w:t>
      </w:r>
      <w:proofErr w:type="spellStart"/>
      <w:r w:rsidRPr="009F2C7E">
        <w:rPr>
          <w:rFonts w:ascii="Arial" w:hAnsi="Arial" w:cs="Arial"/>
          <w:color w:val="000000"/>
        </w:rPr>
        <w:t>Tankebe</w:t>
      </w:r>
      <w:proofErr w:type="spellEnd"/>
      <w:r w:rsidRPr="009F2C7E">
        <w:rPr>
          <w:rFonts w:ascii="Arial" w:hAnsi="Arial" w:cs="Arial"/>
          <w:color w:val="000000"/>
        </w:rPr>
        <w:t>, J. (eds)</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Crime, Justice and Social Order: Essays in Honour of A. E. Bottoms.</w:t>
      </w:r>
      <w:r w:rsidRPr="009F2C7E">
        <w:rPr>
          <w:rStyle w:val="apple-converted-space"/>
          <w:rFonts w:ascii="Arial" w:eastAsiaTheme="majorEastAsia" w:hAnsi="Arial" w:cs="Arial"/>
          <w:color w:val="000000"/>
        </w:rPr>
        <w:t> </w:t>
      </w:r>
      <w:r w:rsidRPr="009F2C7E">
        <w:rPr>
          <w:rFonts w:ascii="Arial" w:hAnsi="Arial" w:cs="Arial"/>
          <w:color w:val="000000"/>
        </w:rPr>
        <w:t>Oxford: Oxford University Press, pp. 273–302.</w:t>
      </w:r>
    </w:p>
    <w:p w14:paraId="19BF4DFF" w14:textId="77777777" w:rsidR="000A4DDA" w:rsidRPr="009F2C7E" w:rsidRDefault="000A4DDA" w:rsidP="000A4DDA">
      <w:pPr>
        <w:pStyle w:val="NormalWeb"/>
        <w:spacing w:line="360" w:lineRule="auto"/>
        <w:rPr>
          <w:rFonts w:ascii="Arial" w:hAnsi="Arial" w:cs="Arial"/>
          <w:color w:val="000000"/>
        </w:rPr>
      </w:pPr>
    </w:p>
    <w:p w14:paraId="5B1FF552"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Loader, I. and Sparks, R. (2013)</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Public Criminology?</w:t>
      </w:r>
      <w:r w:rsidRPr="009F2C7E">
        <w:rPr>
          <w:rStyle w:val="apple-converted-space"/>
          <w:rFonts w:ascii="Arial" w:eastAsiaTheme="majorEastAsia" w:hAnsi="Arial" w:cs="Arial"/>
          <w:color w:val="000000"/>
        </w:rPr>
        <w:t> </w:t>
      </w:r>
      <w:r w:rsidRPr="009F2C7E">
        <w:rPr>
          <w:rFonts w:ascii="Arial" w:hAnsi="Arial" w:cs="Arial"/>
          <w:color w:val="000000"/>
        </w:rPr>
        <w:t>[Preprint].</w:t>
      </w:r>
      <w:r w:rsidRPr="009F2C7E">
        <w:rPr>
          <w:rStyle w:val="apple-converted-space"/>
          <w:rFonts w:ascii="Arial" w:eastAsiaTheme="majorEastAsia" w:hAnsi="Arial" w:cs="Arial"/>
          <w:color w:val="000000"/>
        </w:rPr>
        <w:t> </w:t>
      </w:r>
      <w:hyperlink r:id="rId51" w:history="1">
        <w:r w:rsidRPr="009F2C7E">
          <w:rPr>
            <w:rStyle w:val="Hyperlink"/>
            <w:rFonts w:ascii="Arial" w:hAnsi="Arial" w:cs="Arial"/>
          </w:rPr>
          <w:t>https://doi.org/10.4324/9780203846049</w:t>
        </w:r>
      </w:hyperlink>
      <w:r w:rsidRPr="009F2C7E">
        <w:rPr>
          <w:rFonts w:ascii="Arial" w:hAnsi="Arial" w:cs="Arial"/>
          <w:color w:val="000000"/>
        </w:rPr>
        <w:t>.</w:t>
      </w:r>
    </w:p>
    <w:p w14:paraId="741321C7" w14:textId="77777777" w:rsidR="000A4DDA" w:rsidRPr="009F2C7E" w:rsidRDefault="000A4DDA" w:rsidP="000A4DDA">
      <w:pPr>
        <w:pStyle w:val="NormalWeb"/>
        <w:spacing w:line="360" w:lineRule="auto"/>
        <w:rPr>
          <w:rFonts w:ascii="Arial" w:hAnsi="Arial" w:cs="Arial"/>
          <w:color w:val="000000"/>
        </w:rPr>
      </w:pPr>
    </w:p>
    <w:p w14:paraId="1D03CB14"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Loader, I. and Sparks, R. (2020)</w:t>
      </w:r>
      <w:r w:rsidRPr="009F2C7E">
        <w:rPr>
          <w:rStyle w:val="apple-converted-space"/>
          <w:rFonts w:ascii="Arial" w:eastAsiaTheme="majorEastAsia" w:hAnsi="Arial" w:cs="Arial"/>
          <w:color w:val="000000"/>
        </w:rPr>
        <w:t> </w:t>
      </w:r>
      <w:r w:rsidRPr="009F2C7E">
        <w:rPr>
          <w:rFonts w:ascii="Arial" w:hAnsi="Arial" w:cs="Arial"/>
          <w:color w:val="000000"/>
        </w:rPr>
        <w:t>‘Ideologies and crime: Political ideas and the dynamics of crime control’,</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Criminology &amp; Criminal Justice,</w:t>
      </w:r>
      <w:r w:rsidRPr="009F2C7E">
        <w:rPr>
          <w:rStyle w:val="apple-converted-space"/>
          <w:rFonts w:ascii="Arial" w:eastAsiaTheme="majorEastAsia" w:hAnsi="Arial" w:cs="Arial"/>
          <w:color w:val="000000"/>
        </w:rPr>
        <w:t> </w:t>
      </w:r>
      <w:r w:rsidRPr="009F2C7E">
        <w:rPr>
          <w:rFonts w:ascii="Arial" w:hAnsi="Arial" w:cs="Arial"/>
          <w:color w:val="000000"/>
        </w:rPr>
        <w:t>14(5), pp. 534–551. Available at:</w:t>
      </w:r>
      <w:r w:rsidRPr="009F2C7E">
        <w:rPr>
          <w:rStyle w:val="apple-converted-space"/>
          <w:rFonts w:ascii="Arial" w:eastAsiaTheme="majorEastAsia" w:hAnsi="Arial" w:cs="Arial"/>
          <w:color w:val="000000"/>
        </w:rPr>
        <w:t> </w:t>
      </w:r>
      <w:hyperlink r:id="rId52" w:tgtFrame="_new" w:history="1">
        <w:r w:rsidRPr="009F2C7E">
          <w:rPr>
            <w:rStyle w:val="Hyperlink"/>
            <w:rFonts w:ascii="Arial" w:eastAsiaTheme="majorEastAsia" w:hAnsi="Arial" w:cs="Arial"/>
          </w:rPr>
          <w:t>https://ora.ox.ac.uk/objects/uuid:814a53e7-429a-4365-8dde-5764e9947b10/files/md65c495b42b9c1a282fb615b6afed959</w:t>
        </w:r>
      </w:hyperlink>
      <w:r w:rsidRPr="009F2C7E">
        <w:rPr>
          <w:rStyle w:val="apple-converted-space"/>
          <w:rFonts w:ascii="Arial" w:eastAsiaTheme="majorEastAsia" w:hAnsi="Arial" w:cs="Arial"/>
          <w:color w:val="000000"/>
        </w:rPr>
        <w:t> </w:t>
      </w:r>
      <w:r w:rsidRPr="009F2C7E">
        <w:rPr>
          <w:rFonts w:ascii="Arial" w:hAnsi="Arial" w:cs="Arial"/>
          <w:color w:val="000000"/>
        </w:rPr>
        <w:t>(Accessed: 3 November 2025).</w:t>
      </w:r>
    </w:p>
    <w:p w14:paraId="35927471" w14:textId="77777777" w:rsidR="000A4DDA" w:rsidRPr="009F2C7E" w:rsidRDefault="000A4DDA" w:rsidP="000A4DDA">
      <w:pPr>
        <w:pStyle w:val="NormalWeb"/>
        <w:spacing w:line="360" w:lineRule="auto"/>
        <w:rPr>
          <w:rFonts w:ascii="Arial" w:hAnsi="Arial" w:cs="Arial"/>
          <w:color w:val="000000"/>
        </w:rPr>
      </w:pPr>
    </w:p>
    <w:p w14:paraId="4E89D30A" w14:textId="77777777" w:rsidR="000A4DDA" w:rsidRPr="009F2C7E" w:rsidRDefault="000A4DDA" w:rsidP="000A4DDA">
      <w:pPr>
        <w:pStyle w:val="NormalWeb"/>
        <w:spacing w:line="360" w:lineRule="auto"/>
        <w:rPr>
          <w:rFonts w:ascii="Arial" w:hAnsi="Arial" w:cs="Arial"/>
          <w:color w:val="000000"/>
        </w:rPr>
      </w:pPr>
      <w:proofErr w:type="spellStart"/>
      <w:r w:rsidRPr="009F2C7E">
        <w:rPr>
          <w:rStyle w:val="Strong"/>
          <w:rFonts w:ascii="Arial" w:eastAsiaTheme="majorEastAsia" w:hAnsi="Arial" w:cs="Arial"/>
          <w:b w:val="0"/>
          <w:bCs w:val="0"/>
          <w:color w:val="000000"/>
        </w:rPr>
        <w:t>Manikis</w:t>
      </w:r>
      <w:proofErr w:type="spellEnd"/>
      <w:r w:rsidRPr="009F2C7E">
        <w:rPr>
          <w:rStyle w:val="Strong"/>
          <w:rFonts w:ascii="Arial" w:eastAsiaTheme="majorEastAsia" w:hAnsi="Arial" w:cs="Arial"/>
          <w:b w:val="0"/>
          <w:bCs w:val="0"/>
          <w:color w:val="000000"/>
        </w:rPr>
        <w:t>, M. (2024)</w:t>
      </w:r>
      <w:r w:rsidRPr="009F2C7E">
        <w:rPr>
          <w:rStyle w:val="apple-converted-space"/>
          <w:rFonts w:ascii="Arial" w:eastAsiaTheme="majorEastAsia" w:hAnsi="Arial" w:cs="Arial"/>
          <w:color w:val="000000"/>
        </w:rPr>
        <w:t> </w:t>
      </w:r>
      <w:r w:rsidRPr="009F2C7E">
        <w:rPr>
          <w:rFonts w:ascii="Arial" w:hAnsi="Arial" w:cs="Arial"/>
          <w:color w:val="000000"/>
        </w:rPr>
        <w:t>‘Solitary confinement as state harm’,</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Punishment &amp; Society,</w:t>
      </w:r>
      <w:r w:rsidRPr="009F2C7E">
        <w:rPr>
          <w:rStyle w:val="apple-converted-space"/>
          <w:rFonts w:ascii="Arial" w:eastAsiaTheme="majorEastAsia" w:hAnsi="Arial" w:cs="Arial"/>
          <w:color w:val="000000"/>
        </w:rPr>
        <w:t> </w:t>
      </w:r>
      <w:r w:rsidRPr="009F2C7E">
        <w:rPr>
          <w:rFonts w:ascii="Arial" w:hAnsi="Arial" w:cs="Arial"/>
          <w:color w:val="000000"/>
        </w:rPr>
        <w:t>26(1), pp. 145–166.</w:t>
      </w:r>
      <w:r w:rsidRPr="009F2C7E">
        <w:rPr>
          <w:rStyle w:val="apple-converted-space"/>
          <w:rFonts w:ascii="Arial" w:eastAsiaTheme="majorEastAsia" w:hAnsi="Arial" w:cs="Arial"/>
          <w:color w:val="000000"/>
        </w:rPr>
        <w:t> </w:t>
      </w:r>
      <w:hyperlink r:id="rId53" w:history="1">
        <w:r w:rsidRPr="009F2C7E">
          <w:rPr>
            <w:rStyle w:val="Hyperlink"/>
            <w:rFonts w:ascii="Arial" w:hAnsi="Arial" w:cs="Arial"/>
          </w:rPr>
          <w:t>https://doi.org/10.1177/14624745231184077</w:t>
        </w:r>
      </w:hyperlink>
      <w:r w:rsidRPr="009F2C7E">
        <w:rPr>
          <w:rFonts w:ascii="Arial" w:hAnsi="Arial" w:cs="Arial"/>
          <w:color w:val="000000"/>
        </w:rPr>
        <w:t>.</w:t>
      </w:r>
    </w:p>
    <w:p w14:paraId="1872051F" w14:textId="77777777" w:rsidR="000A4DDA" w:rsidRPr="009F2C7E" w:rsidRDefault="000A4DDA" w:rsidP="000A4DDA">
      <w:pPr>
        <w:pStyle w:val="NormalWeb"/>
        <w:spacing w:line="360" w:lineRule="auto"/>
        <w:rPr>
          <w:rFonts w:ascii="Arial" w:hAnsi="Arial" w:cs="Arial"/>
          <w:color w:val="000000"/>
        </w:rPr>
      </w:pPr>
    </w:p>
    <w:p w14:paraId="693B2B9C" w14:textId="77777777" w:rsidR="000A4DDA" w:rsidRPr="009F2C7E" w:rsidRDefault="000A4DDA" w:rsidP="000A4DDA">
      <w:pPr>
        <w:pStyle w:val="NormalWeb"/>
        <w:spacing w:line="360" w:lineRule="auto"/>
        <w:rPr>
          <w:rFonts w:ascii="Arial" w:hAnsi="Arial" w:cs="Arial"/>
          <w:color w:val="000000"/>
        </w:rPr>
      </w:pPr>
      <w:proofErr w:type="spellStart"/>
      <w:r w:rsidRPr="009F2C7E">
        <w:rPr>
          <w:rStyle w:val="Strong"/>
          <w:rFonts w:ascii="Arial" w:eastAsiaTheme="majorEastAsia" w:hAnsi="Arial" w:cs="Arial"/>
          <w:b w:val="0"/>
          <w:bCs w:val="0"/>
          <w:color w:val="000000"/>
        </w:rPr>
        <w:t>Maruna</w:t>
      </w:r>
      <w:proofErr w:type="spellEnd"/>
      <w:r w:rsidRPr="009F2C7E">
        <w:rPr>
          <w:rStyle w:val="Strong"/>
          <w:rFonts w:ascii="Arial" w:eastAsiaTheme="majorEastAsia" w:hAnsi="Arial" w:cs="Arial"/>
          <w:b w:val="0"/>
          <w:bCs w:val="0"/>
          <w:color w:val="000000"/>
        </w:rPr>
        <w:t>, S. (2017)</w:t>
      </w:r>
      <w:r w:rsidRPr="009F2C7E">
        <w:rPr>
          <w:rStyle w:val="apple-converted-space"/>
          <w:rFonts w:ascii="Arial" w:eastAsiaTheme="majorEastAsia" w:hAnsi="Arial" w:cs="Arial"/>
          <w:color w:val="000000"/>
        </w:rPr>
        <w:t> </w:t>
      </w:r>
      <w:r w:rsidRPr="009F2C7E">
        <w:rPr>
          <w:rFonts w:ascii="Arial" w:hAnsi="Arial" w:cs="Arial"/>
          <w:color w:val="000000"/>
        </w:rPr>
        <w:t>‘Going straight: Desistance from crime and life narratives of reform’, in</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The Termination of Criminal Careers.</w:t>
      </w:r>
      <w:r w:rsidRPr="009F2C7E">
        <w:rPr>
          <w:rStyle w:val="apple-converted-space"/>
          <w:rFonts w:ascii="Arial" w:eastAsiaTheme="majorEastAsia" w:hAnsi="Arial" w:cs="Arial"/>
          <w:color w:val="000000"/>
        </w:rPr>
        <w:t> </w:t>
      </w:r>
      <w:r w:rsidRPr="009F2C7E">
        <w:rPr>
          <w:rFonts w:ascii="Arial" w:hAnsi="Arial" w:cs="Arial"/>
          <w:color w:val="000000"/>
        </w:rPr>
        <w:t>pp. 175–210.</w:t>
      </w:r>
      <w:r w:rsidRPr="009F2C7E">
        <w:rPr>
          <w:rStyle w:val="apple-converted-space"/>
          <w:rFonts w:ascii="Arial" w:eastAsiaTheme="majorEastAsia" w:hAnsi="Arial" w:cs="Arial"/>
          <w:color w:val="000000"/>
        </w:rPr>
        <w:t> </w:t>
      </w:r>
      <w:hyperlink r:id="rId54" w:history="1">
        <w:r w:rsidRPr="009F2C7E">
          <w:rPr>
            <w:rStyle w:val="Hyperlink"/>
            <w:rFonts w:ascii="Arial" w:hAnsi="Arial" w:cs="Arial"/>
          </w:rPr>
          <w:t>https://doi.org/10.4324/9781315085081-13</w:t>
        </w:r>
      </w:hyperlink>
      <w:r w:rsidRPr="009F2C7E">
        <w:rPr>
          <w:rFonts w:ascii="Arial" w:hAnsi="Arial" w:cs="Arial"/>
          <w:color w:val="000000"/>
        </w:rPr>
        <w:t>.</w:t>
      </w:r>
    </w:p>
    <w:p w14:paraId="1E04E61A" w14:textId="77777777" w:rsidR="000A4DDA" w:rsidRPr="009F2C7E" w:rsidRDefault="000A4DDA" w:rsidP="000A4DDA">
      <w:pPr>
        <w:pStyle w:val="NormalWeb"/>
        <w:spacing w:line="360" w:lineRule="auto"/>
        <w:rPr>
          <w:rFonts w:ascii="Arial" w:hAnsi="Arial" w:cs="Arial"/>
          <w:color w:val="000000"/>
        </w:rPr>
      </w:pPr>
    </w:p>
    <w:p w14:paraId="3CFC3289"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Ministry of Justice (2018)</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Female Offender Strategy.</w:t>
      </w:r>
      <w:r w:rsidRPr="009F2C7E">
        <w:rPr>
          <w:rStyle w:val="apple-converted-space"/>
          <w:rFonts w:ascii="Arial" w:eastAsiaTheme="majorEastAsia" w:hAnsi="Arial" w:cs="Arial"/>
          <w:color w:val="000000"/>
        </w:rPr>
        <w:t> </w:t>
      </w:r>
      <w:r w:rsidRPr="009F2C7E">
        <w:rPr>
          <w:rFonts w:ascii="Arial" w:hAnsi="Arial" w:cs="Arial"/>
          <w:color w:val="000000"/>
        </w:rPr>
        <w:t>London: Ministry of Justice. Available at:</w:t>
      </w:r>
      <w:r w:rsidRPr="009F2C7E">
        <w:rPr>
          <w:rStyle w:val="apple-converted-space"/>
          <w:rFonts w:ascii="Arial" w:eastAsiaTheme="majorEastAsia" w:hAnsi="Arial" w:cs="Arial"/>
          <w:color w:val="000000"/>
        </w:rPr>
        <w:t> </w:t>
      </w:r>
      <w:hyperlink r:id="rId55" w:tgtFrame="_new" w:history="1">
        <w:r w:rsidRPr="009F2C7E">
          <w:rPr>
            <w:rStyle w:val="Hyperlink"/>
            <w:rFonts w:ascii="Arial" w:eastAsiaTheme="majorEastAsia" w:hAnsi="Arial" w:cs="Arial"/>
          </w:rPr>
          <w:t>https://assets.publishing.service.gov.uk/government/uploads/system/uploads/atta</w:t>
        </w:r>
        <w:r w:rsidRPr="009F2C7E">
          <w:rPr>
            <w:rStyle w:val="Hyperlink"/>
            <w:rFonts w:ascii="Arial" w:eastAsiaTheme="majorEastAsia" w:hAnsi="Arial" w:cs="Arial"/>
          </w:rPr>
          <w:lastRenderedPageBreak/>
          <w:t>chment_data/file/719819/female-offender-strategy.pdf</w:t>
        </w:r>
      </w:hyperlink>
      <w:r w:rsidRPr="009F2C7E">
        <w:rPr>
          <w:rStyle w:val="apple-converted-space"/>
          <w:rFonts w:ascii="Arial" w:eastAsiaTheme="majorEastAsia" w:hAnsi="Arial" w:cs="Arial"/>
          <w:color w:val="000000"/>
        </w:rPr>
        <w:t> </w:t>
      </w:r>
      <w:r w:rsidRPr="009F2C7E">
        <w:rPr>
          <w:rFonts w:ascii="Arial" w:hAnsi="Arial" w:cs="Arial"/>
          <w:color w:val="000000"/>
        </w:rPr>
        <w:t>(Accessed: 3 November 2025).</w:t>
      </w:r>
    </w:p>
    <w:p w14:paraId="322B895D" w14:textId="77777777" w:rsidR="000A4DDA" w:rsidRPr="009F2C7E" w:rsidRDefault="000A4DDA" w:rsidP="000A4DDA">
      <w:pPr>
        <w:pStyle w:val="NormalWeb"/>
        <w:spacing w:line="360" w:lineRule="auto"/>
        <w:rPr>
          <w:rFonts w:ascii="Arial" w:hAnsi="Arial" w:cs="Arial"/>
          <w:color w:val="000000"/>
        </w:rPr>
      </w:pPr>
    </w:p>
    <w:p w14:paraId="4B417539"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Ministry of Justice (2021)</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Prisons Strategy White Paper.</w:t>
      </w:r>
      <w:r w:rsidRPr="009F2C7E">
        <w:rPr>
          <w:rStyle w:val="apple-converted-space"/>
          <w:rFonts w:ascii="Arial" w:eastAsiaTheme="majorEastAsia" w:hAnsi="Arial" w:cs="Arial"/>
          <w:color w:val="000000"/>
        </w:rPr>
        <w:t> </w:t>
      </w:r>
      <w:r w:rsidRPr="009F2C7E">
        <w:rPr>
          <w:rFonts w:ascii="Arial" w:hAnsi="Arial" w:cs="Arial"/>
          <w:color w:val="000000"/>
        </w:rPr>
        <w:t>CP 581. [online] Available at:</w:t>
      </w:r>
      <w:r w:rsidRPr="009F2C7E">
        <w:rPr>
          <w:rStyle w:val="apple-converted-space"/>
          <w:rFonts w:ascii="Arial" w:eastAsiaTheme="majorEastAsia" w:hAnsi="Arial" w:cs="Arial"/>
          <w:color w:val="000000"/>
        </w:rPr>
        <w:t> </w:t>
      </w:r>
      <w:hyperlink r:id="rId56" w:tgtFrame="_new" w:history="1">
        <w:r w:rsidRPr="009F2C7E">
          <w:rPr>
            <w:rStyle w:val="Hyperlink"/>
            <w:rFonts w:ascii="Arial" w:eastAsiaTheme="majorEastAsia" w:hAnsi="Arial" w:cs="Arial"/>
          </w:rPr>
          <w:t>https://assets.publishing.service.gov.uk/media/61af18e38fa8f5037e8ccc47/prisons-strategy-white-paper.pdf</w:t>
        </w:r>
      </w:hyperlink>
      <w:r w:rsidRPr="009F2C7E">
        <w:rPr>
          <w:rFonts w:ascii="Arial" w:hAnsi="Arial" w:cs="Arial"/>
          <w:color w:val="000000"/>
        </w:rPr>
        <w:t>(Accessed: 3 November 2025).</w:t>
      </w:r>
    </w:p>
    <w:p w14:paraId="293AEDA4" w14:textId="77777777" w:rsidR="000A4DDA" w:rsidRPr="009F2C7E" w:rsidRDefault="000A4DDA" w:rsidP="000A4DDA">
      <w:pPr>
        <w:pStyle w:val="NormalWeb"/>
        <w:spacing w:line="360" w:lineRule="auto"/>
        <w:rPr>
          <w:rFonts w:ascii="Arial" w:hAnsi="Arial" w:cs="Arial"/>
          <w:color w:val="000000"/>
        </w:rPr>
      </w:pPr>
    </w:p>
    <w:p w14:paraId="54BB6F90"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Ministry of Justice (2023)</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Female Offender Strategy Delivery Plan 2023–2025.</w:t>
      </w:r>
      <w:r w:rsidRPr="009F2C7E">
        <w:rPr>
          <w:rStyle w:val="apple-converted-space"/>
          <w:rFonts w:ascii="Arial" w:eastAsiaTheme="majorEastAsia" w:hAnsi="Arial" w:cs="Arial"/>
          <w:color w:val="000000"/>
        </w:rPr>
        <w:t> </w:t>
      </w:r>
      <w:r w:rsidRPr="009F2C7E">
        <w:rPr>
          <w:rFonts w:ascii="Arial" w:hAnsi="Arial" w:cs="Arial"/>
          <w:color w:val="000000"/>
        </w:rPr>
        <w:t>London: Ministry of Justice. Available at:</w:t>
      </w:r>
      <w:r w:rsidRPr="009F2C7E">
        <w:rPr>
          <w:rStyle w:val="apple-converted-space"/>
          <w:rFonts w:ascii="Arial" w:eastAsiaTheme="majorEastAsia" w:hAnsi="Arial" w:cs="Arial"/>
          <w:color w:val="000000"/>
        </w:rPr>
        <w:t> </w:t>
      </w:r>
      <w:hyperlink r:id="rId57" w:tgtFrame="_new" w:history="1">
        <w:r w:rsidRPr="009F2C7E">
          <w:rPr>
            <w:rStyle w:val="Hyperlink"/>
            <w:rFonts w:ascii="Arial" w:eastAsiaTheme="majorEastAsia" w:hAnsi="Arial" w:cs="Arial"/>
          </w:rPr>
          <w:t>https://assets.publishing.service.gov.uk/government/uploads/system/uploads/attachment_data/file/1137742/female-offender-strategy-delivery-plan-2023-to-2025.pdf</w:t>
        </w:r>
      </w:hyperlink>
      <w:r w:rsidRPr="009F2C7E">
        <w:rPr>
          <w:rStyle w:val="apple-converted-space"/>
          <w:rFonts w:ascii="Arial" w:eastAsiaTheme="majorEastAsia" w:hAnsi="Arial" w:cs="Arial"/>
          <w:color w:val="000000"/>
        </w:rPr>
        <w:t> </w:t>
      </w:r>
      <w:r w:rsidRPr="009F2C7E">
        <w:rPr>
          <w:rFonts w:ascii="Arial" w:hAnsi="Arial" w:cs="Arial"/>
          <w:color w:val="000000"/>
        </w:rPr>
        <w:t>(Accessed: 3 November 2025).</w:t>
      </w:r>
    </w:p>
    <w:p w14:paraId="35B3CFFD" w14:textId="77777777" w:rsidR="000A4DDA" w:rsidRPr="009F2C7E" w:rsidRDefault="000A4DDA" w:rsidP="000A4DDA">
      <w:pPr>
        <w:pStyle w:val="NormalWeb"/>
        <w:spacing w:line="360" w:lineRule="auto"/>
        <w:rPr>
          <w:rFonts w:ascii="Arial" w:hAnsi="Arial" w:cs="Arial"/>
          <w:color w:val="000000"/>
        </w:rPr>
      </w:pPr>
    </w:p>
    <w:p w14:paraId="4E3EED3C"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Ministry of Justice (2024a)</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Prison population projections: 2024 to 2029.</w:t>
      </w:r>
      <w:r w:rsidRPr="009F2C7E">
        <w:rPr>
          <w:rStyle w:val="apple-converted-space"/>
          <w:rFonts w:ascii="Arial" w:eastAsiaTheme="majorEastAsia" w:hAnsi="Arial" w:cs="Arial"/>
          <w:color w:val="000000"/>
        </w:rPr>
        <w:t> </w:t>
      </w:r>
      <w:r w:rsidRPr="009F2C7E">
        <w:rPr>
          <w:rFonts w:ascii="Arial" w:hAnsi="Arial" w:cs="Arial"/>
          <w:color w:val="000000"/>
        </w:rPr>
        <w:t>[online] Available at:</w:t>
      </w:r>
      <w:r w:rsidRPr="009F2C7E">
        <w:rPr>
          <w:rStyle w:val="apple-converted-space"/>
          <w:rFonts w:ascii="Arial" w:eastAsiaTheme="majorEastAsia" w:hAnsi="Arial" w:cs="Arial"/>
          <w:color w:val="000000"/>
        </w:rPr>
        <w:t> </w:t>
      </w:r>
      <w:hyperlink r:id="rId58" w:tgtFrame="_new" w:history="1">
        <w:r w:rsidRPr="009F2C7E">
          <w:rPr>
            <w:rStyle w:val="Hyperlink"/>
            <w:rFonts w:ascii="Arial" w:eastAsiaTheme="majorEastAsia" w:hAnsi="Arial" w:cs="Arial"/>
          </w:rPr>
          <w:t>https://www.gov.uk/government/statistics/prison-population-projections-2024-to-2029/prison-population-projections-2024-to-2029</w:t>
        </w:r>
      </w:hyperlink>
      <w:r w:rsidRPr="009F2C7E">
        <w:rPr>
          <w:rStyle w:val="apple-converted-space"/>
          <w:rFonts w:ascii="Arial" w:eastAsiaTheme="majorEastAsia" w:hAnsi="Arial" w:cs="Arial"/>
          <w:color w:val="000000"/>
        </w:rPr>
        <w:t> </w:t>
      </w:r>
      <w:r w:rsidRPr="009F2C7E">
        <w:rPr>
          <w:rFonts w:ascii="Arial" w:hAnsi="Arial" w:cs="Arial"/>
          <w:color w:val="000000"/>
        </w:rPr>
        <w:t>(Accessed: 17 October 2025).</w:t>
      </w:r>
    </w:p>
    <w:p w14:paraId="5F1FE5D8" w14:textId="77777777" w:rsidR="000A4DDA" w:rsidRPr="009F2C7E" w:rsidRDefault="000A4DDA" w:rsidP="000A4DDA">
      <w:pPr>
        <w:pStyle w:val="NormalWeb"/>
        <w:spacing w:line="360" w:lineRule="auto"/>
        <w:rPr>
          <w:rFonts w:ascii="Arial" w:hAnsi="Arial" w:cs="Arial"/>
          <w:color w:val="000000"/>
        </w:rPr>
      </w:pPr>
    </w:p>
    <w:p w14:paraId="65C18182"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Ministry of Justice (2024b)</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Prisons Strategy White Paper.</w:t>
      </w:r>
      <w:r w:rsidRPr="009F2C7E">
        <w:rPr>
          <w:rStyle w:val="apple-converted-space"/>
          <w:rFonts w:ascii="Arial" w:eastAsiaTheme="majorEastAsia" w:hAnsi="Arial" w:cs="Arial"/>
          <w:color w:val="000000"/>
        </w:rPr>
        <w:t> </w:t>
      </w:r>
      <w:r w:rsidRPr="009F2C7E">
        <w:rPr>
          <w:rFonts w:ascii="Arial" w:hAnsi="Arial" w:cs="Arial"/>
          <w:color w:val="000000"/>
        </w:rPr>
        <w:t>CP 581. [online] Available at:</w:t>
      </w:r>
      <w:r w:rsidRPr="009F2C7E">
        <w:rPr>
          <w:rStyle w:val="apple-converted-space"/>
          <w:rFonts w:ascii="Arial" w:eastAsiaTheme="majorEastAsia" w:hAnsi="Arial" w:cs="Arial"/>
          <w:color w:val="000000"/>
        </w:rPr>
        <w:t> </w:t>
      </w:r>
      <w:hyperlink r:id="rId59" w:tgtFrame="_new" w:history="1">
        <w:r w:rsidRPr="009F2C7E">
          <w:rPr>
            <w:rStyle w:val="Hyperlink"/>
            <w:rFonts w:ascii="Arial" w:eastAsiaTheme="majorEastAsia" w:hAnsi="Arial" w:cs="Arial"/>
          </w:rPr>
          <w:t>https://assets.publishing.service.gov.uk/media/61af18e38fa8f5037e8ccc47/prisons-strategy-white-paper.pdf</w:t>
        </w:r>
      </w:hyperlink>
      <w:r w:rsidRPr="009F2C7E">
        <w:rPr>
          <w:rFonts w:ascii="Arial" w:hAnsi="Arial" w:cs="Arial"/>
          <w:color w:val="000000"/>
        </w:rPr>
        <w:t>(Accessed: 25 October 2025).</w:t>
      </w:r>
    </w:p>
    <w:p w14:paraId="4B924399" w14:textId="77777777" w:rsidR="000A4DDA" w:rsidRPr="009F2C7E" w:rsidRDefault="000A4DDA" w:rsidP="000A4DDA">
      <w:pPr>
        <w:pStyle w:val="NormalWeb"/>
        <w:spacing w:line="360" w:lineRule="auto"/>
        <w:rPr>
          <w:rFonts w:ascii="Arial" w:hAnsi="Arial" w:cs="Arial"/>
          <w:color w:val="000000"/>
        </w:rPr>
      </w:pPr>
    </w:p>
    <w:p w14:paraId="45382996"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Ministry of Justice (2025)</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Reduce reoffending: Proven reoffending statistics Apr–Jun 2020 cohort.</w:t>
      </w:r>
      <w:r w:rsidRPr="009F2C7E">
        <w:rPr>
          <w:rStyle w:val="apple-converted-space"/>
          <w:rFonts w:ascii="Arial" w:eastAsiaTheme="majorEastAsia" w:hAnsi="Arial" w:cs="Arial"/>
          <w:color w:val="000000"/>
        </w:rPr>
        <w:t> </w:t>
      </w:r>
      <w:r w:rsidRPr="009F2C7E">
        <w:rPr>
          <w:rFonts w:ascii="Arial" w:hAnsi="Arial" w:cs="Arial"/>
          <w:color w:val="000000"/>
        </w:rPr>
        <w:t>[online] Available at:</w:t>
      </w:r>
      <w:r w:rsidRPr="009F2C7E">
        <w:rPr>
          <w:rStyle w:val="apple-converted-space"/>
          <w:rFonts w:ascii="Arial" w:eastAsiaTheme="majorEastAsia" w:hAnsi="Arial" w:cs="Arial"/>
          <w:color w:val="000000"/>
        </w:rPr>
        <w:t> </w:t>
      </w:r>
      <w:hyperlink r:id="rId60" w:tgtFrame="_new" w:history="1">
        <w:r w:rsidRPr="009F2C7E">
          <w:rPr>
            <w:rStyle w:val="Hyperlink"/>
            <w:rFonts w:ascii="Arial" w:eastAsiaTheme="majorEastAsia" w:hAnsi="Arial" w:cs="Arial"/>
          </w:rPr>
          <w:t>https://data.justice.gov.uk/justice-in-numbers/jin-reduce-reoffending</w:t>
        </w:r>
      </w:hyperlink>
      <w:r w:rsidRPr="009F2C7E">
        <w:rPr>
          <w:rStyle w:val="apple-converted-space"/>
          <w:rFonts w:ascii="Arial" w:eastAsiaTheme="majorEastAsia" w:hAnsi="Arial" w:cs="Arial"/>
          <w:color w:val="000000"/>
        </w:rPr>
        <w:t> </w:t>
      </w:r>
      <w:r w:rsidRPr="009F2C7E">
        <w:rPr>
          <w:rFonts w:ascii="Arial" w:hAnsi="Arial" w:cs="Arial"/>
          <w:color w:val="000000"/>
        </w:rPr>
        <w:t>(Accessed: 3 November 2025).</w:t>
      </w:r>
    </w:p>
    <w:p w14:paraId="16A033A4" w14:textId="77777777" w:rsidR="000A4DDA" w:rsidRPr="009F2C7E" w:rsidRDefault="000A4DDA" w:rsidP="000A4DDA">
      <w:pPr>
        <w:pStyle w:val="NormalWeb"/>
        <w:spacing w:line="360" w:lineRule="auto"/>
        <w:rPr>
          <w:rFonts w:ascii="Arial" w:hAnsi="Arial" w:cs="Arial"/>
          <w:color w:val="000000"/>
        </w:rPr>
      </w:pPr>
    </w:p>
    <w:p w14:paraId="1AE9CD62" w14:textId="77777777" w:rsidR="000A4DDA" w:rsidRPr="009F2C7E" w:rsidRDefault="000A4DDA" w:rsidP="000A4DDA">
      <w:pPr>
        <w:pStyle w:val="NormalWeb"/>
        <w:spacing w:line="360" w:lineRule="auto"/>
        <w:rPr>
          <w:rFonts w:ascii="Arial" w:hAnsi="Arial" w:cs="Arial"/>
          <w:color w:val="000000"/>
        </w:rPr>
      </w:pPr>
      <w:proofErr w:type="spellStart"/>
      <w:r w:rsidRPr="009F2C7E">
        <w:rPr>
          <w:rFonts w:ascii="Arial" w:hAnsi="Arial" w:cs="Arial"/>
          <w:color w:val="000000"/>
        </w:rPr>
        <w:lastRenderedPageBreak/>
        <w:t>Nacro</w:t>
      </w:r>
      <w:proofErr w:type="spellEnd"/>
      <w:r w:rsidRPr="009F2C7E">
        <w:rPr>
          <w:rFonts w:ascii="Arial" w:hAnsi="Arial" w:cs="Arial"/>
          <w:color w:val="000000"/>
        </w:rPr>
        <w:t xml:space="preserve"> (2023)</w:t>
      </w:r>
      <w:r w:rsidRPr="009F2C7E">
        <w:rPr>
          <w:rStyle w:val="apple-converted-space"/>
          <w:rFonts w:ascii="Arial" w:eastAsiaTheme="majorEastAsia" w:hAnsi="Arial" w:cs="Arial"/>
          <w:color w:val="000000"/>
        </w:rPr>
        <w:t> </w:t>
      </w:r>
      <w:proofErr w:type="spellStart"/>
      <w:r w:rsidRPr="009F2C7E">
        <w:rPr>
          <w:rStyle w:val="Emphasis"/>
          <w:rFonts w:ascii="Arial" w:eastAsiaTheme="majorEastAsia" w:hAnsi="Arial" w:cs="Arial"/>
          <w:color w:val="000000"/>
        </w:rPr>
        <w:t>Nacro</w:t>
      </w:r>
      <w:proofErr w:type="spellEnd"/>
      <w:r w:rsidRPr="009F2C7E">
        <w:rPr>
          <w:rStyle w:val="Emphasis"/>
          <w:rFonts w:ascii="Arial" w:eastAsiaTheme="majorEastAsia" w:hAnsi="Arial" w:cs="Arial"/>
          <w:color w:val="000000"/>
        </w:rPr>
        <w:t xml:space="preserve"> responds: ‘We must be more </w:t>
      </w:r>
      <w:proofErr w:type="gramStart"/>
      <w:r w:rsidRPr="009F2C7E">
        <w:rPr>
          <w:rStyle w:val="Emphasis"/>
          <w:rFonts w:ascii="Arial" w:eastAsiaTheme="majorEastAsia" w:hAnsi="Arial" w:cs="Arial"/>
          <w:color w:val="000000"/>
        </w:rPr>
        <w:t>ambitious’</w:t>
      </w:r>
      <w:proofErr w:type="gramEnd"/>
      <w:r w:rsidRPr="009F2C7E">
        <w:rPr>
          <w:rFonts w:ascii="Arial" w:hAnsi="Arial" w:cs="Arial"/>
          <w:color w:val="000000"/>
        </w:rPr>
        <w:t xml:space="preserve">. 23 May. London: </w:t>
      </w:r>
      <w:proofErr w:type="spellStart"/>
      <w:r w:rsidRPr="009F2C7E">
        <w:rPr>
          <w:rFonts w:ascii="Arial" w:hAnsi="Arial" w:cs="Arial"/>
          <w:color w:val="000000"/>
        </w:rPr>
        <w:t>Nacro</w:t>
      </w:r>
      <w:proofErr w:type="spellEnd"/>
      <w:r w:rsidRPr="009F2C7E">
        <w:rPr>
          <w:rFonts w:ascii="Arial" w:hAnsi="Arial" w:cs="Arial"/>
          <w:color w:val="000000"/>
        </w:rPr>
        <w:t>. Available at:</w:t>
      </w:r>
      <w:r w:rsidRPr="009F2C7E">
        <w:rPr>
          <w:rStyle w:val="apple-converted-space"/>
          <w:rFonts w:ascii="Arial" w:eastAsiaTheme="majorEastAsia" w:hAnsi="Arial" w:cs="Arial"/>
          <w:color w:val="000000"/>
        </w:rPr>
        <w:t> </w:t>
      </w:r>
      <w:hyperlink r:id="rId61" w:tgtFrame="_new" w:history="1">
        <w:r w:rsidRPr="009F2C7E">
          <w:rPr>
            <w:rStyle w:val="Hyperlink"/>
            <w:rFonts w:ascii="Arial" w:eastAsiaTheme="majorEastAsia" w:hAnsi="Arial" w:cs="Arial"/>
          </w:rPr>
          <w:t>https://www.nacro.org.uk/news/nacro-responds-we-must-be-more-ambitious/</w:t>
        </w:r>
      </w:hyperlink>
      <w:r w:rsidRPr="009F2C7E">
        <w:rPr>
          <w:rStyle w:val="apple-converted-space"/>
          <w:rFonts w:ascii="Arial" w:eastAsiaTheme="majorEastAsia" w:hAnsi="Arial" w:cs="Arial"/>
          <w:color w:val="000000"/>
        </w:rPr>
        <w:t> </w:t>
      </w:r>
      <w:r w:rsidRPr="009F2C7E">
        <w:rPr>
          <w:rFonts w:ascii="Arial" w:hAnsi="Arial" w:cs="Arial"/>
          <w:color w:val="000000"/>
        </w:rPr>
        <w:t>(Accessed: 3 November 2025).</w:t>
      </w:r>
    </w:p>
    <w:p w14:paraId="1678E1ED" w14:textId="77777777" w:rsidR="000A4DDA" w:rsidRPr="009F2C7E" w:rsidRDefault="000A4DDA" w:rsidP="000A4DDA">
      <w:pPr>
        <w:pStyle w:val="NormalWeb"/>
        <w:spacing w:line="360" w:lineRule="auto"/>
        <w:rPr>
          <w:rFonts w:ascii="Arial" w:hAnsi="Arial" w:cs="Arial"/>
          <w:color w:val="000000"/>
        </w:rPr>
      </w:pPr>
    </w:p>
    <w:p w14:paraId="367FF2DA" w14:textId="77777777" w:rsidR="000A4DDA" w:rsidRPr="009F2C7E" w:rsidRDefault="000A4DDA" w:rsidP="000A4DDA">
      <w:pPr>
        <w:spacing w:line="360" w:lineRule="auto"/>
        <w:rPr>
          <w:rFonts w:ascii="Arial" w:hAnsi="Arial" w:cs="Arial"/>
          <w:color w:val="000000"/>
        </w:rPr>
      </w:pPr>
      <w:proofErr w:type="spellStart"/>
      <w:r w:rsidRPr="009F2C7E">
        <w:rPr>
          <w:rStyle w:val="Strong"/>
          <w:rFonts w:ascii="Arial" w:eastAsiaTheme="majorEastAsia" w:hAnsi="Arial" w:cs="Arial"/>
          <w:b w:val="0"/>
          <w:bCs w:val="0"/>
          <w:color w:val="000000"/>
        </w:rPr>
        <w:t>Nacro</w:t>
      </w:r>
      <w:proofErr w:type="spellEnd"/>
      <w:r w:rsidRPr="009F2C7E">
        <w:rPr>
          <w:rStyle w:val="Strong"/>
          <w:rFonts w:ascii="Arial" w:eastAsiaTheme="majorEastAsia" w:hAnsi="Arial" w:cs="Arial"/>
          <w:b w:val="0"/>
          <w:bCs w:val="0"/>
          <w:color w:val="000000"/>
        </w:rPr>
        <w:t xml:space="preserve"> (2025)</w:t>
      </w:r>
      <w:r w:rsidRPr="009F2C7E">
        <w:rPr>
          <w:rStyle w:val="apple-converted-space"/>
          <w:rFonts w:ascii="Arial" w:eastAsiaTheme="majorEastAsia" w:hAnsi="Arial" w:cs="Arial"/>
          <w:color w:val="000000"/>
        </w:rPr>
        <w:t> </w:t>
      </w:r>
      <w:proofErr w:type="spellStart"/>
      <w:r w:rsidRPr="009F2C7E">
        <w:rPr>
          <w:rStyle w:val="Emphasis"/>
          <w:rFonts w:ascii="Arial" w:eastAsiaTheme="majorEastAsia" w:hAnsi="Arial" w:cs="Arial"/>
          <w:color w:val="000000"/>
        </w:rPr>
        <w:t>Nacro</w:t>
      </w:r>
      <w:proofErr w:type="spellEnd"/>
      <w:r w:rsidRPr="009F2C7E">
        <w:rPr>
          <w:rStyle w:val="Emphasis"/>
          <w:rFonts w:ascii="Arial" w:eastAsiaTheme="majorEastAsia" w:hAnsi="Arial" w:cs="Arial"/>
          <w:color w:val="000000"/>
        </w:rPr>
        <w:t>: Supporting People to Turn Their Lives Around.</w:t>
      </w:r>
      <w:r w:rsidRPr="009F2C7E">
        <w:rPr>
          <w:rStyle w:val="apple-converted-space"/>
          <w:rFonts w:ascii="Arial" w:eastAsiaTheme="majorEastAsia" w:hAnsi="Arial" w:cs="Arial"/>
          <w:color w:val="000000"/>
        </w:rPr>
        <w:t> </w:t>
      </w:r>
      <w:r w:rsidRPr="009F2C7E">
        <w:rPr>
          <w:rFonts w:ascii="Arial" w:hAnsi="Arial" w:cs="Arial"/>
          <w:color w:val="000000"/>
        </w:rPr>
        <w:t>[online] Available at:</w:t>
      </w:r>
      <w:r w:rsidRPr="009F2C7E">
        <w:rPr>
          <w:rStyle w:val="apple-converted-space"/>
          <w:rFonts w:ascii="Arial" w:eastAsiaTheme="majorEastAsia" w:hAnsi="Arial" w:cs="Arial"/>
          <w:color w:val="000000"/>
        </w:rPr>
        <w:t> </w:t>
      </w:r>
      <w:hyperlink r:id="rId62" w:tgtFrame="_new" w:history="1">
        <w:r w:rsidRPr="009F2C7E">
          <w:rPr>
            <w:rStyle w:val="Hyperlink"/>
            <w:rFonts w:ascii="Arial" w:eastAsiaTheme="majorEastAsia" w:hAnsi="Arial" w:cs="Arial"/>
          </w:rPr>
          <w:t>https://www.nacro.org.uk/</w:t>
        </w:r>
      </w:hyperlink>
      <w:r w:rsidRPr="009F2C7E">
        <w:rPr>
          <w:rFonts w:ascii="Arial" w:hAnsi="Arial" w:cs="Arial"/>
          <w:color w:val="000000"/>
        </w:rPr>
        <w:t>(Accessed: 3 November 2025).</w:t>
      </w:r>
    </w:p>
    <w:p w14:paraId="6594600C" w14:textId="77777777" w:rsidR="000A4DDA" w:rsidRPr="009F2C7E" w:rsidRDefault="000A4DDA" w:rsidP="000A4DDA">
      <w:pPr>
        <w:spacing w:line="360" w:lineRule="auto"/>
        <w:rPr>
          <w:rFonts w:ascii="Arial" w:hAnsi="Arial" w:cs="Arial"/>
          <w:color w:val="000000"/>
        </w:rPr>
      </w:pPr>
    </w:p>
    <w:p w14:paraId="083597CF" w14:textId="77777777" w:rsidR="000A4DDA" w:rsidRPr="009F2C7E" w:rsidRDefault="000A4DDA" w:rsidP="000A4DDA">
      <w:pPr>
        <w:spacing w:line="360" w:lineRule="auto"/>
        <w:rPr>
          <w:rFonts w:ascii="Arial" w:hAnsi="Arial" w:cs="Arial"/>
          <w:color w:val="000000"/>
        </w:rPr>
      </w:pPr>
      <w:r w:rsidRPr="009F2C7E">
        <w:rPr>
          <w:rStyle w:val="Strong"/>
          <w:rFonts w:ascii="Arial" w:eastAsiaTheme="majorEastAsia" w:hAnsi="Arial" w:cs="Arial"/>
          <w:b w:val="0"/>
          <w:bCs w:val="0"/>
          <w:color w:val="000000"/>
        </w:rPr>
        <w:t>National Audit Office (2024)</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Ambition to Reduce Crown Court Backlog No Longer Achievable.</w:t>
      </w:r>
      <w:r w:rsidRPr="009F2C7E">
        <w:rPr>
          <w:rStyle w:val="apple-converted-space"/>
          <w:rFonts w:ascii="Arial" w:eastAsiaTheme="majorEastAsia" w:hAnsi="Arial" w:cs="Arial"/>
          <w:color w:val="000000"/>
        </w:rPr>
        <w:t> </w:t>
      </w:r>
      <w:r w:rsidRPr="009F2C7E">
        <w:rPr>
          <w:rFonts w:ascii="Arial" w:hAnsi="Arial" w:cs="Arial"/>
          <w:color w:val="000000"/>
        </w:rPr>
        <w:t>[online] Available at:</w:t>
      </w:r>
      <w:r w:rsidRPr="009F2C7E">
        <w:rPr>
          <w:rStyle w:val="apple-converted-space"/>
          <w:rFonts w:ascii="Arial" w:eastAsiaTheme="majorEastAsia" w:hAnsi="Arial" w:cs="Arial"/>
          <w:color w:val="000000"/>
        </w:rPr>
        <w:t> </w:t>
      </w:r>
      <w:hyperlink r:id="rId63" w:tgtFrame="_new" w:history="1">
        <w:r w:rsidRPr="009F2C7E">
          <w:rPr>
            <w:rStyle w:val="Hyperlink"/>
            <w:rFonts w:ascii="Arial" w:eastAsiaTheme="majorEastAsia" w:hAnsi="Arial" w:cs="Arial"/>
          </w:rPr>
          <w:t>https://www.nao.org.uk/press-releases/ambition-to-reduce-crown-court-backlog-no-longer-achievable/</w:t>
        </w:r>
      </w:hyperlink>
      <w:r w:rsidRPr="009F2C7E">
        <w:rPr>
          <w:rStyle w:val="apple-converted-space"/>
          <w:rFonts w:ascii="Arial" w:eastAsiaTheme="majorEastAsia" w:hAnsi="Arial" w:cs="Arial"/>
          <w:color w:val="000000"/>
        </w:rPr>
        <w:t> </w:t>
      </w:r>
      <w:r w:rsidRPr="009F2C7E">
        <w:rPr>
          <w:rFonts w:ascii="Arial" w:hAnsi="Arial" w:cs="Arial"/>
          <w:color w:val="000000"/>
        </w:rPr>
        <w:t>(Accessed: 3 November 2025).</w:t>
      </w:r>
    </w:p>
    <w:p w14:paraId="0B0DA5D0" w14:textId="77777777" w:rsidR="000A4DDA" w:rsidRPr="009F2C7E" w:rsidRDefault="000A4DDA" w:rsidP="000A4DDA">
      <w:pPr>
        <w:spacing w:line="360" w:lineRule="auto"/>
        <w:rPr>
          <w:rFonts w:ascii="Arial" w:hAnsi="Arial" w:cs="Arial"/>
          <w:color w:val="000000"/>
        </w:rPr>
      </w:pPr>
    </w:p>
    <w:p w14:paraId="259EC639"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National Audit Office (2025)</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Government Must Actively Manage Plan to Boost Weak Probation Service Performance.</w:t>
      </w:r>
      <w:r w:rsidRPr="009F2C7E">
        <w:rPr>
          <w:rFonts w:ascii="Arial" w:hAnsi="Arial" w:cs="Arial"/>
          <w:color w:val="000000"/>
        </w:rPr>
        <w:t>[online] Available at:</w:t>
      </w:r>
      <w:r w:rsidRPr="009F2C7E">
        <w:rPr>
          <w:rStyle w:val="apple-converted-space"/>
          <w:rFonts w:ascii="Arial" w:eastAsiaTheme="majorEastAsia" w:hAnsi="Arial" w:cs="Arial"/>
          <w:color w:val="000000"/>
        </w:rPr>
        <w:t> </w:t>
      </w:r>
      <w:hyperlink r:id="rId64" w:tgtFrame="_new" w:history="1">
        <w:r w:rsidRPr="009F2C7E">
          <w:rPr>
            <w:rStyle w:val="Hyperlink"/>
            <w:rFonts w:ascii="Arial" w:eastAsiaTheme="majorEastAsia" w:hAnsi="Arial" w:cs="Arial"/>
          </w:rPr>
          <w:t>https://www.nao.org.uk/press-releases/government-must-actively-manage-plan-to-boost-weak-probation-service-performance/</w:t>
        </w:r>
      </w:hyperlink>
      <w:r w:rsidRPr="009F2C7E">
        <w:rPr>
          <w:rStyle w:val="apple-converted-space"/>
          <w:rFonts w:ascii="Arial" w:eastAsiaTheme="majorEastAsia" w:hAnsi="Arial" w:cs="Arial"/>
          <w:color w:val="000000"/>
        </w:rPr>
        <w:t> </w:t>
      </w:r>
      <w:r w:rsidRPr="009F2C7E">
        <w:rPr>
          <w:rFonts w:ascii="Arial" w:hAnsi="Arial" w:cs="Arial"/>
          <w:color w:val="000000"/>
        </w:rPr>
        <w:t>(Accessed: 1 November 2025).</w:t>
      </w:r>
    </w:p>
    <w:p w14:paraId="5727523F" w14:textId="77777777" w:rsidR="000A4DDA" w:rsidRPr="009F2C7E" w:rsidRDefault="000A4DDA" w:rsidP="000A4DDA">
      <w:pPr>
        <w:pStyle w:val="NormalWeb"/>
        <w:spacing w:line="360" w:lineRule="auto"/>
        <w:rPr>
          <w:rFonts w:ascii="Arial" w:hAnsi="Arial" w:cs="Arial"/>
          <w:color w:val="000000"/>
        </w:rPr>
      </w:pPr>
    </w:p>
    <w:p w14:paraId="1A8B170D" w14:textId="77777777" w:rsidR="000A4DDA" w:rsidRPr="009F2C7E" w:rsidRDefault="000A4DDA" w:rsidP="000A4DDA">
      <w:pPr>
        <w:pStyle w:val="NormalWeb"/>
        <w:spacing w:line="360" w:lineRule="auto"/>
        <w:rPr>
          <w:rFonts w:ascii="Arial" w:hAnsi="Arial" w:cs="Arial"/>
          <w:color w:val="000000"/>
        </w:rPr>
      </w:pPr>
    </w:p>
    <w:p w14:paraId="6500113B"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Office of the United Nations High Commissioner for Human Rights (2022)</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Annual Report of the United Nations High Commissioner for Human Rights 2022.</w:t>
      </w:r>
      <w:r w:rsidRPr="009F2C7E">
        <w:rPr>
          <w:rStyle w:val="apple-converted-space"/>
          <w:rFonts w:ascii="Arial" w:eastAsiaTheme="majorEastAsia" w:hAnsi="Arial" w:cs="Arial"/>
          <w:color w:val="000000"/>
        </w:rPr>
        <w:t> </w:t>
      </w:r>
      <w:r w:rsidRPr="009F2C7E">
        <w:rPr>
          <w:rFonts w:ascii="Arial" w:hAnsi="Arial" w:cs="Arial"/>
          <w:color w:val="000000"/>
        </w:rPr>
        <w:t>[online] Available at:</w:t>
      </w:r>
      <w:r w:rsidRPr="009F2C7E">
        <w:rPr>
          <w:rStyle w:val="apple-converted-space"/>
          <w:rFonts w:ascii="Arial" w:eastAsiaTheme="majorEastAsia" w:hAnsi="Arial" w:cs="Arial"/>
          <w:color w:val="000000"/>
        </w:rPr>
        <w:t> </w:t>
      </w:r>
      <w:hyperlink r:id="rId65" w:tgtFrame="_new" w:history="1">
        <w:r w:rsidRPr="009F2C7E">
          <w:rPr>
            <w:rStyle w:val="Hyperlink"/>
            <w:rFonts w:ascii="Arial" w:eastAsiaTheme="majorEastAsia" w:hAnsi="Arial" w:cs="Arial"/>
          </w:rPr>
          <w:t>https://www.ohchr.org/en/publications/annual-report/ohchr-report-2022</w:t>
        </w:r>
      </w:hyperlink>
      <w:r w:rsidRPr="009F2C7E">
        <w:rPr>
          <w:rStyle w:val="apple-converted-space"/>
          <w:rFonts w:ascii="Arial" w:eastAsiaTheme="majorEastAsia" w:hAnsi="Arial" w:cs="Arial"/>
          <w:color w:val="000000"/>
        </w:rPr>
        <w:t> </w:t>
      </w:r>
      <w:r w:rsidRPr="009F2C7E">
        <w:rPr>
          <w:rFonts w:ascii="Arial" w:hAnsi="Arial" w:cs="Arial"/>
          <w:color w:val="000000"/>
        </w:rPr>
        <w:t>(Accessed: 31 October 2025).</w:t>
      </w:r>
    </w:p>
    <w:p w14:paraId="4EA1F786" w14:textId="77777777" w:rsidR="000A4DDA" w:rsidRPr="009F2C7E" w:rsidRDefault="000A4DDA" w:rsidP="000A4DDA">
      <w:pPr>
        <w:pStyle w:val="NormalWeb"/>
        <w:spacing w:line="360" w:lineRule="auto"/>
        <w:rPr>
          <w:rFonts w:ascii="Arial" w:hAnsi="Arial" w:cs="Arial"/>
          <w:color w:val="000000"/>
        </w:rPr>
      </w:pPr>
    </w:p>
    <w:p w14:paraId="36A1A985"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Office of the United Nations High Commissioner for Human Rights (2025)</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Universal Periodic Review: United Kingdom – Fourth Cycle Recommendations.</w:t>
      </w:r>
      <w:r w:rsidRPr="009F2C7E">
        <w:rPr>
          <w:rStyle w:val="apple-converted-space"/>
          <w:rFonts w:ascii="Arial" w:eastAsiaTheme="majorEastAsia" w:hAnsi="Arial" w:cs="Arial"/>
          <w:color w:val="000000"/>
        </w:rPr>
        <w:t> </w:t>
      </w:r>
      <w:r w:rsidRPr="009F2C7E">
        <w:rPr>
          <w:rFonts w:ascii="Arial" w:hAnsi="Arial" w:cs="Arial"/>
          <w:color w:val="000000"/>
        </w:rPr>
        <w:t>Geneva: OHCHR. [online] Available at:</w:t>
      </w:r>
      <w:r w:rsidRPr="009F2C7E">
        <w:rPr>
          <w:rStyle w:val="apple-converted-space"/>
          <w:rFonts w:ascii="Arial" w:eastAsiaTheme="majorEastAsia" w:hAnsi="Arial" w:cs="Arial"/>
          <w:color w:val="000000"/>
        </w:rPr>
        <w:t> </w:t>
      </w:r>
      <w:hyperlink r:id="rId66" w:tgtFrame="_new" w:history="1">
        <w:r w:rsidRPr="009F2C7E">
          <w:rPr>
            <w:rStyle w:val="Hyperlink"/>
            <w:rFonts w:ascii="Arial" w:eastAsiaTheme="majorEastAsia" w:hAnsi="Arial" w:cs="Arial"/>
          </w:rPr>
          <w:t>https://www.ohchr.org/</w:t>
        </w:r>
      </w:hyperlink>
      <w:r w:rsidRPr="009F2C7E">
        <w:rPr>
          <w:rFonts w:ascii="Arial" w:hAnsi="Arial" w:cs="Arial"/>
          <w:color w:val="000000"/>
        </w:rPr>
        <w:t>(Accessed: 4 November 2025).</w:t>
      </w:r>
    </w:p>
    <w:p w14:paraId="72F124FC" w14:textId="77777777" w:rsidR="000A4DDA" w:rsidRPr="009F2C7E" w:rsidRDefault="000A4DDA" w:rsidP="000A4DDA">
      <w:pPr>
        <w:spacing w:line="360" w:lineRule="auto"/>
        <w:rPr>
          <w:rFonts w:ascii="Arial" w:hAnsi="Arial" w:cs="Arial"/>
        </w:rPr>
      </w:pPr>
    </w:p>
    <w:p w14:paraId="2824D74D"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lastRenderedPageBreak/>
        <w:t>Parliamentary Joint Committee on Human Rights (2022)</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Protecting human rights in care settings.</w:t>
      </w:r>
      <w:r w:rsidRPr="009F2C7E">
        <w:rPr>
          <w:rStyle w:val="apple-converted-space"/>
          <w:rFonts w:ascii="Arial" w:eastAsiaTheme="majorEastAsia" w:hAnsi="Arial" w:cs="Arial"/>
          <w:color w:val="000000"/>
        </w:rPr>
        <w:t> </w:t>
      </w:r>
      <w:r w:rsidRPr="009F2C7E">
        <w:rPr>
          <w:rFonts w:ascii="Arial" w:hAnsi="Arial" w:cs="Arial"/>
          <w:color w:val="000000"/>
        </w:rPr>
        <w:t>London: UK Parliament. Available at:</w:t>
      </w:r>
      <w:r w:rsidRPr="009F2C7E">
        <w:rPr>
          <w:rStyle w:val="apple-converted-space"/>
          <w:rFonts w:ascii="Arial" w:eastAsiaTheme="majorEastAsia" w:hAnsi="Arial" w:cs="Arial"/>
          <w:color w:val="000000"/>
        </w:rPr>
        <w:t> </w:t>
      </w:r>
      <w:hyperlink r:id="rId67" w:tgtFrame="_new" w:history="1">
        <w:r w:rsidRPr="009F2C7E">
          <w:rPr>
            <w:rStyle w:val="Hyperlink"/>
            <w:rFonts w:ascii="Arial" w:eastAsiaTheme="majorEastAsia" w:hAnsi="Arial" w:cs="Arial"/>
          </w:rPr>
          <w:t>https://committees.parliament.uk/publications/30791/documents/176257/default/</w:t>
        </w:r>
      </w:hyperlink>
      <w:r w:rsidRPr="009F2C7E">
        <w:rPr>
          <w:rFonts w:ascii="Arial" w:hAnsi="Arial" w:cs="Arial"/>
          <w:color w:val="000000"/>
        </w:rPr>
        <w:t>(Accessed: 3 November 2025).</w:t>
      </w:r>
    </w:p>
    <w:p w14:paraId="28647346" w14:textId="77777777" w:rsidR="000A4DDA" w:rsidRPr="009F2C7E" w:rsidRDefault="000A4DDA" w:rsidP="000A4DDA">
      <w:pPr>
        <w:pStyle w:val="NormalWeb"/>
        <w:spacing w:line="360" w:lineRule="auto"/>
        <w:rPr>
          <w:rFonts w:ascii="Arial" w:hAnsi="Arial" w:cs="Arial"/>
          <w:color w:val="000000"/>
        </w:rPr>
      </w:pPr>
    </w:p>
    <w:p w14:paraId="30A71727"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Penal Reform International (2021)</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Global Prison Trends 2021.</w:t>
      </w:r>
      <w:r w:rsidRPr="009F2C7E">
        <w:rPr>
          <w:rStyle w:val="apple-converted-space"/>
          <w:rFonts w:ascii="Arial" w:eastAsiaTheme="majorEastAsia" w:hAnsi="Arial" w:cs="Arial"/>
          <w:color w:val="000000"/>
        </w:rPr>
        <w:t> </w:t>
      </w:r>
      <w:r w:rsidRPr="009F2C7E">
        <w:rPr>
          <w:rFonts w:ascii="Arial" w:hAnsi="Arial" w:cs="Arial"/>
          <w:color w:val="000000"/>
        </w:rPr>
        <w:t>[online] Available at:</w:t>
      </w:r>
      <w:r w:rsidRPr="009F2C7E">
        <w:rPr>
          <w:rStyle w:val="apple-converted-space"/>
          <w:rFonts w:ascii="Arial" w:eastAsiaTheme="majorEastAsia" w:hAnsi="Arial" w:cs="Arial"/>
          <w:color w:val="000000"/>
        </w:rPr>
        <w:t> </w:t>
      </w:r>
      <w:hyperlink r:id="rId68" w:tgtFrame="_new" w:history="1">
        <w:r w:rsidRPr="009F2C7E">
          <w:rPr>
            <w:rStyle w:val="Hyperlink"/>
            <w:rFonts w:ascii="Arial" w:eastAsiaTheme="majorEastAsia" w:hAnsi="Arial" w:cs="Arial"/>
          </w:rPr>
          <w:t>https://cdn.penalreform.org/wp-content/uploads/2021/05/Global-prison-trends-2021.pdf</w:t>
        </w:r>
      </w:hyperlink>
      <w:r w:rsidRPr="009F2C7E">
        <w:rPr>
          <w:rStyle w:val="apple-converted-space"/>
          <w:rFonts w:ascii="Arial" w:eastAsiaTheme="majorEastAsia" w:hAnsi="Arial" w:cs="Arial"/>
          <w:color w:val="000000"/>
        </w:rPr>
        <w:t> </w:t>
      </w:r>
      <w:r w:rsidRPr="009F2C7E">
        <w:rPr>
          <w:rFonts w:ascii="Arial" w:hAnsi="Arial" w:cs="Arial"/>
          <w:color w:val="000000"/>
        </w:rPr>
        <w:t>(Accessed: 31 October 2025).</w:t>
      </w:r>
    </w:p>
    <w:p w14:paraId="152FFB07" w14:textId="77777777" w:rsidR="000A4DDA" w:rsidRPr="009F2C7E" w:rsidRDefault="000A4DDA" w:rsidP="000A4DDA">
      <w:pPr>
        <w:pStyle w:val="NormalWeb"/>
        <w:spacing w:line="360" w:lineRule="auto"/>
        <w:rPr>
          <w:rFonts w:ascii="Arial" w:hAnsi="Arial" w:cs="Arial"/>
          <w:color w:val="000000"/>
        </w:rPr>
      </w:pPr>
    </w:p>
    <w:p w14:paraId="6CBDF66F"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Penal Reform International (2024)</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Placement of trans and non-binary people: A guide for prisons.</w:t>
      </w:r>
      <w:r w:rsidRPr="009F2C7E">
        <w:rPr>
          <w:rStyle w:val="apple-converted-space"/>
          <w:rFonts w:ascii="Arial" w:eastAsiaTheme="majorEastAsia" w:hAnsi="Arial" w:cs="Arial"/>
          <w:color w:val="000000"/>
        </w:rPr>
        <w:t> </w:t>
      </w:r>
      <w:r w:rsidRPr="009F2C7E">
        <w:rPr>
          <w:rFonts w:ascii="Arial" w:hAnsi="Arial" w:cs="Arial"/>
          <w:color w:val="000000"/>
        </w:rPr>
        <w:t>[online] Available at:</w:t>
      </w:r>
      <w:r w:rsidRPr="009F2C7E">
        <w:rPr>
          <w:rStyle w:val="apple-converted-space"/>
          <w:rFonts w:ascii="Arial" w:eastAsiaTheme="majorEastAsia" w:hAnsi="Arial" w:cs="Arial"/>
          <w:color w:val="000000"/>
        </w:rPr>
        <w:t> </w:t>
      </w:r>
      <w:hyperlink r:id="rId69" w:tgtFrame="_new" w:history="1">
        <w:r w:rsidRPr="009F2C7E">
          <w:rPr>
            <w:rStyle w:val="Hyperlink"/>
            <w:rFonts w:ascii="Arial" w:eastAsiaTheme="majorEastAsia" w:hAnsi="Arial" w:cs="Arial"/>
          </w:rPr>
          <w:t>https://cdn.penalreform.org/wp-content/uploads/2024/07/PRI_-Placement-of-trans-and-non-binary-people.pdf</w:t>
        </w:r>
      </w:hyperlink>
      <w:r w:rsidRPr="009F2C7E">
        <w:rPr>
          <w:rFonts w:ascii="Arial" w:hAnsi="Arial" w:cs="Arial"/>
          <w:color w:val="000000"/>
        </w:rPr>
        <w:t>(Accessed: 3 November 2025).</w:t>
      </w:r>
    </w:p>
    <w:p w14:paraId="4EA3F7AF" w14:textId="77777777" w:rsidR="000A4DDA" w:rsidRPr="009F2C7E" w:rsidRDefault="000A4DDA" w:rsidP="000A4DDA">
      <w:pPr>
        <w:pStyle w:val="NormalWeb"/>
        <w:spacing w:line="360" w:lineRule="auto"/>
        <w:rPr>
          <w:rFonts w:ascii="Arial" w:hAnsi="Arial" w:cs="Arial"/>
          <w:color w:val="000000"/>
        </w:rPr>
      </w:pPr>
    </w:p>
    <w:p w14:paraId="0361DC0E"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Penal Reform International (2025)</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Penal Reform International: Promoting fair and effective criminal justice worldwide.</w:t>
      </w:r>
      <w:r w:rsidRPr="009F2C7E">
        <w:rPr>
          <w:rStyle w:val="apple-converted-space"/>
          <w:rFonts w:ascii="Arial" w:eastAsiaTheme="majorEastAsia" w:hAnsi="Arial" w:cs="Arial"/>
          <w:color w:val="000000"/>
        </w:rPr>
        <w:t> </w:t>
      </w:r>
      <w:r w:rsidRPr="009F2C7E">
        <w:rPr>
          <w:rFonts w:ascii="Arial" w:hAnsi="Arial" w:cs="Arial"/>
          <w:color w:val="000000"/>
        </w:rPr>
        <w:t>[online] Available at:</w:t>
      </w:r>
      <w:r w:rsidRPr="009F2C7E">
        <w:rPr>
          <w:rStyle w:val="apple-converted-space"/>
          <w:rFonts w:ascii="Arial" w:eastAsiaTheme="majorEastAsia" w:hAnsi="Arial" w:cs="Arial"/>
          <w:color w:val="000000"/>
        </w:rPr>
        <w:t> </w:t>
      </w:r>
      <w:hyperlink r:id="rId70" w:tgtFrame="_new" w:history="1">
        <w:r w:rsidRPr="009F2C7E">
          <w:rPr>
            <w:rStyle w:val="Hyperlink"/>
            <w:rFonts w:ascii="Arial" w:eastAsiaTheme="majorEastAsia" w:hAnsi="Arial" w:cs="Arial"/>
          </w:rPr>
          <w:t>https://www.penalreform.org/</w:t>
        </w:r>
      </w:hyperlink>
      <w:r w:rsidRPr="009F2C7E">
        <w:rPr>
          <w:rStyle w:val="apple-converted-space"/>
          <w:rFonts w:ascii="Arial" w:eastAsiaTheme="majorEastAsia" w:hAnsi="Arial" w:cs="Arial"/>
          <w:color w:val="000000"/>
        </w:rPr>
        <w:t> </w:t>
      </w:r>
      <w:r w:rsidRPr="009F2C7E">
        <w:rPr>
          <w:rFonts w:ascii="Arial" w:hAnsi="Arial" w:cs="Arial"/>
          <w:color w:val="000000"/>
        </w:rPr>
        <w:t>(Accessed: 31 October 2025).</w:t>
      </w:r>
    </w:p>
    <w:p w14:paraId="5C43B2A4" w14:textId="77777777" w:rsidR="000A4DDA" w:rsidRPr="009F2C7E" w:rsidRDefault="000A4DDA" w:rsidP="000A4DDA">
      <w:pPr>
        <w:pStyle w:val="NormalWeb"/>
        <w:spacing w:line="360" w:lineRule="auto"/>
        <w:rPr>
          <w:rFonts w:ascii="Arial" w:hAnsi="Arial" w:cs="Arial"/>
          <w:color w:val="000000"/>
        </w:rPr>
      </w:pPr>
    </w:p>
    <w:p w14:paraId="2C292834"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Pratt, J. (2008)</w:t>
      </w:r>
      <w:r w:rsidRPr="009F2C7E">
        <w:rPr>
          <w:rStyle w:val="apple-converted-space"/>
          <w:rFonts w:ascii="Arial" w:eastAsiaTheme="majorEastAsia" w:hAnsi="Arial" w:cs="Arial"/>
          <w:color w:val="000000"/>
        </w:rPr>
        <w:t> </w:t>
      </w:r>
      <w:r w:rsidRPr="009F2C7E">
        <w:rPr>
          <w:rFonts w:ascii="Arial" w:hAnsi="Arial" w:cs="Arial"/>
          <w:color w:val="000000"/>
        </w:rPr>
        <w:t>‘Scandinavian exceptionalism in an era of penal excess: Part I: The nature and roots of Scandinavian exceptionalism’,</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British Journal of Criminology,</w:t>
      </w:r>
      <w:r w:rsidRPr="009F2C7E">
        <w:rPr>
          <w:rStyle w:val="apple-converted-space"/>
          <w:rFonts w:ascii="Arial" w:eastAsiaTheme="majorEastAsia" w:hAnsi="Arial" w:cs="Arial"/>
          <w:color w:val="000000"/>
        </w:rPr>
        <w:t> </w:t>
      </w:r>
      <w:r w:rsidRPr="009F2C7E">
        <w:rPr>
          <w:rFonts w:ascii="Arial" w:hAnsi="Arial" w:cs="Arial"/>
          <w:color w:val="000000"/>
        </w:rPr>
        <w:t>48(2), pp. 119–137.</w:t>
      </w:r>
      <w:r w:rsidRPr="009F2C7E">
        <w:rPr>
          <w:rStyle w:val="apple-converted-space"/>
          <w:rFonts w:ascii="Arial" w:eastAsiaTheme="majorEastAsia" w:hAnsi="Arial" w:cs="Arial"/>
          <w:color w:val="000000"/>
        </w:rPr>
        <w:t> </w:t>
      </w:r>
      <w:hyperlink r:id="rId71" w:history="1">
        <w:r w:rsidRPr="009F2C7E">
          <w:rPr>
            <w:rStyle w:val="Hyperlink"/>
            <w:rFonts w:ascii="Arial" w:hAnsi="Arial" w:cs="Arial"/>
          </w:rPr>
          <w:t>https://doi.org/10.1093/bjc/azm072</w:t>
        </w:r>
      </w:hyperlink>
      <w:r w:rsidRPr="009F2C7E">
        <w:rPr>
          <w:rFonts w:ascii="Arial" w:hAnsi="Arial" w:cs="Arial"/>
          <w:color w:val="000000"/>
        </w:rPr>
        <w:t>.</w:t>
      </w:r>
    </w:p>
    <w:p w14:paraId="41F81893" w14:textId="77777777" w:rsidR="000A4DDA" w:rsidRPr="009F2C7E" w:rsidRDefault="000A4DDA" w:rsidP="000A4DDA">
      <w:pPr>
        <w:pStyle w:val="NormalWeb"/>
        <w:spacing w:line="360" w:lineRule="auto"/>
        <w:rPr>
          <w:rFonts w:ascii="Arial" w:hAnsi="Arial" w:cs="Arial"/>
          <w:color w:val="000000"/>
        </w:rPr>
      </w:pPr>
    </w:p>
    <w:p w14:paraId="65D39664"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Prison Reform Trust (2023a)</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Prison: The facts – Bromley Briefings Summer 2023.</w:t>
      </w:r>
      <w:r w:rsidRPr="009F2C7E">
        <w:rPr>
          <w:rStyle w:val="apple-converted-space"/>
          <w:rFonts w:ascii="Arial" w:eastAsiaTheme="majorEastAsia" w:hAnsi="Arial" w:cs="Arial"/>
          <w:color w:val="000000"/>
        </w:rPr>
        <w:t> </w:t>
      </w:r>
      <w:r w:rsidRPr="009F2C7E">
        <w:rPr>
          <w:rFonts w:ascii="Arial" w:hAnsi="Arial" w:cs="Arial"/>
          <w:color w:val="000000"/>
        </w:rPr>
        <w:t>[online] Available at:</w:t>
      </w:r>
      <w:r w:rsidRPr="009F2C7E">
        <w:rPr>
          <w:rStyle w:val="apple-converted-space"/>
          <w:rFonts w:ascii="Arial" w:eastAsiaTheme="majorEastAsia" w:hAnsi="Arial" w:cs="Arial"/>
          <w:color w:val="000000"/>
        </w:rPr>
        <w:t> </w:t>
      </w:r>
      <w:hyperlink r:id="rId72" w:tgtFrame="_new" w:history="1">
        <w:r w:rsidRPr="009F2C7E">
          <w:rPr>
            <w:rStyle w:val="Hyperlink"/>
            <w:rFonts w:ascii="Arial" w:eastAsiaTheme="majorEastAsia" w:hAnsi="Arial" w:cs="Arial"/>
          </w:rPr>
          <w:t>https://prisonreformtrust.org.uk/wp-content/uploads/2023/06/prison_the_facts_2023.pdf</w:t>
        </w:r>
      </w:hyperlink>
      <w:r w:rsidRPr="009F2C7E">
        <w:rPr>
          <w:rStyle w:val="apple-converted-space"/>
          <w:rFonts w:ascii="Arial" w:eastAsiaTheme="majorEastAsia" w:hAnsi="Arial" w:cs="Arial"/>
          <w:color w:val="000000"/>
        </w:rPr>
        <w:t> </w:t>
      </w:r>
      <w:r w:rsidRPr="009F2C7E">
        <w:rPr>
          <w:rFonts w:ascii="Arial" w:hAnsi="Arial" w:cs="Arial"/>
          <w:color w:val="000000"/>
        </w:rPr>
        <w:t>(Accessed: 27 October 2025).</w:t>
      </w:r>
    </w:p>
    <w:p w14:paraId="013D761D" w14:textId="77777777" w:rsidR="000A4DDA" w:rsidRPr="009F2C7E" w:rsidRDefault="000A4DDA" w:rsidP="000A4DDA">
      <w:pPr>
        <w:pStyle w:val="NormalWeb"/>
        <w:spacing w:line="360" w:lineRule="auto"/>
        <w:rPr>
          <w:rFonts w:ascii="Arial" w:hAnsi="Arial" w:cs="Arial"/>
          <w:color w:val="000000"/>
        </w:rPr>
      </w:pPr>
    </w:p>
    <w:p w14:paraId="2DE8ECB6"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lastRenderedPageBreak/>
        <w:t>Prison Reform Trust (2023b)</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Why focus on reducing women’s imprisonment?</w:t>
      </w:r>
      <w:r w:rsidRPr="009F2C7E">
        <w:rPr>
          <w:rStyle w:val="apple-converted-space"/>
          <w:rFonts w:ascii="Arial" w:eastAsiaTheme="majorEastAsia" w:hAnsi="Arial" w:cs="Arial"/>
          <w:color w:val="000000"/>
        </w:rPr>
        <w:t> </w:t>
      </w:r>
      <w:r w:rsidRPr="009F2C7E">
        <w:rPr>
          <w:rFonts w:ascii="Arial" w:hAnsi="Arial" w:cs="Arial"/>
          <w:color w:val="000000"/>
        </w:rPr>
        <w:t>London: Prison Reform Trust. Available at:</w:t>
      </w:r>
      <w:r w:rsidRPr="009F2C7E">
        <w:rPr>
          <w:rStyle w:val="apple-converted-space"/>
          <w:rFonts w:ascii="Arial" w:eastAsiaTheme="majorEastAsia" w:hAnsi="Arial" w:cs="Arial"/>
          <w:color w:val="000000"/>
        </w:rPr>
        <w:t> </w:t>
      </w:r>
      <w:hyperlink r:id="rId73" w:tgtFrame="_new" w:history="1">
        <w:r w:rsidRPr="009F2C7E">
          <w:rPr>
            <w:rStyle w:val="Hyperlink"/>
            <w:rFonts w:ascii="Arial" w:eastAsiaTheme="majorEastAsia" w:hAnsi="Arial" w:cs="Arial"/>
          </w:rPr>
          <w:t>https://prisonreformtrust.org.uk/project/women-the-criminal-justice-system/</w:t>
        </w:r>
      </w:hyperlink>
      <w:r w:rsidRPr="009F2C7E">
        <w:rPr>
          <w:rStyle w:val="apple-converted-space"/>
          <w:rFonts w:ascii="Arial" w:eastAsiaTheme="majorEastAsia" w:hAnsi="Arial" w:cs="Arial"/>
          <w:color w:val="000000"/>
        </w:rPr>
        <w:t> </w:t>
      </w:r>
      <w:r w:rsidRPr="009F2C7E">
        <w:rPr>
          <w:rFonts w:ascii="Arial" w:hAnsi="Arial" w:cs="Arial"/>
          <w:color w:val="000000"/>
        </w:rPr>
        <w:t>(Accessed: 3 November 2025).</w:t>
      </w:r>
    </w:p>
    <w:p w14:paraId="5BCDC21B" w14:textId="77777777" w:rsidR="000A4DDA" w:rsidRPr="009F2C7E" w:rsidRDefault="000A4DDA" w:rsidP="000A4DDA">
      <w:pPr>
        <w:pStyle w:val="NormalWeb"/>
        <w:spacing w:line="360" w:lineRule="auto"/>
        <w:rPr>
          <w:rFonts w:ascii="Arial" w:hAnsi="Arial" w:cs="Arial"/>
          <w:color w:val="000000"/>
        </w:rPr>
      </w:pPr>
    </w:p>
    <w:p w14:paraId="7F9C6FCB"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Prison Reform Trust (2024)</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Prisoners’ mental health suffering under conditions of “prolonged solitary confinement”.</w:t>
      </w:r>
      <w:r w:rsidRPr="009F2C7E">
        <w:rPr>
          <w:rFonts w:ascii="Arial" w:hAnsi="Arial" w:cs="Arial"/>
          <w:color w:val="000000"/>
        </w:rPr>
        <w:t>[online] Available at:</w:t>
      </w:r>
      <w:r w:rsidRPr="009F2C7E">
        <w:rPr>
          <w:rStyle w:val="apple-converted-space"/>
          <w:rFonts w:ascii="Arial" w:eastAsiaTheme="majorEastAsia" w:hAnsi="Arial" w:cs="Arial"/>
          <w:color w:val="000000"/>
        </w:rPr>
        <w:t> </w:t>
      </w:r>
      <w:hyperlink r:id="rId74" w:tgtFrame="_new" w:history="1">
        <w:r w:rsidRPr="009F2C7E">
          <w:rPr>
            <w:rStyle w:val="Hyperlink"/>
            <w:rFonts w:ascii="Arial" w:eastAsiaTheme="majorEastAsia" w:hAnsi="Arial" w:cs="Arial"/>
          </w:rPr>
          <w:t>https://prisonreformtrust.org.uk/prisoners-mental-health-suffering-under-conditions-of-prolonged-solitary-confinement/</w:t>
        </w:r>
      </w:hyperlink>
      <w:r w:rsidRPr="009F2C7E">
        <w:rPr>
          <w:rStyle w:val="apple-converted-space"/>
          <w:rFonts w:ascii="Arial" w:eastAsiaTheme="majorEastAsia" w:hAnsi="Arial" w:cs="Arial"/>
          <w:color w:val="000000"/>
        </w:rPr>
        <w:t> </w:t>
      </w:r>
      <w:r w:rsidRPr="009F2C7E">
        <w:rPr>
          <w:rFonts w:ascii="Arial" w:hAnsi="Arial" w:cs="Arial"/>
          <w:color w:val="000000"/>
        </w:rPr>
        <w:t>(Accessed: 2 November 2025).</w:t>
      </w:r>
    </w:p>
    <w:p w14:paraId="2F79A925" w14:textId="77777777" w:rsidR="000A4DDA" w:rsidRPr="009F2C7E" w:rsidRDefault="000A4DDA" w:rsidP="000A4DDA">
      <w:pPr>
        <w:pStyle w:val="NormalWeb"/>
        <w:spacing w:line="360" w:lineRule="auto"/>
        <w:rPr>
          <w:rFonts w:ascii="Arial" w:hAnsi="Arial" w:cs="Arial"/>
          <w:color w:val="000000"/>
        </w:rPr>
      </w:pPr>
    </w:p>
    <w:p w14:paraId="695AC795"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Prison Reform Trust (2025a)</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Category: Covid-19.</w:t>
      </w:r>
      <w:r w:rsidRPr="009F2C7E">
        <w:rPr>
          <w:rStyle w:val="apple-converted-space"/>
          <w:rFonts w:ascii="Arial" w:eastAsiaTheme="majorEastAsia" w:hAnsi="Arial" w:cs="Arial"/>
          <w:color w:val="000000"/>
        </w:rPr>
        <w:t> </w:t>
      </w:r>
      <w:r w:rsidRPr="009F2C7E">
        <w:rPr>
          <w:rFonts w:ascii="Arial" w:hAnsi="Arial" w:cs="Arial"/>
          <w:color w:val="000000"/>
        </w:rPr>
        <w:t>[online] Available at:</w:t>
      </w:r>
      <w:r w:rsidRPr="009F2C7E">
        <w:rPr>
          <w:rStyle w:val="apple-converted-space"/>
          <w:rFonts w:ascii="Arial" w:eastAsiaTheme="majorEastAsia" w:hAnsi="Arial" w:cs="Arial"/>
          <w:color w:val="000000"/>
        </w:rPr>
        <w:t> </w:t>
      </w:r>
      <w:hyperlink r:id="rId75" w:tgtFrame="_new" w:history="1">
        <w:r w:rsidRPr="009F2C7E">
          <w:rPr>
            <w:rStyle w:val="Hyperlink"/>
            <w:rFonts w:ascii="Arial" w:eastAsiaTheme="majorEastAsia" w:hAnsi="Arial" w:cs="Arial"/>
          </w:rPr>
          <w:t>https://prisonreformtrust.org.uk/category/covid-19/</w:t>
        </w:r>
      </w:hyperlink>
      <w:r w:rsidRPr="009F2C7E">
        <w:rPr>
          <w:rStyle w:val="apple-converted-space"/>
          <w:rFonts w:ascii="Arial" w:eastAsiaTheme="majorEastAsia" w:hAnsi="Arial" w:cs="Arial"/>
          <w:color w:val="000000"/>
        </w:rPr>
        <w:t> </w:t>
      </w:r>
      <w:r w:rsidRPr="009F2C7E">
        <w:rPr>
          <w:rFonts w:ascii="Arial" w:hAnsi="Arial" w:cs="Arial"/>
          <w:color w:val="000000"/>
        </w:rPr>
        <w:t>(Accessed: 3 November 2025).</w:t>
      </w:r>
    </w:p>
    <w:p w14:paraId="5AA7827C" w14:textId="77777777" w:rsidR="000A4DDA" w:rsidRPr="009F2C7E" w:rsidRDefault="000A4DDA" w:rsidP="000A4DDA">
      <w:pPr>
        <w:pStyle w:val="NormalWeb"/>
        <w:spacing w:line="360" w:lineRule="auto"/>
        <w:rPr>
          <w:rFonts w:ascii="Arial" w:hAnsi="Arial" w:cs="Arial"/>
          <w:color w:val="000000"/>
        </w:rPr>
      </w:pPr>
    </w:p>
    <w:p w14:paraId="6745A357"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Prison Reform Trust (2025b)</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PRT calls for fundamental reform of sentencing to address prison capacity crisis.</w:t>
      </w:r>
      <w:r w:rsidRPr="009F2C7E">
        <w:rPr>
          <w:rFonts w:ascii="Arial" w:hAnsi="Arial" w:cs="Arial"/>
          <w:color w:val="000000"/>
        </w:rPr>
        <w:t>[online] Available at:</w:t>
      </w:r>
      <w:r w:rsidRPr="009F2C7E">
        <w:rPr>
          <w:rStyle w:val="apple-converted-space"/>
          <w:rFonts w:ascii="Arial" w:eastAsiaTheme="majorEastAsia" w:hAnsi="Arial" w:cs="Arial"/>
          <w:color w:val="000000"/>
        </w:rPr>
        <w:t> </w:t>
      </w:r>
      <w:hyperlink r:id="rId76" w:tgtFrame="_new" w:history="1">
        <w:r w:rsidRPr="009F2C7E">
          <w:rPr>
            <w:rStyle w:val="Hyperlink"/>
            <w:rFonts w:ascii="Arial" w:eastAsiaTheme="majorEastAsia" w:hAnsi="Arial" w:cs="Arial"/>
          </w:rPr>
          <w:t>https://prisonreformtrust.org.uk/prt-calls-for-fundamental-reform-of-sentencing-to-address-prison-capacity-crisis/</w:t>
        </w:r>
      </w:hyperlink>
      <w:r w:rsidRPr="009F2C7E">
        <w:rPr>
          <w:rStyle w:val="apple-converted-space"/>
          <w:rFonts w:ascii="Arial" w:eastAsiaTheme="majorEastAsia" w:hAnsi="Arial" w:cs="Arial"/>
          <w:color w:val="000000"/>
        </w:rPr>
        <w:t> </w:t>
      </w:r>
      <w:r w:rsidRPr="009F2C7E">
        <w:rPr>
          <w:rFonts w:ascii="Arial" w:hAnsi="Arial" w:cs="Arial"/>
          <w:color w:val="000000"/>
        </w:rPr>
        <w:t>(Accessed: 3 November 2025).</w:t>
      </w:r>
    </w:p>
    <w:p w14:paraId="759827B4" w14:textId="77777777" w:rsidR="000A4DDA" w:rsidRPr="009F2C7E" w:rsidRDefault="000A4DDA" w:rsidP="000A4DDA">
      <w:pPr>
        <w:pStyle w:val="NormalWeb"/>
        <w:spacing w:line="360" w:lineRule="auto"/>
        <w:rPr>
          <w:rFonts w:ascii="Arial" w:hAnsi="Arial" w:cs="Arial"/>
          <w:color w:val="000000"/>
        </w:rPr>
      </w:pPr>
    </w:p>
    <w:p w14:paraId="69382231" w14:textId="77777777" w:rsidR="000A4DDA"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Prisons and Probation Ombudsman (2024)</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Annual Report 2023–24.</w:t>
      </w:r>
      <w:r w:rsidRPr="009F2C7E">
        <w:rPr>
          <w:rStyle w:val="apple-converted-space"/>
          <w:rFonts w:ascii="Arial" w:eastAsiaTheme="majorEastAsia" w:hAnsi="Arial" w:cs="Arial"/>
          <w:color w:val="000000"/>
        </w:rPr>
        <w:t> </w:t>
      </w:r>
      <w:r w:rsidRPr="009F2C7E">
        <w:rPr>
          <w:rFonts w:ascii="Arial" w:hAnsi="Arial" w:cs="Arial"/>
          <w:color w:val="000000"/>
        </w:rPr>
        <w:t>London: HMSO. Available at:</w:t>
      </w:r>
      <w:r w:rsidRPr="009F2C7E">
        <w:rPr>
          <w:rStyle w:val="apple-converted-space"/>
          <w:rFonts w:ascii="Arial" w:eastAsiaTheme="majorEastAsia" w:hAnsi="Arial" w:cs="Arial"/>
          <w:color w:val="000000"/>
        </w:rPr>
        <w:t> </w:t>
      </w:r>
      <w:hyperlink r:id="rId77" w:tgtFrame="_new" w:history="1">
        <w:r w:rsidRPr="009F2C7E">
          <w:rPr>
            <w:rStyle w:val="Hyperlink"/>
            <w:rFonts w:ascii="Arial" w:eastAsiaTheme="majorEastAsia" w:hAnsi="Arial" w:cs="Arial"/>
          </w:rPr>
          <w:t>https://assets.publishing.service.gov.uk/media/669146fefc8e12ac3edafc14/PPO_annual_report_2324.pdf</w:t>
        </w:r>
      </w:hyperlink>
      <w:r w:rsidRPr="009F2C7E">
        <w:rPr>
          <w:rStyle w:val="apple-converted-space"/>
          <w:rFonts w:ascii="Arial" w:eastAsiaTheme="majorEastAsia" w:hAnsi="Arial" w:cs="Arial"/>
          <w:color w:val="000000"/>
        </w:rPr>
        <w:t> </w:t>
      </w:r>
      <w:r w:rsidRPr="009F2C7E">
        <w:rPr>
          <w:rFonts w:ascii="Arial" w:hAnsi="Arial" w:cs="Arial"/>
          <w:color w:val="000000"/>
        </w:rPr>
        <w:t>(Accessed: 3 November 2025).</w:t>
      </w:r>
    </w:p>
    <w:p w14:paraId="73551BA8" w14:textId="77777777" w:rsidR="0067039F" w:rsidRPr="009F2C7E" w:rsidRDefault="0067039F" w:rsidP="000A4DDA">
      <w:pPr>
        <w:pStyle w:val="NormalWeb"/>
        <w:spacing w:line="360" w:lineRule="auto"/>
        <w:rPr>
          <w:rStyle w:val="Strong"/>
          <w:rFonts w:ascii="Arial" w:hAnsi="Arial" w:cs="Arial"/>
          <w:b w:val="0"/>
          <w:bCs w:val="0"/>
          <w:color w:val="000000"/>
        </w:rPr>
      </w:pPr>
    </w:p>
    <w:p w14:paraId="2984B11B" w14:textId="19A1EAFA" w:rsidR="000A4DDA" w:rsidRDefault="0067039F" w:rsidP="000A4DDA">
      <w:pPr>
        <w:pStyle w:val="NormalWeb"/>
        <w:spacing w:line="360" w:lineRule="auto"/>
        <w:rPr>
          <w:rFonts w:ascii="Arial" w:hAnsi="Arial" w:cs="Arial"/>
          <w:color w:val="000000"/>
        </w:rPr>
      </w:pPr>
      <w:r w:rsidRPr="0067039F">
        <w:rPr>
          <w:rFonts w:ascii="Arial" w:hAnsi="Arial" w:cs="Arial"/>
          <w:color w:val="000000"/>
        </w:rPr>
        <w:t>Prisoners’ Education Trust (2023) </w:t>
      </w:r>
      <w:r w:rsidRPr="0067039F">
        <w:rPr>
          <w:rFonts w:ascii="Arial" w:hAnsi="Arial" w:cs="Arial"/>
          <w:i/>
          <w:iCs/>
          <w:color w:val="000000"/>
        </w:rPr>
        <w:t>Garry’s story: Studying for a degree in prison.</w:t>
      </w:r>
      <w:r w:rsidRPr="0067039F">
        <w:rPr>
          <w:rFonts w:ascii="Arial" w:hAnsi="Arial" w:cs="Arial"/>
          <w:color w:val="000000"/>
        </w:rPr>
        <w:t> Available at: </w:t>
      </w:r>
      <w:hyperlink r:id="rId78" w:tgtFrame="_new" w:history="1">
        <w:r w:rsidRPr="0067039F">
          <w:rPr>
            <w:rFonts w:ascii="Arial" w:hAnsi="Arial" w:cs="Arial"/>
            <w:color w:val="0000FF"/>
            <w:u w:val="single"/>
          </w:rPr>
          <w:t>https://prisonerseducation.org.uk/story/garrys-story-studying-for-a-degree-in-prison/</w:t>
        </w:r>
      </w:hyperlink>
      <w:r w:rsidRPr="0067039F">
        <w:rPr>
          <w:rFonts w:ascii="Arial" w:hAnsi="Arial" w:cs="Arial"/>
          <w:color w:val="000000"/>
        </w:rPr>
        <w:t> (Accessed: 6 November 2025)</w:t>
      </w:r>
    </w:p>
    <w:p w14:paraId="27A31B28" w14:textId="77777777" w:rsidR="0067039F" w:rsidRPr="0067039F" w:rsidRDefault="0067039F" w:rsidP="000A4DDA">
      <w:pPr>
        <w:pStyle w:val="NormalWeb"/>
        <w:spacing w:line="360" w:lineRule="auto"/>
        <w:rPr>
          <w:rFonts w:ascii="Arial" w:hAnsi="Arial" w:cs="Arial"/>
          <w:color w:val="000000"/>
        </w:rPr>
      </w:pPr>
    </w:p>
    <w:p w14:paraId="628B2396" w14:textId="77777777" w:rsidR="000A4DDA" w:rsidRPr="009F2C7E" w:rsidRDefault="000A4DDA" w:rsidP="000A4DDA">
      <w:pPr>
        <w:pStyle w:val="NormalWeb"/>
        <w:spacing w:line="360" w:lineRule="auto"/>
        <w:rPr>
          <w:rFonts w:ascii="Arial" w:hAnsi="Arial" w:cs="Arial"/>
          <w:color w:val="000000"/>
        </w:rPr>
      </w:pPr>
      <w:proofErr w:type="spellStart"/>
      <w:r w:rsidRPr="009F2C7E">
        <w:rPr>
          <w:rStyle w:val="Strong"/>
          <w:rFonts w:ascii="Arial" w:eastAsiaTheme="majorEastAsia" w:hAnsi="Arial" w:cs="Arial"/>
          <w:b w:val="0"/>
          <w:bCs w:val="0"/>
          <w:color w:val="000000"/>
        </w:rPr>
        <w:t>Renzulli</w:t>
      </w:r>
      <w:proofErr w:type="spellEnd"/>
      <w:r w:rsidRPr="009F2C7E">
        <w:rPr>
          <w:rStyle w:val="Strong"/>
          <w:rFonts w:ascii="Arial" w:eastAsiaTheme="majorEastAsia" w:hAnsi="Arial" w:cs="Arial"/>
          <w:b w:val="0"/>
          <w:bCs w:val="0"/>
          <w:color w:val="000000"/>
        </w:rPr>
        <w:t>, I. (2021)</w:t>
      </w:r>
      <w:r w:rsidRPr="009F2C7E">
        <w:rPr>
          <w:rStyle w:val="apple-converted-space"/>
          <w:rFonts w:ascii="Arial" w:eastAsiaTheme="majorEastAsia" w:hAnsi="Arial" w:cs="Arial"/>
          <w:color w:val="000000"/>
        </w:rPr>
        <w:t> </w:t>
      </w:r>
      <w:r w:rsidRPr="009F2C7E">
        <w:rPr>
          <w:rFonts w:ascii="Arial" w:hAnsi="Arial" w:cs="Arial"/>
          <w:color w:val="000000"/>
        </w:rPr>
        <w:t>‘Prison abolition: International human rights law perspectives’,</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The International Journal of Human Rights,</w:t>
      </w:r>
      <w:r w:rsidRPr="009F2C7E">
        <w:rPr>
          <w:rStyle w:val="apple-converted-space"/>
          <w:rFonts w:ascii="Arial" w:eastAsiaTheme="majorEastAsia" w:hAnsi="Arial" w:cs="Arial"/>
          <w:color w:val="000000"/>
        </w:rPr>
        <w:t> </w:t>
      </w:r>
      <w:r w:rsidRPr="009F2C7E">
        <w:rPr>
          <w:rFonts w:ascii="Arial" w:hAnsi="Arial" w:cs="Arial"/>
          <w:color w:val="000000"/>
        </w:rPr>
        <w:t>26(1), pp. 100–121.</w:t>
      </w:r>
      <w:r w:rsidRPr="009F2C7E">
        <w:rPr>
          <w:rStyle w:val="apple-converted-space"/>
          <w:rFonts w:ascii="Arial" w:eastAsiaTheme="majorEastAsia" w:hAnsi="Arial" w:cs="Arial"/>
          <w:color w:val="000000"/>
        </w:rPr>
        <w:t> </w:t>
      </w:r>
      <w:hyperlink r:id="rId79" w:history="1">
        <w:r w:rsidRPr="009F2C7E">
          <w:rPr>
            <w:rStyle w:val="Hyperlink"/>
            <w:rFonts w:ascii="Arial" w:hAnsi="Arial" w:cs="Arial"/>
          </w:rPr>
          <w:t>https://doi.org/10.1080/13642987.2021.1895766</w:t>
        </w:r>
      </w:hyperlink>
      <w:r w:rsidRPr="009F2C7E">
        <w:rPr>
          <w:rFonts w:ascii="Arial" w:hAnsi="Arial" w:cs="Arial"/>
          <w:color w:val="000000"/>
        </w:rPr>
        <w:t>.</w:t>
      </w:r>
    </w:p>
    <w:p w14:paraId="0EE115F9" w14:textId="77777777" w:rsidR="000A4DDA" w:rsidRPr="009F2C7E" w:rsidRDefault="000A4DDA" w:rsidP="000A4DDA">
      <w:pPr>
        <w:pStyle w:val="NormalWeb"/>
        <w:spacing w:line="360" w:lineRule="auto"/>
        <w:rPr>
          <w:rFonts w:ascii="Arial" w:hAnsi="Arial" w:cs="Arial"/>
          <w:color w:val="000000"/>
        </w:rPr>
      </w:pPr>
    </w:p>
    <w:p w14:paraId="6C14BB2F"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Rocha, P. (2024)</w:t>
      </w:r>
      <w:r w:rsidRPr="009F2C7E">
        <w:rPr>
          <w:rStyle w:val="apple-converted-space"/>
          <w:rFonts w:ascii="Arial" w:eastAsiaTheme="majorEastAsia" w:hAnsi="Arial" w:cs="Arial"/>
          <w:color w:val="000000"/>
        </w:rPr>
        <w:t> </w:t>
      </w:r>
      <w:r w:rsidRPr="009F2C7E">
        <w:rPr>
          <w:rFonts w:ascii="Arial" w:hAnsi="Arial" w:cs="Arial"/>
          <w:color w:val="000000"/>
        </w:rPr>
        <w:t>‘Aging behind bars: Barriers and solutions in Norwegian correctional rehabilitation’,</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International Journal of Prison Health.</w:t>
      </w:r>
      <w:r w:rsidRPr="009F2C7E">
        <w:rPr>
          <w:rStyle w:val="apple-converted-space"/>
          <w:rFonts w:ascii="Arial" w:eastAsiaTheme="majorEastAsia" w:hAnsi="Arial" w:cs="Arial"/>
          <w:color w:val="000000"/>
        </w:rPr>
        <w:t> </w:t>
      </w:r>
      <w:hyperlink r:id="rId80" w:history="1">
        <w:r w:rsidRPr="009F2C7E">
          <w:rPr>
            <w:rStyle w:val="Hyperlink"/>
            <w:rFonts w:ascii="Arial" w:hAnsi="Arial" w:cs="Arial"/>
          </w:rPr>
          <w:t>https://doi.org/10.1108/IJOPH-12-2024-0078</w:t>
        </w:r>
      </w:hyperlink>
      <w:r w:rsidRPr="009F2C7E">
        <w:rPr>
          <w:rFonts w:ascii="Arial" w:hAnsi="Arial" w:cs="Arial"/>
          <w:color w:val="000000"/>
        </w:rPr>
        <w:t>.</w:t>
      </w:r>
    </w:p>
    <w:p w14:paraId="725DF015" w14:textId="77777777" w:rsidR="000A4DDA" w:rsidRPr="009F2C7E" w:rsidRDefault="000A4DDA" w:rsidP="000A4DDA">
      <w:pPr>
        <w:pStyle w:val="NormalWeb"/>
        <w:spacing w:line="360" w:lineRule="auto"/>
        <w:rPr>
          <w:rFonts w:ascii="Arial" w:hAnsi="Arial" w:cs="Arial"/>
          <w:color w:val="000000"/>
        </w:rPr>
      </w:pPr>
    </w:p>
    <w:p w14:paraId="18D05921" w14:textId="77777777" w:rsidR="000A4DDA" w:rsidRPr="009F2C7E" w:rsidRDefault="000A4DDA" w:rsidP="000A4DDA">
      <w:pPr>
        <w:pStyle w:val="NormalWeb"/>
        <w:spacing w:line="360" w:lineRule="auto"/>
        <w:rPr>
          <w:rFonts w:ascii="Arial" w:hAnsi="Arial" w:cs="Arial"/>
          <w:color w:val="000000"/>
        </w:rPr>
      </w:pPr>
      <w:proofErr w:type="spellStart"/>
      <w:r w:rsidRPr="009F2C7E">
        <w:rPr>
          <w:rStyle w:val="Strong"/>
          <w:rFonts w:ascii="Arial" w:eastAsiaTheme="majorEastAsia" w:hAnsi="Arial" w:cs="Arial"/>
          <w:b w:val="0"/>
          <w:bCs w:val="0"/>
          <w:color w:val="000000"/>
        </w:rPr>
        <w:t>Snacken</w:t>
      </w:r>
      <w:proofErr w:type="spellEnd"/>
      <w:r w:rsidRPr="009F2C7E">
        <w:rPr>
          <w:rStyle w:val="Strong"/>
          <w:rFonts w:ascii="Arial" w:eastAsiaTheme="majorEastAsia" w:hAnsi="Arial" w:cs="Arial"/>
          <w:b w:val="0"/>
          <w:bCs w:val="0"/>
          <w:color w:val="000000"/>
        </w:rPr>
        <w:t>, S. (2021)</w:t>
      </w:r>
      <w:r w:rsidRPr="009F2C7E">
        <w:rPr>
          <w:rStyle w:val="apple-converted-space"/>
          <w:rFonts w:ascii="Arial" w:eastAsiaTheme="majorEastAsia" w:hAnsi="Arial" w:cs="Arial"/>
          <w:color w:val="000000"/>
        </w:rPr>
        <w:t> </w:t>
      </w:r>
      <w:r w:rsidRPr="009F2C7E">
        <w:rPr>
          <w:rFonts w:ascii="Arial" w:hAnsi="Arial" w:cs="Arial"/>
          <w:color w:val="000000"/>
        </w:rPr>
        <w:t>‘Human dignity and prisoners’ rights in Europe’,</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Crime and Justice,</w:t>
      </w:r>
      <w:r w:rsidRPr="009F2C7E">
        <w:rPr>
          <w:rStyle w:val="apple-converted-space"/>
          <w:rFonts w:ascii="Arial" w:eastAsiaTheme="majorEastAsia" w:hAnsi="Arial" w:cs="Arial"/>
          <w:color w:val="000000"/>
        </w:rPr>
        <w:t> </w:t>
      </w:r>
      <w:r w:rsidRPr="009F2C7E">
        <w:rPr>
          <w:rFonts w:ascii="Arial" w:hAnsi="Arial" w:cs="Arial"/>
          <w:color w:val="000000"/>
        </w:rPr>
        <w:t>50(1), pp. 301–351.</w:t>
      </w:r>
      <w:r w:rsidRPr="009F2C7E">
        <w:rPr>
          <w:rStyle w:val="apple-converted-space"/>
          <w:rFonts w:ascii="Arial" w:eastAsiaTheme="majorEastAsia" w:hAnsi="Arial" w:cs="Arial"/>
          <w:color w:val="000000"/>
        </w:rPr>
        <w:t> </w:t>
      </w:r>
      <w:hyperlink r:id="rId81" w:tgtFrame="_new" w:history="1">
        <w:r w:rsidRPr="009F2C7E">
          <w:rPr>
            <w:rStyle w:val="Hyperlink"/>
            <w:rFonts w:ascii="Arial" w:eastAsiaTheme="majorEastAsia" w:hAnsi="Arial" w:cs="Arial"/>
          </w:rPr>
          <w:t>https://doi.org/10.1086/715910</w:t>
        </w:r>
      </w:hyperlink>
      <w:r w:rsidRPr="009F2C7E">
        <w:rPr>
          <w:rFonts w:ascii="Arial" w:hAnsi="Arial" w:cs="Arial"/>
          <w:color w:val="000000"/>
        </w:rPr>
        <w:t>.</w:t>
      </w:r>
    </w:p>
    <w:p w14:paraId="0BF81870" w14:textId="77777777" w:rsidR="000A4DDA" w:rsidRPr="009F2C7E" w:rsidRDefault="000A4DDA" w:rsidP="000A4DDA">
      <w:pPr>
        <w:pStyle w:val="NormalWeb"/>
        <w:spacing w:line="360" w:lineRule="auto"/>
        <w:rPr>
          <w:rFonts w:ascii="Arial" w:hAnsi="Arial" w:cs="Arial"/>
          <w:color w:val="000000"/>
        </w:rPr>
      </w:pPr>
    </w:p>
    <w:p w14:paraId="47CE452C" w14:textId="77777777" w:rsidR="000A4DDA" w:rsidRPr="009F2C7E" w:rsidRDefault="000A4DDA" w:rsidP="000A4DDA">
      <w:pPr>
        <w:pStyle w:val="NormalWeb"/>
        <w:spacing w:line="360" w:lineRule="auto"/>
        <w:rPr>
          <w:rFonts w:ascii="Arial" w:hAnsi="Arial" w:cs="Arial"/>
          <w:color w:val="000000"/>
        </w:rPr>
      </w:pPr>
      <w:proofErr w:type="spellStart"/>
      <w:r w:rsidRPr="009F2C7E">
        <w:rPr>
          <w:rStyle w:val="Strong"/>
          <w:rFonts w:ascii="Arial" w:eastAsiaTheme="majorEastAsia" w:hAnsi="Arial" w:cs="Arial"/>
          <w:b w:val="0"/>
          <w:bCs w:val="0"/>
          <w:color w:val="000000"/>
        </w:rPr>
        <w:t>Testoni</w:t>
      </w:r>
      <w:proofErr w:type="spellEnd"/>
      <w:r w:rsidRPr="009F2C7E">
        <w:rPr>
          <w:rStyle w:val="Strong"/>
          <w:rFonts w:ascii="Arial" w:eastAsiaTheme="majorEastAsia" w:hAnsi="Arial" w:cs="Arial"/>
          <w:b w:val="0"/>
          <w:bCs w:val="0"/>
          <w:color w:val="000000"/>
        </w:rPr>
        <w:t xml:space="preserve">, I., </w:t>
      </w:r>
      <w:proofErr w:type="spellStart"/>
      <w:r w:rsidRPr="009F2C7E">
        <w:rPr>
          <w:rStyle w:val="Strong"/>
          <w:rFonts w:ascii="Arial" w:eastAsiaTheme="majorEastAsia" w:hAnsi="Arial" w:cs="Arial"/>
          <w:b w:val="0"/>
          <w:bCs w:val="0"/>
          <w:color w:val="000000"/>
        </w:rPr>
        <w:t>Marrella</w:t>
      </w:r>
      <w:proofErr w:type="spellEnd"/>
      <w:r w:rsidRPr="009F2C7E">
        <w:rPr>
          <w:rStyle w:val="Strong"/>
          <w:rFonts w:ascii="Arial" w:eastAsiaTheme="majorEastAsia" w:hAnsi="Arial" w:cs="Arial"/>
          <w:b w:val="0"/>
          <w:bCs w:val="0"/>
          <w:color w:val="000000"/>
        </w:rPr>
        <w:t xml:space="preserve">, F., </w:t>
      </w:r>
      <w:proofErr w:type="spellStart"/>
      <w:r w:rsidRPr="009F2C7E">
        <w:rPr>
          <w:rStyle w:val="Strong"/>
          <w:rFonts w:ascii="Arial" w:eastAsiaTheme="majorEastAsia" w:hAnsi="Arial" w:cs="Arial"/>
          <w:b w:val="0"/>
          <w:bCs w:val="0"/>
          <w:color w:val="000000"/>
        </w:rPr>
        <w:t>Biancalani</w:t>
      </w:r>
      <w:proofErr w:type="spellEnd"/>
      <w:r w:rsidRPr="009F2C7E">
        <w:rPr>
          <w:rStyle w:val="Strong"/>
          <w:rFonts w:ascii="Arial" w:eastAsiaTheme="majorEastAsia" w:hAnsi="Arial" w:cs="Arial"/>
          <w:b w:val="0"/>
          <w:bCs w:val="0"/>
          <w:color w:val="000000"/>
        </w:rPr>
        <w:t xml:space="preserve">, G. and </w:t>
      </w:r>
      <w:proofErr w:type="spellStart"/>
      <w:r w:rsidRPr="009F2C7E">
        <w:rPr>
          <w:rStyle w:val="Strong"/>
          <w:rFonts w:ascii="Arial" w:eastAsiaTheme="majorEastAsia" w:hAnsi="Arial" w:cs="Arial"/>
          <w:b w:val="0"/>
          <w:bCs w:val="0"/>
          <w:color w:val="000000"/>
        </w:rPr>
        <w:t>Cottone</w:t>
      </w:r>
      <w:proofErr w:type="spellEnd"/>
      <w:r w:rsidRPr="009F2C7E">
        <w:rPr>
          <w:rStyle w:val="Strong"/>
          <w:rFonts w:ascii="Arial" w:eastAsiaTheme="majorEastAsia" w:hAnsi="Arial" w:cs="Arial"/>
          <w:b w:val="0"/>
          <w:bCs w:val="0"/>
          <w:color w:val="000000"/>
        </w:rPr>
        <w:t>, P.F. (2020)</w:t>
      </w:r>
      <w:r w:rsidRPr="009F2C7E">
        <w:rPr>
          <w:rStyle w:val="apple-converted-space"/>
          <w:rFonts w:ascii="Arial" w:eastAsiaTheme="majorEastAsia" w:hAnsi="Arial" w:cs="Arial"/>
          <w:color w:val="000000"/>
        </w:rPr>
        <w:t> </w:t>
      </w:r>
      <w:r w:rsidRPr="009F2C7E">
        <w:rPr>
          <w:rFonts w:ascii="Arial" w:hAnsi="Arial" w:cs="Arial"/>
          <w:color w:val="000000"/>
        </w:rPr>
        <w:t>‘The value of dignity in prison: A qualitative study with life convicts’,</w:t>
      </w:r>
      <w:r w:rsidRPr="009F2C7E">
        <w:rPr>
          <w:rStyle w:val="apple-converted-space"/>
          <w:rFonts w:ascii="Arial" w:eastAsiaTheme="majorEastAsia" w:hAnsi="Arial" w:cs="Arial"/>
          <w:color w:val="000000"/>
        </w:rPr>
        <w:t> </w:t>
      </w:r>
      <w:proofErr w:type="spellStart"/>
      <w:r w:rsidRPr="009F2C7E">
        <w:rPr>
          <w:rStyle w:val="Emphasis"/>
          <w:rFonts w:ascii="Arial" w:eastAsiaTheme="majorEastAsia" w:hAnsi="Arial" w:cs="Arial"/>
          <w:color w:val="000000"/>
        </w:rPr>
        <w:t>Behavioral</w:t>
      </w:r>
      <w:proofErr w:type="spellEnd"/>
      <w:r w:rsidRPr="009F2C7E">
        <w:rPr>
          <w:rStyle w:val="Emphasis"/>
          <w:rFonts w:ascii="Arial" w:eastAsiaTheme="majorEastAsia" w:hAnsi="Arial" w:cs="Arial"/>
          <w:color w:val="000000"/>
        </w:rPr>
        <w:t xml:space="preserve"> Sciences,</w:t>
      </w:r>
      <w:r w:rsidRPr="009F2C7E">
        <w:rPr>
          <w:rStyle w:val="apple-converted-space"/>
          <w:rFonts w:ascii="Arial" w:eastAsiaTheme="majorEastAsia" w:hAnsi="Arial" w:cs="Arial"/>
          <w:color w:val="000000"/>
        </w:rPr>
        <w:t> </w:t>
      </w:r>
      <w:r w:rsidRPr="009F2C7E">
        <w:rPr>
          <w:rFonts w:ascii="Arial" w:hAnsi="Arial" w:cs="Arial"/>
          <w:color w:val="000000"/>
        </w:rPr>
        <w:t>10(6), p. 95.</w:t>
      </w:r>
      <w:r w:rsidRPr="009F2C7E">
        <w:rPr>
          <w:rStyle w:val="apple-converted-space"/>
          <w:rFonts w:ascii="Arial" w:eastAsiaTheme="majorEastAsia" w:hAnsi="Arial" w:cs="Arial"/>
          <w:color w:val="000000"/>
        </w:rPr>
        <w:t> </w:t>
      </w:r>
      <w:hyperlink r:id="rId82" w:history="1">
        <w:r w:rsidRPr="009F2C7E">
          <w:rPr>
            <w:rStyle w:val="Hyperlink"/>
            <w:rFonts w:ascii="Arial" w:hAnsi="Arial" w:cs="Arial"/>
          </w:rPr>
          <w:t>https://doi.org/10.3390/bs10060095</w:t>
        </w:r>
      </w:hyperlink>
      <w:r w:rsidRPr="009F2C7E">
        <w:rPr>
          <w:rFonts w:ascii="Arial" w:hAnsi="Arial" w:cs="Arial"/>
          <w:color w:val="000000"/>
        </w:rPr>
        <w:t>.</w:t>
      </w:r>
    </w:p>
    <w:p w14:paraId="4F408392" w14:textId="77777777" w:rsidR="000A4DDA" w:rsidRPr="009F2C7E" w:rsidRDefault="000A4DDA" w:rsidP="000A4DDA">
      <w:pPr>
        <w:pStyle w:val="NormalWeb"/>
        <w:spacing w:line="360" w:lineRule="auto"/>
        <w:rPr>
          <w:rFonts w:ascii="Arial" w:hAnsi="Arial" w:cs="Arial"/>
          <w:color w:val="000000"/>
        </w:rPr>
      </w:pPr>
    </w:p>
    <w:p w14:paraId="79046907"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Tyler, T.R. (2006)</w:t>
      </w:r>
      <w:r w:rsidRPr="009F2C7E">
        <w:rPr>
          <w:rStyle w:val="apple-converted-space"/>
          <w:rFonts w:ascii="Arial" w:eastAsiaTheme="majorEastAsia" w:hAnsi="Arial" w:cs="Arial"/>
          <w:color w:val="000000"/>
        </w:rPr>
        <w:t> </w:t>
      </w:r>
      <w:r w:rsidRPr="009F2C7E">
        <w:rPr>
          <w:rFonts w:ascii="Arial" w:hAnsi="Arial" w:cs="Arial"/>
          <w:color w:val="000000"/>
        </w:rPr>
        <w:t>‘Restorative justice and procedural justice: Dealing with rule-breaking’,</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Journal of Social Issues,</w:t>
      </w:r>
      <w:r w:rsidRPr="009F2C7E">
        <w:rPr>
          <w:rFonts w:ascii="Arial" w:hAnsi="Arial" w:cs="Arial"/>
          <w:color w:val="000000"/>
        </w:rPr>
        <w:t>62(2), pp. 307–326.</w:t>
      </w:r>
      <w:r w:rsidRPr="009F2C7E">
        <w:rPr>
          <w:rStyle w:val="apple-converted-space"/>
          <w:rFonts w:ascii="Arial" w:eastAsiaTheme="majorEastAsia" w:hAnsi="Arial" w:cs="Arial"/>
          <w:color w:val="000000"/>
        </w:rPr>
        <w:t> </w:t>
      </w:r>
      <w:hyperlink r:id="rId83" w:tgtFrame="_new" w:history="1">
        <w:r w:rsidRPr="009F2C7E">
          <w:rPr>
            <w:rStyle w:val="Hyperlink"/>
            <w:rFonts w:ascii="Arial" w:eastAsiaTheme="majorEastAsia" w:hAnsi="Arial" w:cs="Arial"/>
          </w:rPr>
          <w:t>https://doi.org/10.1111/j.1540-4560.2006.00449.x</w:t>
        </w:r>
      </w:hyperlink>
      <w:r w:rsidRPr="009F2C7E">
        <w:rPr>
          <w:rFonts w:ascii="Arial" w:hAnsi="Arial" w:cs="Arial"/>
          <w:color w:val="000000"/>
        </w:rPr>
        <w:t>.</w:t>
      </w:r>
    </w:p>
    <w:p w14:paraId="393E2E73" w14:textId="77777777" w:rsidR="000A4DDA" w:rsidRPr="009F2C7E" w:rsidRDefault="000A4DDA" w:rsidP="000A4DDA">
      <w:pPr>
        <w:pStyle w:val="NormalWeb"/>
        <w:spacing w:line="360" w:lineRule="auto"/>
        <w:rPr>
          <w:rFonts w:ascii="Arial" w:hAnsi="Arial" w:cs="Arial"/>
          <w:color w:val="000000"/>
        </w:rPr>
      </w:pPr>
    </w:p>
    <w:p w14:paraId="2188C3D3"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United Kingdom Government (2003)</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Optional Protocol to the Convention against Torture and Other Cruel, Inhuman or Degrading Treatment or Punishment (OPCAT): Ratification by the United Kingdom.</w:t>
      </w:r>
      <w:r w:rsidRPr="009F2C7E">
        <w:rPr>
          <w:rStyle w:val="apple-converted-space"/>
          <w:rFonts w:ascii="Arial" w:eastAsiaTheme="majorEastAsia" w:hAnsi="Arial" w:cs="Arial"/>
          <w:color w:val="000000"/>
        </w:rPr>
        <w:t> </w:t>
      </w:r>
      <w:r w:rsidRPr="009F2C7E">
        <w:rPr>
          <w:rFonts w:ascii="Arial" w:hAnsi="Arial" w:cs="Arial"/>
          <w:color w:val="000000"/>
        </w:rPr>
        <w:t>[online] Available at:</w:t>
      </w:r>
      <w:r w:rsidRPr="009F2C7E">
        <w:rPr>
          <w:rStyle w:val="apple-converted-space"/>
          <w:rFonts w:ascii="Arial" w:eastAsiaTheme="majorEastAsia" w:hAnsi="Arial" w:cs="Arial"/>
          <w:color w:val="000000"/>
        </w:rPr>
        <w:t> </w:t>
      </w:r>
      <w:hyperlink r:id="rId84" w:tgtFrame="_new" w:history="1">
        <w:r w:rsidRPr="009F2C7E">
          <w:rPr>
            <w:rStyle w:val="Hyperlink"/>
            <w:rFonts w:ascii="Arial" w:eastAsiaTheme="majorEastAsia" w:hAnsi="Arial" w:cs="Arial"/>
          </w:rPr>
          <w:t>https://www.gov.uk/government/publications/optional-protocol-to-the-convention-against-torture-opcat</w:t>
        </w:r>
      </w:hyperlink>
      <w:r w:rsidRPr="009F2C7E">
        <w:rPr>
          <w:rStyle w:val="apple-converted-space"/>
          <w:rFonts w:ascii="Arial" w:eastAsiaTheme="majorEastAsia" w:hAnsi="Arial" w:cs="Arial"/>
          <w:color w:val="000000"/>
        </w:rPr>
        <w:t> </w:t>
      </w:r>
      <w:r w:rsidRPr="009F2C7E">
        <w:rPr>
          <w:rFonts w:ascii="Arial" w:hAnsi="Arial" w:cs="Arial"/>
          <w:color w:val="000000"/>
        </w:rPr>
        <w:t>(Accessed: 3 November 2025).</w:t>
      </w:r>
    </w:p>
    <w:p w14:paraId="16CD4B86" w14:textId="77777777" w:rsidR="000A4DDA" w:rsidRPr="009F2C7E" w:rsidRDefault="000A4DDA" w:rsidP="000A4DDA">
      <w:pPr>
        <w:pStyle w:val="NormalWeb"/>
        <w:spacing w:line="360" w:lineRule="auto"/>
        <w:rPr>
          <w:rFonts w:ascii="Arial" w:hAnsi="Arial" w:cs="Arial"/>
          <w:color w:val="000000"/>
        </w:rPr>
      </w:pPr>
    </w:p>
    <w:p w14:paraId="5CD70D4C"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United Kingdom Government (2024)</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Universal Periodic Review of the United Kingdom – Opening Statement.</w:t>
      </w:r>
      <w:r w:rsidRPr="009F2C7E">
        <w:rPr>
          <w:rStyle w:val="apple-converted-space"/>
          <w:rFonts w:ascii="Arial" w:eastAsiaTheme="majorEastAsia" w:hAnsi="Arial" w:cs="Arial"/>
          <w:color w:val="000000"/>
        </w:rPr>
        <w:t> </w:t>
      </w:r>
      <w:r w:rsidRPr="009F2C7E">
        <w:rPr>
          <w:rFonts w:ascii="Arial" w:hAnsi="Arial" w:cs="Arial"/>
          <w:color w:val="000000"/>
        </w:rPr>
        <w:t>[online] Available at:</w:t>
      </w:r>
      <w:r w:rsidRPr="009F2C7E">
        <w:rPr>
          <w:rStyle w:val="apple-converted-space"/>
          <w:rFonts w:ascii="Arial" w:eastAsiaTheme="majorEastAsia" w:hAnsi="Arial" w:cs="Arial"/>
          <w:color w:val="000000"/>
        </w:rPr>
        <w:t> </w:t>
      </w:r>
      <w:hyperlink r:id="rId85" w:tgtFrame="_new" w:history="1">
        <w:r w:rsidRPr="009F2C7E">
          <w:rPr>
            <w:rStyle w:val="Hyperlink"/>
            <w:rFonts w:ascii="Arial" w:eastAsiaTheme="majorEastAsia" w:hAnsi="Arial" w:cs="Arial"/>
          </w:rPr>
          <w:t>https://www.gov.uk/government/speeches/universal-periodic-review-of-the-united-kingdom-opening-statement</w:t>
        </w:r>
      </w:hyperlink>
      <w:r w:rsidRPr="009F2C7E">
        <w:rPr>
          <w:rFonts w:ascii="Arial" w:hAnsi="Arial" w:cs="Arial"/>
          <w:color w:val="000000"/>
        </w:rPr>
        <w:t>(Accessed: 3 November 2025).</w:t>
      </w:r>
    </w:p>
    <w:p w14:paraId="41261099" w14:textId="77777777" w:rsidR="000A4DDA" w:rsidRPr="009F2C7E" w:rsidRDefault="000A4DDA" w:rsidP="000A4DDA">
      <w:pPr>
        <w:pStyle w:val="NormalWeb"/>
        <w:spacing w:line="360" w:lineRule="auto"/>
        <w:rPr>
          <w:rFonts w:ascii="Arial" w:hAnsi="Arial" w:cs="Arial"/>
          <w:color w:val="000000"/>
        </w:rPr>
      </w:pPr>
    </w:p>
    <w:p w14:paraId="6C579E50"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United Kingdom National Preventive Mechanism (2024)</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15th Annual Report 2023/24.</w:t>
      </w:r>
      <w:r w:rsidRPr="009F2C7E">
        <w:rPr>
          <w:rStyle w:val="apple-converted-space"/>
          <w:rFonts w:ascii="Arial" w:eastAsiaTheme="majorEastAsia" w:hAnsi="Arial" w:cs="Arial"/>
          <w:color w:val="000000"/>
        </w:rPr>
        <w:t> </w:t>
      </w:r>
      <w:r w:rsidRPr="009F2C7E">
        <w:rPr>
          <w:rFonts w:ascii="Arial" w:hAnsi="Arial" w:cs="Arial"/>
          <w:color w:val="000000"/>
        </w:rPr>
        <w:t>London: UK NPM. Available at:</w:t>
      </w:r>
      <w:r w:rsidRPr="009F2C7E">
        <w:rPr>
          <w:rStyle w:val="apple-converted-space"/>
          <w:rFonts w:ascii="Arial" w:eastAsiaTheme="majorEastAsia" w:hAnsi="Arial" w:cs="Arial"/>
          <w:color w:val="000000"/>
        </w:rPr>
        <w:t> </w:t>
      </w:r>
      <w:hyperlink r:id="rId86" w:tgtFrame="_new" w:history="1">
        <w:r w:rsidRPr="009F2C7E">
          <w:rPr>
            <w:rStyle w:val="Hyperlink"/>
            <w:rFonts w:ascii="Arial" w:eastAsiaTheme="majorEastAsia" w:hAnsi="Arial" w:cs="Arial"/>
          </w:rPr>
          <w:t>https://cloud-platform-e218f50a4812967ba1215eaecede923f.s3.amazonaws.com/uploads/sites/23/2024/12/UK-NPM-15th-Annual-Report.pdf</w:t>
        </w:r>
      </w:hyperlink>
      <w:r w:rsidRPr="009F2C7E">
        <w:rPr>
          <w:rStyle w:val="apple-converted-space"/>
          <w:rFonts w:ascii="Arial" w:eastAsiaTheme="majorEastAsia" w:hAnsi="Arial" w:cs="Arial"/>
          <w:color w:val="000000"/>
        </w:rPr>
        <w:t> </w:t>
      </w:r>
      <w:r w:rsidRPr="009F2C7E">
        <w:rPr>
          <w:rFonts w:ascii="Arial" w:hAnsi="Arial" w:cs="Arial"/>
          <w:color w:val="000000"/>
        </w:rPr>
        <w:t>(Accessed: 3 November 2025).</w:t>
      </w:r>
    </w:p>
    <w:p w14:paraId="78615001" w14:textId="77777777" w:rsidR="000A4DDA" w:rsidRPr="009F2C7E" w:rsidRDefault="000A4DDA" w:rsidP="000A4DDA">
      <w:pPr>
        <w:pStyle w:val="NormalWeb"/>
        <w:spacing w:line="360" w:lineRule="auto"/>
        <w:rPr>
          <w:rFonts w:ascii="Arial" w:hAnsi="Arial" w:cs="Arial"/>
          <w:color w:val="000000"/>
        </w:rPr>
      </w:pPr>
    </w:p>
    <w:p w14:paraId="48473A9D"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United Kingdom National Preventive Mechanism (2025)</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Submission to the Independent Sentencing Review 2024–25.</w:t>
      </w:r>
      <w:r w:rsidRPr="009F2C7E">
        <w:rPr>
          <w:rStyle w:val="apple-converted-space"/>
          <w:rFonts w:ascii="Arial" w:eastAsiaTheme="majorEastAsia" w:hAnsi="Arial" w:cs="Arial"/>
          <w:color w:val="000000"/>
        </w:rPr>
        <w:t> </w:t>
      </w:r>
      <w:r w:rsidRPr="009F2C7E">
        <w:rPr>
          <w:rFonts w:ascii="Arial" w:hAnsi="Arial" w:cs="Arial"/>
          <w:color w:val="000000"/>
        </w:rPr>
        <w:t>[online] Available at:</w:t>
      </w:r>
      <w:r w:rsidRPr="009F2C7E">
        <w:rPr>
          <w:rStyle w:val="apple-converted-space"/>
          <w:rFonts w:ascii="Arial" w:eastAsiaTheme="majorEastAsia" w:hAnsi="Arial" w:cs="Arial"/>
          <w:color w:val="000000"/>
        </w:rPr>
        <w:t> </w:t>
      </w:r>
      <w:hyperlink r:id="rId87" w:tgtFrame="_new" w:history="1">
        <w:r w:rsidRPr="009F2C7E">
          <w:rPr>
            <w:rStyle w:val="Hyperlink"/>
            <w:rFonts w:ascii="Arial" w:eastAsiaTheme="majorEastAsia" w:hAnsi="Arial" w:cs="Arial"/>
          </w:rPr>
          <w:t>https://cloud-platform-e218f50a4812967ba1215eaecede923f.s3.amazonaws.com/uploads/sites/23/2025/05/UK-NPM-Submission-Independent-Sentencing-Review-100125.pdf</w:t>
        </w:r>
      </w:hyperlink>
      <w:r w:rsidRPr="009F2C7E">
        <w:rPr>
          <w:rStyle w:val="apple-converted-space"/>
          <w:rFonts w:ascii="Arial" w:eastAsiaTheme="majorEastAsia" w:hAnsi="Arial" w:cs="Arial"/>
          <w:color w:val="000000"/>
        </w:rPr>
        <w:t> </w:t>
      </w:r>
      <w:r w:rsidRPr="009F2C7E">
        <w:rPr>
          <w:rFonts w:ascii="Arial" w:hAnsi="Arial" w:cs="Arial"/>
          <w:color w:val="000000"/>
        </w:rPr>
        <w:t>(Accessed: 3 November 2025).</w:t>
      </w:r>
    </w:p>
    <w:p w14:paraId="6FA06370" w14:textId="77777777" w:rsidR="000A4DDA" w:rsidRPr="009F2C7E" w:rsidRDefault="000A4DDA" w:rsidP="000A4DDA">
      <w:pPr>
        <w:pStyle w:val="NormalWeb"/>
        <w:spacing w:line="360" w:lineRule="auto"/>
        <w:rPr>
          <w:rFonts w:ascii="Arial" w:hAnsi="Arial" w:cs="Arial"/>
          <w:color w:val="000000"/>
        </w:rPr>
      </w:pPr>
    </w:p>
    <w:p w14:paraId="7713A7AF"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United Kingdom Parliament, House of Commons Library (2024)</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What is the Government doing to reduce pressure on prison capacity?</w:t>
      </w:r>
      <w:r w:rsidRPr="009F2C7E">
        <w:rPr>
          <w:rStyle w:val="apple-converted-space"/>
          <w:rFonts w:ascii="Arial" w:eastAsiaTheme="majorEastAsia" w:hAnsi="Arial" w:cs="Arial"/>
          <w:color w:val="000000"/>
        </w:rPr>
        <w:t> </w:t>
      </w:r>
      <w:r w:rsidRPr="009F2C7E">
        <w:rPr>
          <w:rFonts w:ascii="Arial" w:hAnsi="Arial" w:cs="Arial"/>
          <w:color w:val="000000"/>
        </w:rPr>
        <w:t>[online] Available at:</w:t>
      </w:r>
      <w:r w:rsidRPr="009F2C7E">
        <w:rPr>
          <w:rStyle w:val="apple-converted-space"/>
          <w:rFonts w:ascii="Arial" w:eastAsiaTheme="majorEastAsia" w:hAnsi="Arial" w:cs="Arial"/>
          <w:color w:val="000000"/>
        </w:rPr>
        <w:t> </w:t>
      </w:r>
      <w:hyperlink r:id="rId88" w:tgtFrame="_new" w:history="1">
        <w:r w:rsidRPr="009F2C7E">
          <w:rPr>
            <w:rStyle w:val="Hyperlink"/>
            <w:rFonts w:ascii="Arial" w:eastAsiaTheme="majorEastAsia" w:hAnsi="Arial" w:cs="Arial"/>
          </w:rPr>
          <w:t>https://commonslibrary.parliament.uk/what-is-the-government-doing-to-reduce-pressure-on-prison-capacity/</w:t>
        </w:r>
      </w:hyperlink>
      <w:r w:rsidRPr="009F2C7E">
        <w:rPr>
          <w:rStyle w:val="apple-converted-space"/>
          <w:rFonts w:ascii="Arial" w:eastAsiaTheme="majorEastAsia" w:hAnsi="Arial" w:cs="Arial"/>
          <w:color w:val="000000"/>
        </w:rPr>
        <w:t> </w:t>
      </w:r>
      <w:r w:rsidRPr="009F2C7E">
        <w:rPr>
          <w:rFonts w:ascii="Arial" w:hAnsi="Arial" w:cs="Arial"/>
          <w:color w:val="000000"/>
        </w:rPr>
        <w:t>(Accessed: 3 November 2025).</w:t>
      </w:r>
    </w:p>
    <w:p w14:paraId="4814E946" w14:textId="77777777" w:rsidR="000A4DDA" w:rsidRPr="009F2C7E" w:rsidRDefault="000A4DDA" w:rsidP="000A4DDA">
      <w:pPr>
        <w:pStyle w:val="NormalWeb"/>
        <w:spacing w:line="360" w:lineRule="auto"/>
        <w:rPr>
          <w:rFonts w:ascii="Arial" w:hAnsi="Arial" w:cs="Arial"/>
          <w:color w:val="000000"/>
        </w:rPr>
      </w:pPr>
    </w:p>
    <w:p w14:paraId="6545F047"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United Kingdom Parliament Joint Committee on Human Rights (2025)</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Legislative Scrutiny: Mental Health Bill.</w:t>
      </w:r>
      <w:r w:rsidRPr="009F2C7E">
        <w:rPr>
          <w:rStyle w:val="apple-converted-space"/>
          <w:rFonts w:ascii="Arial" w:eastAsiaTheme="majorEastAsia" w:hAnsi="Arial" w:cs="Arial"/>
          <w:color w:val="000000"/>
        </w:rPr>
        <w:t> </w:t>
      </w:r>
      <w:r w:rsidRPr="009F2C7E">
        <w:rPr>
          <w:rFonts w:ascii="Arial" w:hAnsi="Arial" w:cs="Arial"/>
          <w:color w:val="000000"/>
        </w:rPr>
        <w:t>London: UK Parliament. Available at:</w:t>
      </w:r>
      <w:r w:rsidRPr="009F2C7E">
        <w:rPr>
          <w:rStyle w:val="apple-converted-space"/>
          <w:rFonts w:ascii="Arial" w:eastAsiaTheme="majorEastAsia" w:hAnsi="Arial" w:cs="Arial"/>
          <w:color w:val="000000"/>
        </w:rPr>
        <w:t> </w:t>
      </w:r>
      <w:hyperlink r:id="rId89" w:tgtFrame="_new" w:history="1">
        <w:r w:rsidRPr="009F2C7E">
          <w:rPr>
            <w:rStyle w:val="Hyperlink"/>
            <w:rFonts w:ascii="Arial" w:eastAsiaTheme="majorEastAsia" w:hAnsi="Arial" w:cs="Arial"/>
          </w:rPr>
          <w:t>https://committees.parliament.uk/publications/47961/documents/250837/default/</w:t>
        </w:r>
      </w:hyperlink>
      <w:r w:rsidRPr="009F2C7E">
        <w:rPr>
          <w:rFonts w:ascii="Arial" w:hAnsi="Arial" w:cs="Arial"/>
          <w:color w:val="000000"/>
        </w:rPr>
        <w:t>(Accessed: 3 November 2025).</w:t>
      </w:r>
    </w:p>
    <w:p w14:paraId="471FC96E" w14:textId="77777777" w:rsidR="000A4DDA" w:rsidRPr="009F2C7E" w:rsidRDefault="000A4DDA" w:rsidP="000A4DDA">
      <w:pPr>
        <w:pStyle w:val="NormalWeb"/>
        <w:spacing w:line="360" w:lineRule="auto"/>
        <w:rPr>
          <w:rFonts w:ascii="Arial" w:hAnsi="Arial" w:cs="Arial"/>
          <w:color w:val="000000"/>
        </w:rPr>
      </w:pPr>
    </w:p>
    <w:p w14:paraId="297F618C"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United Nations (1989)</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Convention on the Rights of the Child.</w:t>
      </w:r>
      <w:r w:rsidRPr="009F2C7E">
        <w:rPr>
          <w:rStyle w:val="apple-converted-space"/>
          <w:rFonts w:ascii="Arial" w:eastAsiaTheme="majorEastAsia" w:hAnsi="Arial" w:cs="Arial"/>
          <w:color w:val="000000"/>
        </w:rPr>
        <w:t> </w:t>
      </w:r>
      <w:r w:rsidRPr="009F2C7E">
        <w:rPr>
          <w:rFonts w:ascii="Arial" w:hAnsi="Arial" w:cs="Arial"/>
          <w:color w:val="000000"/>
        </w:rPr>
        <w:t>New York: United Nations General Assembly. Available at:</w:t>
      </w:r>
      <w:r w:rsidRPr="009F2C7E">
        <w:rPr>
          <w:rStyle w:val="apple-converted-space"/>
          <w:rFonts w:ascii="Arial" w:eastAsiaTheme="majorEastAsia" w:hAnsi="Arial" w:cs="Arial"/>
          <w:color w:val="000000"/>
        </w:rPr>
        <w:t> </w:t>
      </w:r>
      <w:hyperlink r:id="rId90" w:tgtFrame="_new" w:history="1">
        <w:r w:rsidRPr="009F2C7E">
          <w:rPr>
            <w:rStyle w:val="Hyperlink"/>
            <w:rFonts w:ascii="Arial" w:eastAsiaTheme="majorEastAsia" w:hAnsi="Arial" w:cs="Arial"/>
          </w:rPr>
          <w:t>https://www.ohchr.org/en/instruments-mechanisms/instruments/convention-rights-child</w:t>
        </w:r>
      </w:hyperlink>
      <w:r w:rsidRPr="009F2C7E">
        <w:rPr>
          <w:rStyle w:val="apple-converted-space"/>
          <w:rFonts w:ascii="Arial" w:eastAsiaTheme="majorEastAsia" w:hAnsi="Arial" w:cs="Arial"/>
          <w:color w:val="000000"/>
        </w:rPr>
        <w:t> </w:t>
      </w:r>
      <w:r w:rsidRPr="009F2C7E">
        <w:rPr>
          <w:rFonts w:ascii="Arial" w:hAnsi="Arial" w:cs="Arial"/>
          <w:color w:val="000000"/>
        </w:rPr>
        <w:t>(Accessed: 3 November 2025).</w:t>
      </w:r>
    </w:p>
    <w:p w14:paraId="16CDF082" w14:textId="77777777" w:rsidR="000A4DDA" w:rsidRPr="009F2C7E" w:rsidRDefault="000A4DDA" w:rsidP="000A4DDA">
      <w:pPr>
        <w:pStyle w:val="NormalWeb"/>
        <w:spacing w:line="360" w:lineRule="auto"/>
        <w:rPr>
          <w:rFonts w:ascii="Arial" w:hAnsi="Arial" w:cs="Arial"/>
          <w:color w:val="000000"/>
        </w:rPr>
      </w:pPr>
    </w:p>
    <w:p w14:paraId="75906AFD"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United Nations (2010)</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United Nations Rules for the Treatment of Women Prisoners and Non-Custodial Measures for Women Offenders (the Bangkok Rules).</w:t>
      </w:r>
      <w:r w:rsidRPr="009F2C7E">
        <w:rPr>
          <w:rStyle w:val="apple-converted-space"/>
          <w:rFonts w:ascii="Arial" w:eastAsiaTheme="majorEastAsia" w:hAnsi="Arial" w:cs="Arial"/>
          <w:color w:val="000000"/>
        </w:rPr>
        <w:t> </w:t>
      </w:r>
      <w:r w:rsidRPr="009F2C7E">
        <w:rPr>
          <w:rFonts w:ascii="Arial" w:hAnsi="Arial" w:cs="Arial"/>
          <w:color w:val="000000"/>
        </w:rPr>
        <w:t>New York: United Nations. Available at:</w:t>
      </w:r>
      <w:r w:rsidRPr="009F2C7E">
        <w:rPr>
          <w:rStyle w:val="apple-converted-space"/>
          <w:rFonts w:ascii="Arial" w:eastAsiaTheme="majorEastAsia" w:hAnsi="Arial" w:cs="Arial"/>
          <w:color w:val="000000"/>
        </w:rPr>
        <w:t> </w:t>
      </w:r>
      <w:hyperlink r:id="rId91" w:tgtFrame="_new" w:history="1">
        <w:r w:rsidRPr="009F2C7E">
          <w:rPr>
            <w:rStyle w:val="Hyperlink"/>
            <w:rFonts w:ascii="Arial" w:eastAsiaTheme="majorEastAsia" w:hAnsi="Arial" w:cs="Arial"/>
          </w:rPr>
          <w:t>https://www.unodc.org/documents/justice-and-prison-reform/Bangkok_Rules_ENG_22032015.pdf</w:t>
        </w:r>
      </w:hyperlink>
      <w:r w:rsidRPr="009F2C7E">
        <w:rPr>
          <w:rStyle w:val="apple-converted-space"/>
          <w:rFonts w:ascii="Arial" w:eastAsiaTheme="majorEastAsia" w:hAnsi="Arial" w:cs="Arial"/>
          <w:color w:val="000000"/>
        </w:rPr>
        <w:t> </w:t>
      </w:r>
      <w:r w:rsidRPr="009F2C7E">
        <w:rPr>
          <w:rFonts w:ascii="Arial" w:hAnsi="Arial" w:cs="Arial"/>
          <w:color w:val="000000"/>
        </w:rPr>
        <w:t>(Accessed: 3 November 2025).</w:t>
      </w:r>
    </w:p>
    <w:p w14:paraId="40655BDA" w14:textId="77777777" w:rsidR="000A4DDA" w:rsidRPr="009F2C7E" w:rsidRDefault="000A4DDA" w:rsidP="000A4DDA">
      <w:pPr>
        <w:pStyle w:val="NormalWeb"/>
        <w:spacing w:line="360" w:lineRule="auto"/>
        <w:rPr>
          <w:rFonts w:ascii="Arial" w:hAnsi="Arial" w:cs="Arial"/>
          <w:color w:val="000000"/>
        </w:rPr>
      </w:pPr>
    </w:p>
    <w:p w14:paraId="0B81A246"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United Nations (2015)</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United Nations Standard Minimum Rules for the Treatment of Prisoners (the Nelson Mandela Rules).</w:t>
      </w:r>
      <w:r w:rsidRPr="009F2C7E">
        <w:rPr>
          <w:rStyle w:val="apple-converted-space"/>
          <w:rFonts w:ascii="Arial" w:eastAsiaTheme="majorEastAsia" w:hAnsi="Arial" w:cs="Arial"/>
          <w:color w:val="000000"/>
        </w:rPr>
        <w:t> </w:t>
      </w:r>
      <w:r w:rsidRPr="009F2C7E">
        <w:rPr>
          <w:rFonts w:ascii="Arial" w:hAnsi="Arial" w:cs="Arial"/>
          <w:color w:val="000000"/>
        </w:rPr>
        <w:t>New York: United Nations. Available at:</w:t>
      </w:r>
      <w:r w:rsidRPr="009F2C7E">
        <w:rPr>
          <w:rStyle w:val="apple-converted-space"/>
          <w:rFonts w:ascii="Arial" w:eastAsiaTheme="majorEastAsia" w:hAnsi="Arial" w:cs="Arial"/>
          <w:color w:val="000000"/>
        </w:rPr>
        <w:t> </w:t>
      </w:r>
      <w:hyperlink r:id="rId92" w:tgtFrame="_new" w:history="1">
        <w:r w:rsidRPr="009F2C7E">
          <w:rPr>
            <w:rStyle w:val="Hyperlink"/>
            <w:rFonts w:ascii="Arial" w:eastAsiaTheme="majorEastAsia" w:hAnsi="Arial" w:cs="Arial"/>
          </w:rPr>
          <w:t>https://www.unodc.org/unodc/en/justice-and-prison-reform/NMRules.html</w:t>
        </w:r>
      </w:hyperlink>
      <w:r w:rsidRPr="009F2C7E">
        <w:rPr>
          <w:rStyle w:val="apple-converted-space"/>
          <w:rFonts w:ascii="Arial" w:eastAsiaTheme="majorEastAsia" w:hAnsi="Arial" w:cs="Arial"/>
          <w:color w:val="000000"/>
        </w:rPr>
        <w:t> </w:t>
      </w:r>
      <w:r w:rsidRPr="009F2C7E">
        <w:rPr>
          <w:rFonts w:ascii="Arial" w:hAnsi="Arial" w:cs="Arial"/>
          <w:color w:val="000000"/>
        </w:rPr>
        <w:t>(Accessed: 31 October 2025).</w:t>
      </w:r>
    </w:p>
    <w:p w14:paraId="073B1660" w14:textId="77777777" w:rsidR="000A4DDA" w:rsidRPr="009F2C7E" w:rsidRDefault="000A4DDA" w:rsidP="000A4DDA">
      <w:pPr>
        <w:pStyle w:val="NormalWeb"/>
        <w:spacing w:line="360" w:lineRule="auto"/>
        <w:rPr>
          <w:rFonts w:ascii="Arial" w:hAnsi="Arial" w:cs="Arial"/>
          <w:color w:val="000000"/>
        </w:rPr>
      </w:pPr>
    </w:p>
    <w:p w14:paraId="00D6042C"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United Nations Committee Against Torture (2024)</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 xml:space="preserve">Report of the Committee Against Torture, 77th–79th </w:t>
      </w:r>
      <w:proofErr w:type="spellStart"/>
      <w:proofErr w:type="gramStart"/>
      <w:r w:rsidRPr="009F2C7E">
        <w:rPr>
          <w:rStyle w:val="Emphasis"/>
          <w:rFonts w:ascii="Arial" w:eastAsiaTheme="majorEastAsia" w:hAnsi="Arial" w:cs="Arial"/>
          <w:color w:val="000000"/>
        </w:rPr>
        <w:t>sessions.</w:t>
      </w:r>
      <w:r w:rsidRPr="009F2C7E">
        <w:rPr>
          <w:rFonts w:ascii="Arial" w:hAnsi="Arial" w:cs="Arial"/>
          <w:color w:val="000000"/>
        </w:rPr>
        <w:t>New</w:t>
      </w:r>
      <w:proofErr w:type="spellEnd"/>
      <w:proofErr w:type="gramEnd"/>
      <w:r w:rsidRPr="009F2C7E">
        <w:rPr>
          <w:rFonts w:ascii="Arial" w:hAnsi="Arial" w:cs="Arial"/>
          <w:color w:val="000000"/>
        </w:rPr>
        <w:t xml:space="preserve"> York: United Nations. Available at:</w:t>
      </w:r>
      <w:r w:rsidRPr="009F2C7E">
        <w:rPr>
          <w:rStyle w:val="apple-converted-space"/>
          <w:rFonts w:ascii="Arial" w:eastAsiaTheme="majorEastAsia" w:hAnsi="Arial" w:cs="Arial"/>
          <w:color w:val="000000"/>
        </w:rPr>
        <w:t> </w:t>
      </w:r>
      <w:hyperlink r:id="rId93" w:tgtFrame="_new" w:history="1">
        <w:r w:rsidRPr="009F2C7E">
          <w:rPr>
            <w:rStyle w:val="Hyperlink"/>
            <w:rFonts w:ascii="Arial" w:eastAsiaTheme="majorEastAsia" w:hAnsi="Arial" w:cs="Arial"/>
          </w:rPr>
          <w:t>https://digitallibrary.un.org/record/4053878/files/A_79_44-EN.pdf</w:t>
        </w:r>
      </w:hyperlink>
      <w:r w:rsidRPr="009F2C7E">
        <w:rPr>
          <w:rFonts w:ascii="Arial" w:hAnsi="Arial" w:cs="Arial"/>
          <w:color w:val="000000"/>
        </w:rPr>
        <w:t>(Accessed: 3 November 2025).</w:t>
      </w:r>
    </w:p>
    <w:p w14:paraId="2D6AAE4E" w14:textId="77777777" w:rsidR="000A4DDA" w:rsidRPr="009F2C7E" w:rsidRDefault="000A4DDA" w:rsidP="000A4DDA">
      <w:pPr>
        <w:pStyle w:val="NormalWeb"/>
        <w:spacing w:line="360" w:lineRule="auto"/>
        <w:rPr>
          <w:rFonts w:ascii="Arial" w:hAnsi="Arial" w:cs="Arial"/>
          <w:color w:val="000000"/>
        </w:rPr>
      </w:pPr>
    </w:p>
    <w:p w14:paraId="70ADA127"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United Nations Office on Drugs and Crime (2022)</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Treatment of drug use disorders and associated mental health disorders in prison settings: Standards and best practices.</w:t>
      </w:r>
      <w:r w:rsidRPr="009F2C7E">
        <w:rPr>
          <w:rStyle w:val="apple-converted-space"/>
          <w:rFonts w:ascii="Arial" w:eastAsiaTheme="majorEastAsia" w:hAnsi="Arial" w:cs="Arial"/>
          <w:color w:val="000000"/>
        </w:rPr>
        <w:t> </w:t>
      </w:r>
      <w:r w:rsidRPr="009F2C7E">
        <w:rPr>
          <w:rFonts w:ascii="Arial" w:hAnsi="Arial" w:cs="Arial"/>
          <w:color w:val="000000"/>
        </w:rPr>
        <w:t>Vienna: UNODC. Available at:</w:t>
      </w:r>
      <w:r w:rsidRPr="009F2C7E">
        <w:rPr>
          <w:rStyle w:val="apple-converted-space"/>
          <w:rFonts w:ascii="Arial" w:eastAsiaTheme="majorEastAsia" w:hAnsi="Arial" w:cs="Arial"/>
          <w:color w:val="000000"/>
        </w:rPr>
        <w:t> </w:t>
      </w:r>
      <w:hyperlink r:id="rId94" w:tgtFrame="_new" w:history="1">
        <w:r w:rsidRPr="009F2C7E">
          <w:rPr>
            <w:rStyle w:val="Hyperlink"/>
            <w:rFonts w:ascii="Arial" w:eastAsiaTheme="majorEastAsia" w:hAnsi="Arial" w:cs="Arial"/>
          </w:rPr>
          <w:t>https://www.unodc.org/documents/drug-prevention-and-treatment/UNODC_TX_in_Prisons_March22.pdf</w:t>
        </w:r>
      </w:hyperlink>
      <w:r w:rsidRPr="009F2C7E">
        <w:rPr>
          <w:rFonts w:ascii="Arial" w:hAnsi="Arial" w:cs="Arial"/>
          <w:color w:val="000000"/>
        </w:rPr>
        <w:t>(Accessed: 3 November 2025).</w:t>
      </w:r>
    </w:p>
    <w:p w14:paraId="500C5110" w14:textId="77777777" w:rsidR="000A4DDA" w:rsidRPr="009F2C7E" w:rsidRDefault="000A4DDA" w:rsidP="000A4DDA">
      <w:pPr>
        <w:pStyle w:val="NormalWeb"/>
        <w:spacing w:line="360" w:lineRule="auto"/>
        <w:rPr>
          <w:rFonts w:ascii="Arial" w:hAnsi="Arial" w:cs="Arial"/>
          <w:color w:val="000000"/>
        </w:rPr>
      </w:pPr>
    </w:p>
    <w:p w14:paraId="038EA6A9"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lastRenderedPageBreak/>
        <w:t xml:space="preserve">Van de </w:t>
      </w:r>
      <w:proofErr w:type="spellStart"/>
      <w:r w:rsidRPr="009F2C7E">
        <w:rPr>
          <w:rStyle w:val="Strong"/>
          <w:rFonts w:ascii="Arial" w:eastAsiaTheme="majorEastAsia" w:hAnsi="Arial" w:cs="Arial"/>
          <w:b w:val="0"/>
          <w:bCs w:val="0"/>
          <w:color w:val="000000"/>
        </w:rPr>
        <w:t>Rijt</w:t>
      </w:r>
      <w:proofErr w:type="spellEnd"/>
      <w:r w:rsidRPr="009F2C7E">
        <w:rPr>
          <w:rStyle w:val="Strong"/>
          <w:rFonts w:ascii="Arial" w:eastAsiaTheme="majorEastAsia" w:hAnsi="Arial" w:cs="Arial"/>
          <w:b w:val="0"/>
          <w:bCs w:val="0"/>
          <w:color w:val="000000"/>
        </w:rPr>
        <w:t xml:space="preserve">, J.I.B., van </w:t>
      </w:r>
      <w:proofErr w:type="spellStart"/>
      <w:r w:rsidRPr="009F2C7E">
        <w:rPr>
          <w:rStyle w:val="Strong"/>
          <w:rFonts w:ascii="Arial" w:eastAsiaTheme="majorEastAsia" w:hAnsi="Arial" w:cs="Arial"/>
          <w:b w:val="0"/>
          <w:bCs w:val="0"/>
          <w:color w:val="000000"/>
        </w:rPr>
        <w:t>Ginneken</w:t>
      </w:r>
      <w:proofErr w:type="spellEnd"/>
      <w:r w:rsidRPr="009F2C7E">
        <w:rPr>
          <w:rStyle w:val="Strong"/>
          <w:rFonts w:ascii="Arial" w:eastAsiaTheme="majorEastAsia" w:hAnsi="Arial" w:cs="Arial"/>
          <w:b w:val="0"/>
          <w:bCs w:val="0"/>
          <w:color w:val="000000"/>
        </w:rPr>
        <w:t>, E. and Boone, M. (2023)</w:t>
      </w:r>
      <w:r w:rsidRPr="009F2C7E">
        <w:rPr>
          <w:rStyle w:val="apple-converted-space"/>
          <w:rFonts w:ascii="Arial" w:eastAsiaTheme="majorEastAsia" w:hAnsi="Arial" w:cs="Arial"/>
          <w:color w:val="000000"/>
        </w:rPr>
        <w:t> </w:t>
      </w:r>
      <w:r w:rsidRPr="009F2C7E">
        <w:rPr>
          <w:rFonts w:ascii="Arial" w:hAnsi="Arial" w:cs="Arial"/>
          <w:color w:val="000000"/>
        </w:rPr>
        <w:t>‘Lost in translation: The principle of normalisation in prison policy in Norway and the Netherlands’,</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Punishment &amp; Society,</w:t>
      </w:r>
      <w:r w:rsidRPr="009F2C7E">
        <w:rPr>
          <w:rStyle w:val="apple-converted-space"/>
          <w:rFonts w:ascii="Arial" w:eastAsiaTheme="majorEastAsia" w:hAnsi="Arial" w:cs="Arial"/>
          <w:color w:val="000000"/>
        </w:rPr>
        <w:t> </w:t>
      </w:r>
      <w:r w:rsidRPr="009F2C7E">
        <w:rPr>
          <w:rFonts w:ascii="Arial" w:hAnsi="Arial" w:cs="Arial"/>
          <w:color w:val="000000"/>
        </w:rPr>
        <w:t>25(3), pp. 766–783.</w:t>
      </w:r>
      <w:r w:rsidRPr="009F2C7E">
        <w:rPr>
          <w:rStyle w:val="apple-converted-space"/>
          <w:rFonts w:ascii="Arial" w:eastAsiaTheme="majorEastAsia" w:hAnsi="Arial" w:cs="Arial"/>
          <w:color w:val="000000"/>
        </w:rPr>
        <w:t> </w:t>
      </w:r>
      <w:hyperlink r:id="rId95" w:history="1">
        <w:r w:rsidRPr="009F2C7E">
          <w:rPr>
            <w:rStyle w:val="Hyperlink"/>
            <w:rFonts w:ascii="Arial" w:hAnsi="Arial" w:cs="Arial"/>
          </w:rPr>
          <w:t>https://doi.org/10.1177/14624745221103823</w:t>
        </w:r>
      </w:hyperlink>
      <w:r w:rsidRPr="009F2C7E">
        <w:rPr>
          <w:rFonts w:ascii="Arial" w:hAnsi="Arial" w:cs="Arial"/>
          <w:color w:val="000000"/>
        </w:rPr>
        <w:t>.</w:t>
      </w:r>
    </w:p>
    <w:p w14:paraId="129C5EB0" w14:textId="77777777" w:rsidR="000A4DDA" w:rsidRPr="009F2C7E" w:rsidRDefault="000A4DDA" w:rsidP="000A4DDA">
      <w:pPr>
        <w:pStyle w:val="NormalWeb"/>
        <w:spacing w:line="360" w:lineRule="auto"/>
        <w:rPr>
          <w:rFonts w:ascii="Arial" w:hAnsi="Arial" w:cs="Arial"/>
          <w:color w:val="000000"/>
        </w:rPr>
      </w:pPr>
    </w:p>
    <w:p w14:paraId="13E94FBF"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Vera Institute of Justice (2018)</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Reimagining Prison: A New Vision for the 21st Century.</w:t>
      </w:r>
      <w:r w:rsidRPr="009F2C7E">
        <w:rPr>
          <w:rStyle w:val="apple-converted-space"/>
          <w:rFonts w:ascii="Arial" w:eastAsiaTheme="majorEastAsia" w:hAnsi="Arial" w:cs="Arial"/>
          <w:color w:val="000000"/>
        </w:rPr>
        <w:t> </w:t>
      </w:r>
      <w:r w:rsidRPr="009F2C7E">
        <w:rPr>
          <w:rFonts w:ascii="Arial" w:hAnsi="Arial" w:cs="Arial"/>
          <w:color w:val="000000"/>
        </w:rPr>
        <w:t>New York: Vera Institute of Justice. Available at:</w:t>
      </w:r>
      <w:r w:rsidRPr="009F2C7E">
        <w:rPr>
          <w:rStyle w:val="apple-converted-space"/>
          <w:rFonts w:ascii="Arial" w:eastAsiaTheme="majorEastAsia" w:hAnsi="Arial" w:cs="Arial"/>
          <w:color w:val="000000"/>
        </w:rPr>
        <w:t> </w:t>
      </w:r>
      <w:hyperlink r:id="rId96" w:tgtFrame="_new" w:history="1">
        <w:r w:rsidRPr="009F2C7E">
          <w:rPr>
            <w:rStyle w:val="Hyperlink"/>
            <w:rFonts w:ascii="Arial" w:eastAsiaTheme="majorEastAsia" w:hAnsi="Arial" w:cs="Arial"/>
          </w:rPr>
          <w:t>https://www.vera.org/reimagining-prison-web-report</w:t>
        </w:r>
      </w:hyperlink>
      <w:r w:rsidRPr="009F2C7E">
        <w:rPr>
          <w:rStyle w:val="apple-converted-space"/>
          <w:rFonts w:ascii="Arial" w:eastAsiaTheme="majorEastAsia" w:hAnsi="Arial" w:cs="Arial"/>
          <w:color w:val="000000"/>
        </w:rPr>
        <w:t> </w:t>
      </w:r>
      <w:r w:rsidRPr="009F2C7E">
        <w:rPr>
          <w:rFonts w:ascii="Arial" w:hAnsi="Arial" w:cs="Arial"/>
          <w:color w:val="000000"/>
        </w:rPr>
        <w:t>(Accessed: 3 November 2025).</w:t>
      </w:r>
    </w:p>
    <w:p w14:paraId="78A502A3" w14:textId="77777777" w:rsidR="000A4DDA" w:rsidRPr="009F2C7E" w:rsidRDefault="000A4DDA" w:rsidP="000A4DDA">
      <w:pPr>
        <w:pStyle w:val="NormalWeb"/>
        <w:spacing w:line="360" w:lineRule="auto"/>
        <w:rPr>
          <w:rFonts w:ascii="Arial" w:hAnsi="Arial" w:cs="Arial"/>
          <w:color w:val="000000"/>
        </w:rPr>
      </w:pPr>
    </w:p>
    <w:p w14:paraId="6D632684"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White, S. (2021)</w:t>
      </w:r>
      <w:r w:rsidRPr="009F2C7E">
        <w:rPr>
          <w:rStyle w:val="apple-converted-space"/>
          <w:rFonts w:ascii="Arial" w:eastAsiaTheme="majorEastAsia" w:hAnsi="Arial" w:cs="Arial"/>
          <w:color w:val="000000"/>
        </w:rPr>
        <w:t> </w:t>
      </w:r>
      <w:r w:rsidRPr="009F2C7E">
        <w:rPr>
          <w:rFonts w:ascii="Arial" w:hAnsi="Arial" w:cs="Arial"/>
          <w:color w:val="000000"/>
        </w:rPr>
        <w:t>‘Has incorporation of the European Convention of Human Rights secured better judicial enforcement of human rights in England and Wales?’,</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University of Dundee</w:t>
      </w:r>
      <w:r w:rsidRPr="009F2C7E">
        <w:rPr>
          <w:rFonts w:ascii="Arial" w:hAnsi="Arial" w:cs="Arial"/>
          <w:color w:val="000000"/>
        </w:rPr>
        <w:t>.</w:t>
      </w:r>
    </w:p>
    <w:p w14:paraId="0FC9872C" w14:textId="77777777" w:rsidR="000A4DDA" w:rsidRPr="009F2C7E" w:rsidRDefault="000A4DDA" w:rsidP="000A4DDA">
      <w:pPr>
        <w:pStyle w:val="NormalWeb"/>
        <w:spacing w:line="360" w:lineRule="auto"/>
        <w:rPr>
          <w:rFonts w:ascii="Arial" w:hAnsi="Arial" w:cs="Arial"/>
          <w:color w:val="000000"/>
        </w:rPr>
      </w:pPr>
    </w:p>
    <w:p w14:paraId="41536825"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World Health Organization (2021)</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The WHO Prison Health Framework: A framework for assessment of prison health system performance.</w:t>
      </w:r>
      <w:r w:rsidRPr="009F2C7E">
        <w:rPr>
          <w:rStyle w:val="apple-converted-space"/>
          <w:rFonts w:ascii="Arial" w:eastAsiaTheme="majorEastAsia" w:hAnsi="Arial" w:cs="Arial"/>
          <w:color w:val="000000"/>
        </w:rPr>
        <w:t> </w:t>
      </w:r>
      <w:r w:rsidRPr="009F2C7E">
        <w:rPr>
          <w:rFonts w:ascii="Arial" w:hAnsi="Arial" w:cs="Arial"/>
          <w:color w:val="000000"/>
        </w:rPr>
        <w:t>Copenhagen: WHO Regional Office for Europe. Available at:</w:t>
      </w:r>
      <w:r w:rsidRPr="009F2C7E">
        <w:rPr>
          <w:rStyle w:val="apple-converted-space"/>
          <w:rFonts w:ascii="Arial" w:eastAsiaTheme="majorEastAsia" w:hAnsi="Arial" w:cs="Arial"/>
          <w:color w:val="000000"/>
        </w:rPr>
        <w:t> </w:t>
      </w:r>
      <w:hyperlink r:id="rId97" w:tgtFrame="_new" w:history="1">
        <w:r w:rsidRPr="009F2C7E">
          <w:rPr>
            <w:rStyle w:val="Hyperlink"/>
            <w:rFonts w:ascii="Arial" w:eastAsiaTheme="majorEastAsia" w:hAnsi="Arial" w:cs="Arial"/>
          </w:rPr>
          <w:t>https://www.who.int/europe/publications/i/item/9789289055482</w:t>
        </w:r>
      </w:hyperlink>
      <w:r w:rsidRPr="009F2C7E">
        <w:rPr>
          <w:rStyle w:val="apple-converted-space"/>
          <w:rFonts w:ascii="Arial" w:eastAsiaTheme="majorEastAsia" w:hAnsi="Arial" w:cs="Arial"/>
          <w:color w:val="000000"/>
        </w:rPr>
        <w:t> </w:t>
      </w:r>
      <w:r w:rsidRPr="009F2C7E">
        <w:rPr>
          <w:rFonts w:ascii="Arial" w:hAnsi="Arial" w:cs="Arial"/>
          <w:color w:val="000000"/>
        </w:rPr>
        <w:t>(Accessed: 2 November 2025).</w:t>
      </w:r>
    </w:p>
    <w:p w14:paraId="37CF2005" w14:textId="77777777" w:rsidR="000A4DDA" w:rsidRPr="009F2C7E" w:rsidRDefault="000A4DDA" w:rsidP="000A4DDA">
      <w:pPr>
        <w:pStyle w:val="NormalWeb"/>
        <w:spacing w:line="360" w:lineRule="auto"/>
        <w:rPr>
          <w:rFonts w:ascii="Arial" w:hAnsi="Arial" w:cs="Arial"/>
          <w:color w:val="000000"/>
        </w:rPr>
      </w:pPr>
    </w:p>
    <w:p w14:paraId="200C2BB9"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Youth Justice Board for England and Wales (2023)</w:t>
      </w:r>
      <w:r w:rsidRPr="009F2C7E">
        <w:rPr>
          <w:rStyle w:val="apple-converted-space"/>
          <w:rFonts w:ascii="Arial" w:eastAsiaTheme="majorEastAsia" w:hAnsi="Arial" w:cs="Arial"/>
          <w:color w:val="000000"/>
        </w:rPr>
        <w:t> </w:t>
      </w:r>
      <w:r w:rsidRPr="009F2C7E">
        <w:rPr>
          <w:rStyle w:val="Emphasis"/>
          <w:rFonts w:ascii="Arial" w:eastAsiaTheme="majorEastAsia" w:hAnsi="Arial" w:cs="Arial"/>
          <w:color w:val="000000"/>
        </w:rPr>
        <w:t>Prevention and Diversion Project – Final Report.</w:t>
      </w:r>
      <w:r w:rsidRPr="009F2C7E">
        <w:rPr>
          <w:rStyle w:val="apple-converted-space"/>
          <w:rFonts w:ascii="Arial" w:eastAsiaTheme="majorEastAsia" w:hAnsi="Arial" w:cs="Arial"/>
          <w:color w:val="000000"/>
        </w:rPr>
        <w:t> </w:t>
      </w:r>
      <w:r w:rsidRPr="009F2C7E">
        <w:rPr>
          <w:rFonts w:ascii="Arial" w:hAnsi="Arial" w:cs="Arial"/>
          <w:color w:val="000000"/>
        </w:rPr>
        <w:t>London: Youth Justice Board for England and Wales. Available at:</w:t>
      </w:r>
      <w:r w:rsidRPr="009F2C7E">
        <w:rPr>
          <w:rStyle w:val="apple-converted-space"/>
          <w:rFonts w:ascii="Arial" w:eastAsiaTheme="majorEastAsia" w:hAnsi="Arial" w:cs="Arial"/>
          <w:color w:val="000000"/>
        </w:rPr>
        <w:t> </w:t>
      </w:r>
      <w:hyperlink r:id="rId98" w:tgtFrame="_new" w:history="1">
        <w:r w:rsidRPr="009F2C7E">
          <w:rPr>
            <w:rStyle w:val="Hyperlink"/>
            <w:rFonts w:ascii="Arial" w:eastAsiaTheme="majorEastAsia" w:hAnsi="Arial" w:cs="Arial"/>
          </w:rPr>
          <w:t>https://yjresourcehub.uk/wp-content/uploads/media/Prevention_and_Diversion_Project_Final_Report_YJB_Feb_2023.pdf</w:t>
        </w:r>
      </w:hyperlink>
      <w:r w:rsidRPr="009F2C7E">
        <w:rPr>
          <w:rStyle w:val="apple-converted-space"/>
          <w:rFonts w:ascii="Arial" w:eastAsiaTheme="majorEastAsia" w:hAnsi="Arial" w:cs="Arial"/>
          <w:color w:val="000000"/>
        </w:rPr>
        <w:t> </w:t>
      </w:r>
      <w:r w:rsidRPr="009F2C7E">
        <w:rPr>
          <w:rFonts w:ascii="Arial" w:hAnsi="Arial" w:cs="Arial"/>
          <w:color w:val="000000"/>
        </w:rPr>
        <w:t>(Accessed: 4 November 2025).</w:t>
      </w:r>
    </w:p>
    <w:p w14:paraId="0DF60BC3" w14:textId="77777777" w:rsidR="000A4DDA" w:rsidRPr="009F2C7E" w:rsidRDefault="000A4DDA" w:rsidP="000A4DDA">
      <w:pPr>
        <w:spacing w:line="360" w:lineRule="auto"/>
        <w:rPr>
          <w:rFonts w:ascii="Arial" w:hAnsi="Arial" w:cs="Arial"/>
        </w:rPr>
      </w:pPr>
    </w:p>
    <w:p w14:paraId="0BD2801D" w14:textId="77777777" w:rsidR="008306BB" w:rsidRDefault="008306BB" w:rsidP="000A4DDA">
      <w:pPr>
        <w:spacing w:line="360" w:lineRule="auto"/>
        <w:rPr>
          <w:rFonts w:ascii="Arial" w:hAnsi="Arial" w:cs="Arial"/>
          <w:u w:val="single"/>
        </w:rPr>
      </w:pPr>
    </w:p>
    <w:p w14:paraId="332DEA1E" w14:textId="30DF9136" w:rsidR="000A4DDA" w:rsidRPr="009F2C7E" w:rsidRDefault="000A4DDA" w:rsidP="000A4DDA">
      <w:pPr>
        <w:spacing w:line="360" w:lineRule="auto"/>
        <w:rPr>
          <w:rFonts w:ascii="Arial" w:hAnsi="Arial" w:cs="Arial"/>
          <w:u w:val="single"/>
        </w:rPr>
      </w:pPr>
      <w:r w:rsidRPr="009F2C7E">
        <w:rPr>
          <w:rFonts w:ascii="Arial" w:hAnsi="Arial" w:cs="Arial"/>
          <w:u w:val="single"/>
        </w:rPr>
        <w:lastRenderedPageBreak/>
        <w:t xml:space="preserve">Case Law references </w:t>
      </w:r>
    </w:p>
    <w:p w14:paraId="037B562C" w14:textId="77777777" w:rsidR="000A4DDA" w:rsidRPr="009F2C7E" w:rsidRDefault="000A4DDA" w:rsidP="000A4DDA">
      <w:pPr>
        <w:pStyle w:val="NormalWeb"/>
        <w:spacing w:line="360" w:lineRule="auto"/>
        <w:rPr>
          <w:rFonts w:ascii="Arial" w:hAnsi="Arial" w:cs="Arial"/>
          <w:color w:val="000000"/>
        </w:rPr>
      </w:pPr>
      <w:r w:rsidRPr="009F2C7E">
        <w:rPr>
          <w:rStyle w:val="Strong"/>
          <w:rFonts w:ascii="Arial" w:eastAsiaTheme="majorEastAsia" w:hAnsi="Arial" w:cs="Arial"/>
          <w:b w:val="0"/>
          <w:bCs w:val="0"/>
          <w:color w:val="000000"/>
        </w:rPr>
        <w:t xml:space="preserve">R (on the application of </w:t>
      </w:r>
      <w:proofErr w:type="spellStart"/>
      <w:r w:rsidRPr="009F2C7E">
        <w:rPr>
          <w:rStyle w:val="Strong"/>
          <w:rFonts w:ascii="Arial" w:eastAsiaTheme="majorEastAsia" w:hAnsi="Arial" w:cs="Arial"/>
          <w:b w:val="0"/>
          <w:bCs w:val="0"/>
          <w:color w:val="000000"/>
        </w:rPr>
        <w:t>Bourgass</w:t>
      </w:r>
      <w:proofErr w:type="spellEnd"/>
      <w:r w:rsidRPr="009F2C7E">
        <w:rPr>
          <w:rStyle w:val="Strong"/>
          <w:rFonts w:ascii="Arial" w:eastAsiaTheme="majorEastAsia" w:hAnsi="Arial" w:cs="Arial"/>
          <w:b w:val="0"/>
          <w:bCs w:val="0"/>
          <w:color w:val="000000"/>
        </w:rPr>
        <w:t xml:space="preserve"> and Hussain) v Secretary of State for Justice [2015]</w:t>
      </w:r>
      <w:r w:rsidRPr="009F2C7E">
        <w:rPr>
          <w:rStyle w:val="apple-converted-space"/>
          <w:rFonts w:ascii="Arial" w:eastAsiaTheme="majorEastAsia" w:hAnsi="Arial" w:cs="Arial"/>
          <w:color w:val="000000"/>
        </w:rPr>
        <w:t> </w:t>
      </w:r>
      <w:r w:rsidRPr="009F2C7E">
        <w:rPr>
          <w:rFonts w:ascii="Arial" w:hAnsi="Arial" w:cs="Arial"/>
          <w:color w:val="000000"/>
        </w:rPr>
        <w:t>UKSC.</w:t>
      </w:r>
    </w:p>
    <w:p w14:paraId="2DA57E39" w14:textId="77777777" w:rsidR="000A4DDA" w:rsidRPr="009F2C7E" w:rsidRDefault="000A4DDA" w:rsidP="000A4DDA">
      <w:pPr>
        <w:pStyle w:val="NormalWeb"/>
        <w:spacing w:line="360" w:lineRule="auto"/>
        <w:rPr>
          <w:rFonts w:ascii="Arial" w:hAnsi="Arial" w:cs="Arial"/>
          <w:color w:val="000000"/>
        </w:rPr>
      </w:pPr>
    </w:p>
    <w:p w14:paraId="40E818F0" w14:textId="77777777" w:rsidR="000A4DDA" w:rsidRPr="009F2C7E" w:rsidRDefault="000A4DDA" w:rsidP="000A4DDA">
      <w:pPr>
        <w:pStyle w:val="NormalWeb"/>
        <w:spacing w:line="360" w:lineRule="auto"/>
        <w:rPr>
          <w:rStyle w:val="Strong"/>
          <w:rFonts w:ascii="Arial" w:eastAsiaTheme="majorEastAsia" w:hAnsi="Arial" w:cs="Arial"/>
          <w:b w:val="0"/>
          <w:bCs w:val="0"/>
          <w:color w:val="000000"/>
        </w:rPr>
      </w:pPr>
      <w:r w:rsidRPr="009F2C7E">
        <w:rPr>
          <w:rStyle w:val="Strong"/>
          <w:rFonts w:ascii="Arial" w:eastAsiaTheme="majorEastAsia" w:hAnsi="Arial" w:cs="Arial"/>
          <w:b w:val="0"/>
          <w:bCs w:val="0"/>
          <w:color w:val="000000"/>
        </w:rPr>
        <w:t>R (AB) v Secretary of State for Justice [2024] EWHC.</w:t>
      </w:r>
    </w:p>
    <w:p w14:paraId="29C1CB0D" w14:textId="77777777" w:rsidR="000A4DDA" w:rsidRDefault="000A4DDA" w:rsidP="00A74EA6">
      <w:pPr>
        <w:tabs>
          <w:tab w:val="left" w:pos="2126"/>
        </w:tabs>
        <w:spacing w:line="360" w:lineRule="auto"/>
        <w:rPr>
          <w:rFonts w:ascii="Arial" w:hAnsi="Arial" w:cs="Arial"/>
          <w:b/>
          <w:bCs/>
          <w:color w:val="000000"/>
          <w:sz w:val="27"/>
          <w:szCs w:val="27"/>
          <w:u w:val="single"/>
        </w:rPr>
      </w:pPr>
    </w:p>
    <w:p w14:paraId="33D6F1CA" w14:textId="77777777" w:rsidR="00580ABF" w:rsidRDefault="00580ABF" w:rsidP="00A74EA6">
      <w:pPr>
        <w:tabs>
          <w:tab w:val="left" w:pos="2126"/>
        </w:tabs>
        <w:spacing w:line="360" w:lineRule="auto"/>
        <w:rPr>
          <w:rFonts w:ascii="-webkit-standard" w:hAnsi="-webkit-standard"/>
          <w:color w:val="000000"/>
          <w:sz w:val="27"/>
          <w:szCs w:val="27"/>
        </w:rPr>
      </w:pPr>
    </w:p>
    <w:p w14:paraId="0D2B5FB7" w14:textId="77777777" w:rsidR="00580ABF" w:rsidRPr="006E2B85" w:rsidRDefault="00580ABF" w:rsidP="00A74EA6">
      <w:pPr>
        <w:tabs>
          <w:tab w:val="left" w:pos="2126"/>
        </w:tabs>
        <w:spacing w:line="360" w:lineRule="auto"/>
        <w:rPr>
          <w:rFonts w:ascii="Arial" w:hAnsi="Arial" w:cs="Arial"/>
          <w:b/>
          <w:bCs/>
          <w:color w:val="000000"/>
          <w:sz w:val="27"/>
          <w:szCs w:val="27"/>
          <w:u w:val="single"/>
        </w:rPr>
      </w:pPr>
    </w:p>
    <w:sectPr w:rsidR="00580ABF" w:rsidRPr="006E2B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953A18"/>
    <w:multiLevelType w:val="hybridMultilevel"/>
    <w:tmpl w:val="32B2222E"/>
    <w:lvl w:ilvl="0" w:tplc="07D82D82">
      <w:start w:val="1"/>
      <w:numFmt w:val="decimal"/>
      <w:lvlText w:val="%1."/>
      <w:lvlJc w:val="left"/>
      <w:pPr>
        <w:ind w:left="720" w:hanging="360"/>
      </w:pPr>
      <w:rPr>
        <w:rFonts w:ascii="Aptos" w:hAnsi="Apto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D977BB2"/>
    <w:multiLevelType w:val="multilevel"/>
    <w:tmpl w:val="6DD62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10679074">
    <w:abstractNumId w:val="0"/>
  </w:num>
  <w:num w:numId="2" w16cid:durableId="9253863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4EA6"/>
    <w:rsid w:val="00041AFE"/>
    <w:rsid w:val="000A4DDA"/>
    <w:rsid w:val="000D560B"/>
    <w:rsid w:val="000E0F90"/>
    <w:rsid w:val="00105F04"/>
    <w:rsid w:val="00134C7D"/>
    <w:rsid w:val="0020235E"/>
    <w:rsid w:val="00245879"/>
    <w:rsid w:val="0029780F"/>
    <w:rsid w:val="002D4A97"/>
    <w:rsid w:val="002E1ED6"/>
    <w:rsid w:val="00322731"/>
    <w:rsid w:val="00372CFD"/>
    <w:rsid w:val="00385CBF"/>
    <w:rsid w:val="003F5EE1"/>
    <w:rsid w:val="0042051F"/>
    <w:rsid w:val="00452723"/>
    <w:rsid w:val="00473A90"/>
    <w:rsid w:val="00565269"/>
    <w:rsid w:val="00580ABF"/>
    <w:rsid w:val="005908DA"/>
    <w:rsid w:val="005E7180"/>
    <w:rsid w:val="00601780"/>
    <w:rsid w:val="00652068"/>
    <w:rsid w:val="00660AA4"/>
    <w:rsid w:val="0067039F"/>
    <w:rsid w:val="00677F3F"/>
    <w:rsid w:val="006839C2"/>
    <w:rsid w:val="006A1D1D"/>
    <w:rsid w:val="006E12B8"/>
    <w:rsid w:val="006E2B85"/>
    <w:rsid w:val="007B7E4F"/>
    <w:rsid w:val="007E56CD"/>
    <w:rsid w:val="007E5862"/>
    <w:rsid w:val="008306BB"/>
    <w:rsid w:val="00843EE4"/>
    <w:rsid w:val="00873F41"/>
    <w:rsid w:val="009174DF"/>
    <w:rsid w:val="0099467E"/>
    <w:rsid w:val="00997C92"/>
    <w:rsid w:val="009C50A8"/>
    <w:rsid w:val="00A70DBC"/>
    <w:rsid w:val="00A74EA6"/>
    <w:rsid w:val="00A865F1"/>
    <w:rsid w:val="00A96BA5"/>
    <w:rsid w:val="00AB4B2E"/>
    <w:rsid w:val="00AC4E92"/>
    <w:rsid w:val="00AF51A5"/>
    <w:rsid w:val="00B41F97"/>
    <w:rsid w:val="00B50781"/>
    <w:rsid w:val="00BA059E"/>
    <w:rsid w:val="00BE634B"/>
    <w:rsid w:val="00CF6255"/>
    <w:rsid w:val="00D273B0"/>
    <w:rsid w:val="00D35C74"/>
    <w:rsid w:val="00DA21C4"/>
    <w:rsid w:val="00DD6DAA"/>
    <w:rsid w:val="00E02956"/>
    <w:rsid w:val="00E33008"/>
    <w:rsid w:val="00E55317"/>
    <w:rsid w:val="00EA0F43"/>
    <w:rsid w:val="00EA51D9"/>
    <w:rsid w:val="00F40252"/>
    <w:rsid w:val="00F413EC"/>
    <w:rsid w:val="00F4308C"/>
    <w:rsid w:val="00F67119"/>
    <w:rsid w:val="00F86809"/>
    <w:rsid w:val="00FD5B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D5250"/>
  <w15:chartTrackingRefBased/>
  <w15:docId w15:val="{2A5737DA-402A-D747-AA95-47464D3B6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4EA6"/>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A74EA6"/>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A74EA6"/>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A74EA6"/>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A74EA6"/>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A74EA6"/>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A74EA6"/>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A74EA6"/>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A74EA6"/>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A74EA6"/>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4E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74E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74E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4E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74E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4E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4E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4E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4EA6"/>
    <w:rPr>
      <w:rFonts w:eastAsiaTheme="majorEastAsia" w:cstheme="majorBidi"/>
      <w:color w:val="272727" w:themeColor="text1" w:themeTint="D8"/>
    </w:rPr>
  </w:style>
  <w:style w:type="paragraph" w:styleId="Title">
    <w:name w:val="Title"/>
    <w:basedOn w:val="Normal"/>
    <w:next w:val="Normal"/>
    <w:link w:val="TitleChar"/>
    <w:uiPriority w:val="10"/>
    <w:qFormat/>
    <w:rsid w:val="00A74EA6"/>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A74E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4EA6"/>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A74E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4EA6"/>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A74EA6"/>
    <w:rPr>
      <w:i/>
      <w:iCs/>
      <w:color w:val="404040" w:themeColor="text1" w:themeTint="BF"/>
    </w:rPr>
  </w:style>
  <w:style w:type="paragraph" w:styleId="ListParagraph">
    <w:name w:val="List Paragraph"/>
    <w:basedOn w:val="Normal"/>
    <w:uiPriority w:val="34"/>
    <w:qFormat/>
    <w:rsid w:val="00A74EA6"/>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A74EA6"/>
    <w:rPr>
      <w:i/>
      <w:iCs/>
      <w:color w:val="0F4761" w:themeColor="accent1" w:themeShade="BF"/>
    </w:rPr>
  </w:style>
  <w:style w:type="paragraph" w:styleId="IntenseQuote">
    <w:name w:val="Intense Quote"/>
    <w:basedOn w:val="Normal"/>
    <w:next w:val="Normal"/>
    <w:link w:val="IntenseQuoteChar"/>
    <w:uiPriority w:val="30"/>
    <w:qFormat/>
    <w:rsid w:val="00A74EA6"/>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A74EA6"/>
    <w:rPr>
      <w:i/>
      <w:iCs/>
      <w:color w:val="0F4761" w:themeColor="accent1" w:themeShade="BF"/>
    </w:rPr>
  </w:style>
  <w:style w:type="character" w:styleId="IntenseReference">
    <w:name w:val="Intense Reference"/>
    <w:basedOn w:val="DefaultParagraphFont"/>
    <w:uiPriority w:val="32"/>
    <w:qFormat/>
    <w:rsid w:val="00A74EA6"/>
    <w:rPr>
      <w:b/>
      <w:bCs/>
      <w:smallCaps/>
      <w:color w:val="0F4761" w:themeColor="accent1" w:themeShade="BF"/>
      <w:spacing w:val="5"/>
    </w:rPr>
  </w:style>
  <w:style w:type="paragraph" w:styleId="NormalWeb">
    <w:name w:val="Normal (Web)"/>
    <w:basedOn w:val="Normal"/>
    <w:uiPriority w:val="99"/>
    <w:unhideWhenUsed/>
    <w:rsid w:val="00A74EA6"/>
    <w:pPr>
      <w:spacing w:before="100" w:beforeAutospacing="1" w:after="100" w:afterAutospacing="1"/>
    </w:pPr>
  </w:style>
  <w:style w:type="character" w:customStyle="1" w:styleId="apple-converted-space">
    <w:name w:val="apple-converted-space"/>
    <w:basedOn w:val="DefaultParagraphFont"/>
    <w:rsid w:val="00A74EA6"/>
  </w:style>
  <w:style w:type="character" w:styleId="Emphasis">
    <w:name w:val="Emphasis"/>
    <w:basedOn w:val="DefaultParagraphFont"/>
    <w:uiPriority w:val="20"/>
    <w:qFormat/>
    <w:rsid w:val="00A74EA6"/>
    <w:rPr>
      <w:i/>
      <w:iCs/>
    </w:rPr>
  </w:style>
  <w:style w:type="character" w:styleId="Hyperlink">
    <w:name w:val="Hyperlink"/>
    <w:basedOn w:val="DefaultParagraphFont"/>
    <w:uiPriority w:val="99"/>
    <w:unhideWhenUsed/>
    <w:rsid w:val="00AC4E92"/>
    <w:rPr>
      <w:color w:val="0000FF"/>
      <w:u w:val="single"/>
    </w:rPr>
  </w:style>
  <w:style w:type="character" w:styleId="Strong">
    <w:name w:val="Strong"/>
    <w:basedOn w:val="DefaultParagraphFont"/>
    <w:uiPriority w:val="22"/>
    <w:qFormat/>
    <w:rsid w:val="00580ABF"/>
    <w:rPr>
      <w:b/>
      <w:bCs/>
    </w:rPr>
  </w:style>
  <w:style w:type="character" w:styleId="UnresolvedMention">
    <w:name w:val="Unresolved Mention"/>
    <w:basedOn w:val="DefaultParagraphFont"/>
    <w:uiPriority w:val="99"/>
    <w:semiHidden/>
    <w:unhideWhenUsed/>
    <w:rsid w:val="000A4DDA"/>
    <w:rPr>
      <w:color w:val="605E5C"/>
      <w:shd w:val="clear" w:color="auto" w:fill="E1DFDD"/>
    </w:rPr>
  </w:style>
  <w:style w:type="character" w:styleId="FollowedHyperlink">
    <w:name w:val="FollowedHyperlink"/>
    <w:basedOn w:val="DefaultParagraphFont"/>
    <w:uiPriority w:val="99"/>
    <w:semiHidden/>
    <w:unhideWhenUsed/>
    <w:rsid w:val="000A4DD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1074524">
      <w:bodyDiv w:val="1"/>
      <w:marLeft w:val="0"/>
      <w:marRight w:val="0"/>
      <w:marTop w:val="0"/>
      <w:marBottom w:val="0"/>
      <w:divBdr>
        <w:top w:val="none" w:sz="0" w:space="0" w:color="auto"/>
        <w:left w:val="none" w:sz="0" w:space="0" w:color="auto"/>
        <w:bottom w:val="none" w:sz="0" w:space="0" w:color="auto"/>
        <w:right w:val="none" w:sz="0" w:space="0" w:color="auto"/>
      </w:divBdr>
    </w:div>
    <w:div w:id="809324561">
      <w:bodyDiv w:val="1"/>
      <w:marLeft w:val="0"/>
      <w:marRight w:val="0"/>
      <w:marTop w:val="0"/>
      <w:marBottom w:val="0"/>
      <w:divBdr>
        <w:top w:val="none" w:sz="0" w:space="0" w:color="auto"/>
        <w:left w:val="none" w:sz="0" w:space="0" w:color="auto"/>
        <w:bottom w:val="none" w:sz="0" w:space="0" w:color="auto"/>
        <w:right w:val="none" w:sz="0" w:space="0" w:color="auto"/>
      </w:divBdr>
    </w:div>
    <w:div w:id="1059943033">
      <w:bodyDiv w:val="1"/>
      <w:marLeft w:val="0"/>
      <w:marRight w:val="0"/>
      <w:marTop w:val="0"/>
      <w:marBottom w:val="0"/>
      <w:divBdr>
        <w:top w:val="none" w:sz="0" w:space="0" w:color="auto"/>
        <w:left w:val="none" w:sz="0" w:space="0" w:color="auto"/>
        <w:bottom w:val="none" w:sz="0" w:space="0" w:color="auto"/>
        <w:right w:val="none" w:sz="0" w:space="0" w:color="auto"/>
      </w:divBdr>
    </w:div>
    <w:div w:id="1269310624">
      <w:bodyDiv w:val="1"/>
      <w:marLeft w:val="0"/>
      <w:marRight w:val="0"/>
      <w:marTop w:val="0"/>
      <w:marBottom w:val="0"/>
      <w:divBdr>
        <w:top w:val="none" w:sz="0" w:space="0" w:color="auto"/>
        <w:left w:val="none" w:sz="0" w:space="0" w:color="auto"/>
        <w:bottom w:val="none" w:sz="0" w:space="0" w:color="auto"/>
        <w:right w:val="none" w:sz="0" w:space="0" w:color="auto"/>
      </w:divBdr>
      <w:divsChild>
        <w:div w:id="965818113">
          <w:marLeft w:val="0"/>
          <w:marRight w:val="0"/>
          <w:marTop w:val="0"/>
          <w:marBottom w:val="0"/>
          <w:divBdr>
            <w:top w:val="none" w:sz="0" w:space="0" w:color="auto"/>
            <w:left w:val="none" w:sz="0" w:space="0" w:color="auto"/>
            <w:bottom w:val="none" w:sz="0" w:space="0" w:color="auto"/>
            <w:right w:val="none" w:sz="0" w:space="0" w:color="auto"/>
          </w:divBdr>
          <w:divsChild>
            <w:div w:id="1485464948">
              <w:marLeft w:val="0"/>
              <w:marRight w:val="0"/>
              <w:marTop w:val="0"/>
              <w:marBottom w:val="0"/>
              <w:divBdr>
                <w:top w:val="none" w:sz="0" w:space="0" w:color="auto"/>
                <w:left w:val="none" w:sz="0" w:space="0" w:color="auto"/>
                <w:bottom w:val="none" w:sz="0" w:space="0" w:color="auto"/>
                <w:right w:val="none" w:sz="0" w:space="0" w:color="auto"/>
              </w:divBdr>
              <w:divsChild>
                <w:div w:id="1643315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377001">
      <w:bodyDiv w:val="1"/>
      <w:marLeft w:val="0"/>
      <w:marRight w:val="0"/>
      <w:marTop w:val="0"/>
      <w:marBottom w:val="0"/>
      <w:divBdr>
        <w:top w:val="none" w:sz="0" w:space="0" w:color="auto"/>
        <w:left w:val="none" w:sz="0" w:space="0" w:color="auto"/>
        <w:bottom w:val="none" w:sz="0" w:space="0" w:color="auto"/>
        <w:right w:val="none" w:sz="0" w:space="0" w:color="auto"/>
      </w:divBdr>
    </w:div>
    <w:div w:id="1405176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equalityhumanrights.com/" TargetMode="External"/><Relationship Id="rId21" Type="http://schemas.openxmlformats.org/officeDocument/2006/relationships/hyperlink" Target="https://www.coe.int/en/web/human-rights-rule-of-law/-/council-of-europe-anti-torture-committee-publishes-report-on-its-2022-ad-hoc-visit-to-the-united-kingdom" TargetMode="External"/><Relationship Id="rId42" Type="http://schemas.openxmlformats.org/officeDocument/2006/relationships/hyperlink" Target="https://howardleague.org/news/howard-league-urges-government-to-resurrect-draft-mental-health-bill/" TargetMode="External"/><Relationship Id="rId47" Type="http://schemas.openxmlformats.org/officeDocument/2006/relationships/hyperlink" Target="https://www.instituteforgovernment.org.uk/publication/performance-tracker-2023/prisons" TargetMode="External"/><Relationship Id="rId63" Type="http://schemas.openxmlformats.org/officeDocument/2006/relationships/hyperlink" Target="https://www.nao.org.uk/press-releases/ambition-to-reduce-crown-court-backlog-no-longer-achievable/" TargetMode="External"/><Relationship Id="rId68" Type="http://schemas.openxmlformats.org/officeDocument/2006/relationships/hyperlink" Target="https://cdn.penalreform.org/wp-content/uploads/2021/05/Global-prison-trends-2021.pdf" TargetMode="External"/><Relationship Id="rId84" Type="http://schemas.openxmlformats.org/officeDocument/2006/relationships/hyperlink" Target="https://www.gov.uk/government/publications/optional-protocol-to-the-convention-against-torture-opcat" TargetMode="External"/><Relationship Id="rId89" Type="http://schemas.openxmlformats.org/officeDocument/2006/relationships/hyperlink" Target="https://committees.parliament.uk/publications/47961/documents/250837/default/" TargetMode="External"/><Relationship Id="rId16" Type="http://schemas.openxmlformats.org/officeDocument/2006/relationships/hyperlink" Target="https://doi.org/10.1177/1473225419898754" TargetMode="External"/><Relationship Id="rId11" Type="http://schemas.openxmlformats.org/officeDocument/2006/relationships/hyperlink" Target="https://doi.org/10.1007/978-3-031-09301-2_10" TargetMode="External"/><Relationship Id="rId32" Type="http://schemas.openxmlformats.org/officeDocument/2006/relationships/hyperlink" Target="https://doi.org/10.1093/bjc/40.2.189" TargetMode="External"/><Relationship Id="rId37" Type="http://schemas.openxmlformats.org/officeDocument/2006/relationships/hyperlink" Target="https://assets.publishing.service.gov.uk/media/62cc11a1d3bf7f2ff9806b1f214f79/hmip-annual-report-2021-22.pdf" TargetMode="External"/><Relationship Id="rId53" Type="http://schemas.openxmlformats.org/officeDocument/2006/relationships/hyperlink" Target="https://doi.org/10.1177/14624745231184077" TargetMode="External"/><Relationship Id="rId58" Type="http://schemas.openxmlformats.org/officeDocument/2006/relationships/hyperlink" Target="https://www.gov.uk/government/statistics/prison-population-projections-2024-to-2029/prison-population-projections-2024-to-2029" TargetMode="External"/><Relationship Id="rId74" Type="http://schemas.openxmlformats.org/officeDocument/2006/relationships/hyperlink" Target="https://prisonreformtrust.org.uk/prisoners-mental-health-suffering-under-conditions-of-prolonged-solitary-confinement/" TargetMode="External"/><Relationship Id="rId79" Type="http://schemas.openxmlformats.org/officeDocument/2006/relationships/hyperlink" Target="https://doi.org/10.1080/13642987.2021.1895766" TargetMode="External"/><Relationship Id="rId5" Type="http://schemas.openxmlformats.org/officeDocument/2006/relationships/image" Target="media/image1.jpeg"/><Relationship Id="rId90" Type="http://schemas.openxmlformats.org/officeDocument/2006/relationships/hyperlink" Target="https://www.ohchr.org/en/instruments-mechanisms/instruments/convention-rights-child" TargetMode="External"/><Relationship Id="rId95" Type="http://schemas.openxmlformats.org/officeDocument/2006/relationships/hyperlink" Target="https://doi.org/10.1177/14624745221103823" TargetMode="External"/><Relationship Id="rId22" Type="http://schemas.openxmlformats.org/officeDocument/2006/relationships/hyperlink" Target="https://www.coe.int/en/web/portal/-/anti-torture-annual-report-rights-of-transgender-prisoners-in-focus" TargetMode="External"/><Relationship Id="rId27" Type="http://schemas.openxmlformats.org/officeDocument/2006/relationships/hyperlink" Target="https://papers.ssrn.com/sol3/papers.cfm?abstract_id=5359663" TargetMode="External"/><Relationship Id="rId43" Type="http://schemas.openxmlformats.org/officeDocument/2006/relationships/hyperlink" Target="https://howardleague.org/news/howard-league-steps-forward-with-proposals-for-a-lasting-solution-to-the-prison-capacity-crisis/" TargetMode="External"/><Relationship Id="rId48" Type="http://schemas.openxmlformats.org/officeDocument/2006/relationships/hyperlink" Target="https://www.instituteforgovernment.org.uk/publication/crisis-prisons" TargetMode="External"/><Relationship Id="rId64" Type="http://schemas.openxmlformats.org/officeDocument/2006/relationships/hyperlink" Target="https://www.nao.org.uk/press-releases/government-must-actively-manage-plan-to-boost-weak-probation-service-performance/" TargetMode="External"/><Relationship Id="rId69" Type="http://schemas.openxmlformats.org/officeDocument/2006/relationships/hyperlink" Target="https://cdn.penalreform.org/wp-content/uploads/2024/07/PRI_-Placement-of-trans-and-non-binary-people.pdf" TargetMode="External"/><Relationship Id="rId80" Type="http://schemas.openxmlformats.org/officeDocument/2006/relationships/hyperlink" Target="https://doi.org/10.1108/IJOPH-12-2024-0078" TargetMode="External"/><Relationship Id="rId85" Type="http://schemas.openxmlformats.org/officeDocument/2006/relationships/hyperlink" Target="https://www.gov.uk/government/speeches/universal-periodic-review-of-the-united-kingdom-opening-statement" TargetMode="External"/><Relationship Id="rId3" Type="http://schemas.openxmlformats.org/officeDocument/2006/relationships/settings" Target="settings.xml"/><Relationship Id="rId12" Type="http://schemas.openxmlformats.org/officeDocument/2006/relationships/hyperlink" Target="https://bhattmurphy.co.uk/newsroom/pregnant-women-prisoners-shackled-during-labour-call-for-independent-investigation/?utm_source=chatgpt.com" TargetMode="External"/><Relationship Id="rId17" Type="http://schemas.openxmlformats.org/officeDocument/2006/relationships/hyperlink" Target="https://www.centreformentalhealth.org.uk/publications/prison-mental-health-services-england-2023/" TargetMode="External"/><Relationship Id="rId25" Type="http://schemas.openxmlformats.org/officeDocument/2006/relationships/hyperlink" Target="https://doi.org/10.1177/14624745231169664" TargetMode="External"/><Relationship Id="rId33" Type="http://schemas.openxmlformats.org/officeDocument/2006/relationships/hyperlink" Target="https://doi.org/10.1177/14732254211023347" TargetMode="External"/><Relationship Id="rId38" Type="http://schemas.openxmlformats.org/officeDocument/2006/relationships/hyperlink" Target="https://www.gov.uk/government/statistics/safety-in-custody-quarterly-update-to-september-2024/safety-in-custody-statistics-england-and-wales-deaths-in-prison-custody-to-december-2024-assaults-and-self-harm-to-september-2024?utm_source=chatgpt.com" TargetMode="External"/><Relationship Id="rId46" Type="http://schemas.openxmlformats.org/officeDocument/2006/relationships/hyperlink" Target="https://www.imb.org.uk/news/mental-health-crisis-forces-prisoners-into-inhumane-isolation/" TargetMode="External"/><Relationship Id="rId59" Type="http://schemas.openxmlformats.org/officeDocument/2006/relationships/hyperlink" Target="https://assets.publishing.service.gov.uk/media/61af18e38fa8f5037e8ccc47/prisons-strategy-white-paper.pdf" TargetMode="External"/><Relationship Id="rId67" Type="http://schemas.openxmlformats.org/officeDocument/2006/relationships/hyperlink" Target="https://committees.parliament.uk/publications/30791/documents/176257/default/" TargetMode="External"/><Relationship Id="rId20" Type="http://schemas.openxmlformats.org/officeDocument/2006/relationships/hyperlink" Target="https://www.coe.int/en/web/civil-society/effectiveness-of-the-echr-system-at-national-and-european-level1" TargetMode="External"/><Relationship Id="rId41" Type="http://schemas.openxmlformats.org/officeDocument/2006/relationships/hyperlink" Target="https://howardleague.org/wp-content/uploads/2023/11/The-Howard-League-for-Penal-Reform-Submission-to-the-UN-Special-Rapporteur-on-torture.pdf" TargetMode="External"/><Relationship Id="rId54" Type="http://schemas.openxmlformats.org/officeDocument/2006/relationships/hyperlink" Target="https://doi.org/10.4324/9781315085081-13" TargetMode="External"/><Relationship Id="rId62" Type="http://schemas.openxmlformats.org/officeDocument/2006/relationships/hyperlink" Target="https://www.nacro.org.uk/" TargetMode="External"/><Relationship Id="rId70" Type="http://schemas.openxmlformats.org/officeDocument/2006/relationships/hyperlink" Target="https://www.penalreform.org/" TargetMode="External"/><Relationship Id="rId75" Type="http://schemas.openxmlformats.org/officeDocument/2006/relationships/hyperlink" Target="https://prisonreformtrust.org.uk/category/covid-19/" TargetMode="External"/><Relationship Id="rId83" Type="http://schemas.openxmlformats.org/officeDocument/2006/relationships/hyperlink" Target="https://doi.org/10.1111/j.1540-4560.2006.00449.x" TargetMode="External"/><Relationship Id="rId88" Type="http://schemas.openxmlformats.org/officeDocument/2006/relationships/hyperlink" Target="https://commonslibrary.parliament.uk/what-is-the-government-doing-to-reduce-pressure-on-prison-capacity/" TargetMode="External"/><Relationship Id="rId91" Type="http://schemas.openxmlformats.org/officeDocument/2006/relationships/hyperlink" Target="https://www.unodc.org/documents/justice-and-prison-reform/Bangkok_Rules_ENG_22032015.pdf" TargetMode="External"/><Relationship Id="rId96" Type="http://schemas.openxmlformats.org/officeDocument/2006/relationships/hyperlink" Target="https://www.vera.org/reimagining-prison-web-report" TargetMode="External"/><Relationship Id="rId1" Type="http://schemas.openxmlformats.org/officeDocument/2006/relationships/numbering" Target="numbering.xml"/><Relationship Id="rId6" Type="http://schemas.openxmlformats.org/officeDocument/2006/relationships/hyperlink" Target="https://prisonreformtrust.org.uk/wp-content/uploads/2023/07/Locked-In_A-discussion-paper.pdf" TargetMode="External"/><Relationship Id="rId15" Type="http://schemas.openxmlformats.org/officeDocument/2006/relationships/hyperlink" Target="https://www.cqc.org.uk/guidance-regulation/criminal-justice-system/health-care-criminal-justice-system" TargetMode="External"/><Relationship Id="rId23" Type="http://schemas.openxmlformats.org/officeDocument/2006/relationships/hyperlink" Target="https://doi.org/10.1177/14624745211007003" TargetMode="External"/><Relationship Id="rId28" Type="http://schemas.openxmlformats.org/officeDocument/2006/relationships/hyperlink" Target="https://www.equalityhumanrights.com/" TargetMode="External"/><Relationship Id="rId36" Type="http://schemas.openxmlformats.org/officeDocument/2006/relationships/hyperlink" Target="https://assets.publishing.service.gov.uk/media/64a43d244dd8b3000c7fa479/hmip-annual-report-2022-23.pdf" TargetMode="External"/><Relationship Id="rId49" Type="http://schemas.openxmlformats.org/officeDocument/2006/relationships/hyperlink" Target="https://doi.org/10.1177/1477370820941398" TargetMode="External"/><Relationship Id="rId57" Type="http://schemas.openxmlformats.org/officeDocument/2006/relationships/hyperlink" Target="https://assets.publishing.service.gov.uk/government/uploads/system/uploads/attachment_data/file/1137742/female-offender-strategy-delivery-plan-2023-to-2025.pdf" TargetMode="External"/><Relationship Id="rId10" Type="http://schemas.openxmlformats.org/officeDocument/2006/relationships/hyperlink" Target="https://barrowcadbury.org.uk/wp-content/uploads/2023/11/LGBT-People-in-Prisons-Full-Report-16-FEB-21-WEB-1.pdf?utm_source=chatgpt.com" TargetMode="External"/><Relationship Id="rId31" Type="http://schemas.openxmlformats.org/officeDocument/2006/relationships/hyperlink" Target="https://doi.org/10.1177/1462474519881992" TargetMode="External"/><Relationship Id="rId44" Type="http://schemas.openxmlformats.org/officeDocument/2006/relationships/hyperlink" Target="https://howardleague.org/wp-content/uploads/2025/01/Howard-League-for-Penal-Reform-submission-to-Independent-Sentencing-Review-2024-to-2025_Call-for-Evidence_9-January-2025.pdf" TargetMode="External"/><Relationship Id="rId52" Type="http://schemas.openxmlformats.org/officeDocument/2006/relationships/hyperlink" Target="https://ora.ox.ac.uk/objects/uuid:814a53e7-429a-4365-8dde-5764e9947b10/files/md65c495b42b9c1a282fb615b6afed959" TargetMode="External"/><Relationship Id="rId60" Type="http://schemas.openxmlformats.org/officeDocument/2006/relationships/hyperlink" Target="https://data.justice.gov.uk/justice-in-numbers/jin-reduce-reoffending" TargetMode="External"/><Relationship Id="rId65" Type="http://schemas.openxmlformats.org/officeDocument/2006/relationships/hyperlink" Target="https://www.ohchr.org/en/publications/annual-report/ohchr-report-2022" TargetMode="External"/><Relationship Id="rId73" Type="http://schemas.openxmlformats.org/officeDocument/2006/relationships/hyperlink" Target="https://prisonreformtrust.org.uk/project/women-the-criminal-justice-system/" TargetMode="External"/><Relationship Id="rId78" Type="http://schemas.openxmlformats.org/officeDocument/2006/relationships/hyperlink" Target="https://prisonerseducation.org.uk/story/garrys-story-studying-for-a-degree-in-prison/?utm_source=chatgpt.com" TargetMode="External"/><Relationship Id="rId81" Type="http://schemas.openxmlformats.org/officeDocument/2006/relationships/hyperlink" Target="https://doi.org/10.1086/715910" TargetMode="External"/><Relationship Id="rId86" Type="http://schemas.openxmlformats.org/officeDocument/2006/relationships/hyperlink" Target="https://cloud-platform-e218f50a4812967ba1215eaecede923f.s3.amazonaws.com/uploads/sites/23/2024/12/UK-NPM-15th-Annual-Report.pdf" TargetMode="External"/><Relationship Id="rId94" Type="http://schemas.openxmlformats.org/officeDocument/2006/relationships/hyperlink" Target="https://www.unodc.org/documents/drug-prevention-and-treatment/UNODC_TX_in_Prisons_March22.pdf" TargetMode="External"/><Relationship Id="rId9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arcouncil.org.uk/resource/the-right-policies-can-reverse-the-harmful-trends-in-our-prison-system.html" TargetMode="External"/><Relationship Id="rId13" Type="http://schemas.openxmlformats.org/officeDocument/2006/relationships/hyperlink" Target="https://justiceinnovation.org/publications/human-rights-and-the-judicial-shaping-of-punishment" TargetMode="External"/><Relationship Id="rId18" Type="http://schemas.openxmlformats.org/officeDocument/2006/relationships/hyperlink" Target="https://www.centreforsocialjustice.org.uk/library/unlocking-potential" TargetMode="External"/><Relationship Id="rId39" Type="http://schemas.openxmlformats.org/officeDocument/2006/relationships/hyperlink" Target="https://researchbriefings.files.parliament.uk/documents/CBP-10102/CBP-10102.pdf" TargetMode="External"/><Relationship Id="rId34" Type="http://schemas.openxmlformats.org/officeDocument/2006/relationships/hyperlink" Target="https://doi.org/10.1016/S0140-6736(22)01278-8" TargetMode="External"/><Relationship Id="rId50" Type="http://schemas.openxmlformats.org/officeDocument/2006/relationships/hyperlink" Target="https://papers.ssrn.com/sol3/papers.cfm?abstract_id=5345844" TargetMode="External"/><Relationship Id="rId55" Type="http://schemas.openxmlformats.org/officeDocument/2006/relationships/hyperlink" Target="https://assets.publishing.service.gov.uk/government/uploads/system/uploads/attachment_data/file/719819/female-offender-strategy.pdf" TargetMode="External"/><Relationship Id="rId76" Type="http://schemas.openxmlformats.org/officeDocument/2006/relationships/hyperlink" Target="https://prisonreformtrust.org.uk/prt-calls-for-fundamental-reform-of-sentencing-to-address-prison-capacity-crisis/" TargetMode="External"/><Relationship Id="rId97" Type="http://schemas.openxmlformats.org/officeDocument/2006/relationships/hyperlink" Target="https://www.who.int/europe/publications/i/item/9789289055482" TargetMode="External"/><Relationship Id="rId7" Type="http://schemas.openxmlformats.org/officeDocument/2006/relationships/hyperlink" Target="https://doi.org/10.1186/s12889-025-23340-9" TargetMode="External"/><Relationship Id="rId71" Type="http://schemas.openxmlformats.org/officeDocument/2006/relationships/hyperlink" Target="https://doi.org/10.1093/bjc/azm072" TargetMode="External"/><Relationship Id="rId92" Type="http://schemas.openxmlformats.org/officeDocument/2006/relationships/hyperlink" Target="https://www.unodc.org/unodc/en/justice-and-prison-reform/NMRules.html" TargetMode="External"/><Relationship Id="rId2" Type="http://schemas.openxmlformats.org/officeDocument/2006/relationships/styles" Target="styles.xml"/><Relationship Id="rId29" Type="http://schemas.openxmlformats.org/officeDocument/2006/relationships/hyperlink" Target="https://doi.org/10.19164/ijmhcl.v22i2.503" TargetMode="External"/><Relationship Id="rId24" Type="http://schemas.openxmlformats.org/officeDocument/2006/relationships/hyperlink" Target="https://www.crim.cam.ac.uk/files/crewe_cv_2023.pdf" TargetMode="External"/><Relationship Id="rId40" Type="http://schemas.openxmlformats.org/officeDocument/2006/relationships/hyperlink" Target="https://howardleague.org/legal-work/our-legal-cases/" TargetMode="External"/><Relationship Id="rId45" Type="http://schemas.openxmlformats.org/officeDocument/2006/relationships/hyperlink" Target="https://howardleague.org/why-are-prisons-overcrowded/" TargetMode="External"/><Relationship Id="rId66" Type="http://schemas.openxmlformats.org/officeDocument/2006/relationships/hyperlink" Target="https://www.ohchr.org/" TargetMode="External"/><Relationship Id="rId87" Type="http://schemas.openxmlformats.org/officeDocument/2006/relationships/hyperlink" Target="https://cloud-platform-e218f50a4812967ba1215eaecede923f.s3.amazonaws.com/uploads/sites/23/2025/05/UK-NPM-Submission-Independent-Sentencing-Review-100125.pdf" TargetMode="External"/><Relationship Id="rId61" Type="http://schemas.openxmlformats.org/officeDocument/2006/relationships/hyperlink" Target="https://www.nacro.org.uk/news/nacro-responds-we-must-be-more-ambitious/?utm_source=chatgpt.com" TargetMode="External"/><Relationship Id="rId82" Type="http://schemas.openxmlformats.org/officeDocument/2006/relationships/hyperlink" Target="https://doi.org/10.3390/bs10060095" TargetMode="External"/><Relationship Id="rId19" Type="http://schemas.openxmlformats.org/officeDocument/2006/relationships/hyperlink" Target="https://www.childrenscommissioner.gov.uk/corporate-governance/business-plan-2023-24/" TargetMode="External"/><Relationship Id="rId14" Type="http://schemas.openxmlformats.org/officeDocument/2006/relationships/hyperlink" Target="https://doi.org/10.1007/s10611-025-10225-6" TargetMode="External"/><Relationship Id="rId30" Type="http://schemas.openxmlformats.org/officeDocument/2006/relationships/hyperlink" Target="https://doi.org/10.1177/1462474518794188" TargetMode="External"/><Relationship Id="rId35" Type="http://schemas.openxmlformats.org/officeDocument/2006/relationships/hyperlink" Target="https://cloud-platform-e218f50a4812967ba1215eaecede923f.s3.amazonaws.com/uploads/sites/19/2024/02/The-long-wait-web-2024.pdf" TargetMode="External"/><Relationship Id="rId56" Type="http://schemas.openxmlformats.org/officeDocument/2006/relationships/hyperlink" Target="https://assets.publishing.service.gov.uk/media/61af18e38fa8f5037e8ccc47/prisons-strategy-white-paper.pdf" TargetMode="External"/><Relationship Id="rId77" Type="http://schemas.openxmlformats.org/officeDocument/2006/relationships/hyperlink" Target="https://assets.publishing.service.gov.uk/media/669146fefc8e12ac3edafc14/PPO_annual_report_2324.pdf" TargetMode="External"/><Relationship Id="rId100" Type="http://schemas.openxmlformats.org/officeDocument/2006/relationships/theme" Target="theme/theme1.xml"/><Relationship Id="rId8" Type="http://schemas.openxmlformats.org/officeDocument/2006/relationships/hyperlink" Target="https://www.barcouncil.org.uk/asset/43CEBFDB-5E10-414A-96D21F4CB65C2712/" TargetMode="External"/><Relationship Id="rId51" Type="http://schemas.openxmlformats.org/officeDocument/2006/relationships/hyperlink" Target="https://doi.org/10.4324/9780203846049" TargetMode="External"/><Relationship Id="rId72" Type="http://schemas.openxmlformats.org/officeDocument/2006/relationships/hyperlink" Target="https://prisonreformtrust.org.uk/wp-content/uploads/2023/06/prison_the_facts_2023.pdf" TargetMode="External"/><Relationship Id="rId93" Type="http://schemas.openxmlformats.org/officeDocument/2006/relationships/hyperlink" Target="https://digitallibrary.un.org/record/4053878/files/A_79_44-EN.pdf" TargetMode="External"/><Relationship Id="rId98" Type="http://schemas.openxmlformats.org/officeDocument/2006/relationships/hyperlink" Target="https://yjresourcehub.uk/wp-content/uploads/media/Prevention_and_Diversion_Project_Final_Report_YJB_Feb_202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257</TotalTime>
  <Pages>33</Pages>
  <Words>9000</Words>
  <Characters>55172</Characters>
  <Application>Microsoft Office Word</Application>
  <DocSecurity>0</DocSecurity>
  <Lines>848</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Sadie Mason (2204171)</dc:creator>
  <cp:keywords/>
  <dc:description/>
  <cp:lastModifiedBy>Sadie Mason (2204171)</cp:lastModifiedBy>
  <cp:revision>22</cp:revision>
  <dcterms:created xsi:type="dcterms:W3CDTF">2025-10-17T11:00:00Z</dcterms:created>
  <dcterms:modified xsi:type="dcterms:W3CDTF">2025-11-07T20:30:00Z</dcterms:modified>
</cp:coreProperties>
</file>